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33704" w14:textId="77777777" w:rsidR="00141D80" w:rsidRPr="001929E0" w:rsidRDefault="00141D80" w:rsidP="00141D80">
      <w:pPr>
        <w:autoSpaceDE w:val="0"/>
        <w:autoSpaceDN w:val="0"/>
        <w:adjustRightInd w:val="0"/>
        <w:rPr>
          <w:rFonts w:ascii="Acumin Pro Medium" w:hAnsi="Acumin Pro Medium" w:cs="Acumin Pro Medium"/>
          <w:color w:val="000000"/>
          <w:sz w:val="36"/>
          <w:szCs w:val="36"/>
        </w:rPr>
      </w:pPr>
      <w:r w:rsidRPr="001929E0">
        <w:rPr>
          <w:rFonts w:ascii="Acumin Pro Medium" w:hAnsi="Acumin Pro Medium" w:cs="Acumin Pro Medium"/>
          <w:color w:val="000000"/>
          <w:sz w:val="36"/>
          <w:szCs w:val="36"/>
        </w:rPr>
        <w:t>Creating a dynamic geo-social browser for exploring publicly funded research and development</w:t>
      </w:r>
    </w:p>
    <w:p w14:paraId="2F9244C9" w14:textId="77777777" w:rsidR="00141D80" w:rsidRDefault="00141D80" w:rsidP="00141D80">
      <w:pPr>
        <w:autoSpaceDE w:val="0"/>
        <w:autoSpaceDN w:val="0"/>
        <w:adjustRightInd w:val="0"/>
        <w:rPr>
          <w:rFonts w:ascii="Acumin Pro Semibold" w:hAnsi="Acumin Pro Semibold" w:cs="Acumin Pro Semibold"/>
          <w:b/>
          <w:bCs/>
          <w:color w:val="000000"/>
          <w:sz w:val="36"/>
          <w:szCs w:val="36"/>
        </w:rPr>
      </w:pPr>
    </w:p>
    <w:p w14:paraId="19658C91" w14:textId="77777777" w:rsidR="00141D80" w:rsidRPr="001929E0" w:rsidRDefault="00141D80" w:rsidP="00141D80">
      <w:pPr>
        <w:autoSpaceDE w:val="0"/>
        <w:autoSpaceDN w:val="0"/>
        <w:adjustRightInd w:val="0"/>
        <w:jc w:val="right"/>
        <w:rPr>
          <w:rFonts w:ascii="Acumin Pro Semibold" w:hAnsi="Acumin Pro Semibold" w:cs="Acumin Pro Semibold"/>
          <w:color w:val="000000"/>
          <w:sz w:val="28"/>
          <w:szCs w:val="28"/>
        </w:rPr>
      </w:pPr>
      <w:r w:rsidRPr="001929E0">
        <w:rPr>
          <w:rFonts w:ascii="Acumin Pro Semibold" w:hAnsi="Acumin Pro Semibold" w:cs="Acumin Pro Semibold"/>
          <w:color w:val="000000"/>
          <w:sz w:val="28"/>
          <w:szCs w:val="28"/>
        </w:rPr>
        <w:t>Seth Schimmel</w:t>
      </w:r>
    </w:p>
    <w:p w14:paraId="2631ED22" w14:textId="022112BD" w:rsidR="00141D80" w:rsidRPr="001929E0" w:rsidRDefault="00141D80" w:rsidP="00141D80">
      <w:pPr>
        <w:autoSpaceDE w:val="0"/>
        <w:autoSpaceDN w:val="0"/>
        <w:adjustRightInd w:val="0"/>
        <w:jc w:val="right"/>
        <w:rPr>
          <w:rFonts w:ascii="Acumin Pro Medium" w:hAnsi="Acumin Pro Medium" w:cs="Acumin Pro Medium"/>
          <w:color w:val="000000"/>
          <w:sz w:val="28"/>
          <w:szCs w:val="28"/>
        </w:rPr>
      </w:pPr>
      <w:r w:rsidRPr="001929E0">
        <w:rPr>
          <w:rFonts w:ascii="Acumin Pro Semibold" w:hAnsi="Acumin Pro Semibold" w:cs="Acumin Pro Semibold"/>
          <w:color w:val="000000"/>
          <w:sz w:val="28"/>
          <w:szCs w:val="28"/>
        </w:rPr>
        <w:t>December 2020</w:t>
      </w:r>
      <w:r w:rsidRPr="001929E0">
        <w:rPr>
          <w:rFonts w:ascii="Acumin Pro Medium" w:hAnsi="Acumin Pro Medium" w:cs="Acumin Pro Medium"/>
          <w:color w:val="000000"/>
          <w:sz w:val="28"/>
          <w:szCs w:val="28"/>
        </w:rPr>
        <w:t xml:space="preserve"> </w:t>
      </w:r>
    </w:p>
    <w:p w14:paraId="4186E3F6" w14:textId="6EE43DA4" w:rsidR="00141D80" w:rsidRDefault="00141D80" w:rsidP="00141D80">
      <w:pPr>
        <w:autoSpaceDE w:val="0"/>
        <w:autoSpaceDN w:val="0"/>
        <w:adjustRightInd w:val="0"/>
        <w:rPr>
          <w:rFonts w:ascii="Acumin Pro Medium" w:hAnsi="Acumin Pro Medium" w:cs="Acumin Pro Medium"/>
          <w:b/>
          <w:bCs/>
          <w:color w:val="000000"/>
        </w:rPr>
      </w:pPr>
    </w:p>
    <w:p w14:paraId="451D9E49" w14:textId="277641F1" w:rsidR="00141D80" w:rsidRDefault="00141D80" w:rsidP="00141D80">
      <w:pPr>
        <w:autoSpaceDE w:val="0"/>
        <w:autoSpaceDN w:val="0"/>
        <w:adjustRightInd w:val="0"/>
        <w:rPr>
          <w:rFonts w:ascii="Acumin Pro Medium" w:hAnsi="Acumin Pro Medium" w:cs="Acumin Pro Medium"/>
          <w:b/>
          <w:bCs/>
          <w:color w:val="000000"/>
        </w:rPr>
      </w:pPr>
      <w:r w:rsidRPr="00141D80">
        <w:rPr>
          <w:rFonts w:ascii="Acumin Pro Medium" w:hAnsi="Acumin Pro Medium" w:cs="Acumin Pro Medium"/>
          <w:b/>
          <w:bCs/>
          <w:noProof/>
          <w:color w:val="000000"/>
        </w:rPr>
        <w:drawing>
          <wp:inline distT="0" distB="0" distL="0" distR="0" wp14:anchorId="7ECC7FB5" wp14:editId="08AA2383">
            <wp:extent cx="5943600" cy="33858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a:stretch>
                      <a:fillRect/>
                    </a:stretch>
                  </pic:blipFill>
                  <pic:spPr>
                    <a:xfrm>
                      <a:off x="0" y="0"/>
                      <a:ext cx="5943600" cy="3385820"/>
                    </a:xfrm>
                    <a:prstGeom prst="rect">
                      <a:avLst/>
                    </a:prstGeom>
                  </pic:spPr>
                </pic:pic>
              </a:graphicData>
            </a:graphic>
          </wp:inline>
        </w:drawing>
      </w:r>
    </w:p>
    <w:p w14:paraId="2739CF86" w14:textId="77777777" w:rsidR="00141D80" w:rsidRDefault="00141D80" w:rsidP="00141D80">
      <w:pPr>
        <w:autoSpaceDE w:val="0"/>
        <w:autoSpaceDN w:val="0"/>
        <w:adjustRightInd w:val="0"/>
        <w:rPr>
          <w:rFonts w:ascii="Acumin Pro Medium" w:hAnsi="Acumin Pro Medium" w:cs="Acumin Pro Medium"/>
          <w:b/>
          <w:bCs/>
          <w:color w:val="000000"/>
        </w:rPr>
      </w:pPr>
    </w:p>
    <w:p w14:paraId="45985A58" w14:textId="23E41971"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This memo reflects my work to enrich, </w:t>
      </w:r>
      <w:r w:rsidR="002B78A7">
        <w:rPr>
          <w:rFonts w:ascii="Acumin Pro Light" w:hAnsi="Acumin Pro Light" w:cs="Acumin Pro Light"/>
          <w:color w:val="000000"/>
        </w:rPr>
        <w:t>analyze</w:t>
      </w:r>
      <w:r>
        <w:rPr>
          <w:rFonts w:ascii="Acumin Pro Light" w:hAnsi="Acumin Pro Light" w:cs="Acumin Pro Light"/>
          <w:color w:val="000000"/>
        </w:rPr>
        <w:t xml:space="preserve"> and </w:t>
      </w:r>
      <w:r w:rsidR="002B78A7">
        <w:rPr>
          <w:rFonts w:ascii="Acumin Pro Light" w:hAnsi="Acumin Pro Light" w:cs="Acumin Pro Light"/>
          <w:color w:val="000000"/>
        </w:rPr>
        <w:t>create and interactive visualization to display</w:t>
      </w:r>
      <w:r>
        <w:rPr>
          <w:rFonts w:ascii="Acumin Pro Light" w:hAnsi="Acumin Pro Light" w:cs="Acumin Pro Light"/>
          <w:color w:val="000000"/>
        </w:rPr>
        <w:t xml:space="preserve"> publicly available grants data from the United States </w:t>
      </w:r>
      <w:r w:rsidRPr="001929E0">
        <w:rPr>
          <w:rFonts w:ascii="Acumin Pro Medium" w:hAnsi="Acumin Pro Medium" w:cs="Acumin Pro Medium"/>
          <w:color w:val="000000"/>
        </w:rPr>
        <w:t>National Science Foundation (NSF)</w:t>
      </w:r>
      <w:r w:rsidRPr="001929E0">
        <w:rPr>
          <w:rFonts w:ascii="Acumin Pro Light" w:hAnsi="Acumin Pro Light" w:cs="Acumin Pro Light"/>
          <w:color w:val="000000"/>
        </w:rPr>
        <w:t>.</w:t>
      </w:r>
      <w:r>
        <w:rPr>
          <w:rFonts w:ascii="Acumin Pro Light" w:hAnsi="Acumin Pro Light" w:cs="Acumin Pro Light"/>
          <w:color w:val="000000"/>
        </w:rPr>
        <w:t xml:space="preserve">  Inspired and informed by conversations with peers </w:t>
      </w:r>
      <w:r w:rsidR="00A90B28">
        <w:rPr>
          <w:rFonts w:ascii="Acumin Pro Light" w:hAnsi="Acumin Pro Light" w:cs="Acumin Pro Light"/>
          <w:color w:val="000000"/>
        </w:rPr>
        <w:t>in grant-making and analyst roles at</w:t>
      </w:r>
      <w:r>
        <w:rPr>
          <w:rFonts w:ascii="Acumin Pro Light" w:hAnsi="Acumin Pro Light" w:cs="Acumin Pro Light"/>
          <w:color w:val="000000"/>
        </w:rPr>
        <w:t xml:space="preserve"> public and private funding institutions, the aim of these efforts is to facilitate discovery of information that can be used to describe research trends and develop a geo-social understanding of one funding initiative, the </w:t>
      </w:r>
      <w:r w:rsidRPr="001929E0">
        <w:rPr>
          <w:rFonts w:ascii="Acumin Pro Medium" w:hAnsi="Acumin Pro Medium" w:cs="Acumin Pro Medium"/>
          <w:color w:val="000000"/>
        </w:rPr>
        <w:t>Small Business Research and Innovation (SBIR)</w:t>
      </w:r>
      <w:r w:rsidRPr="001929E0">
        <w:rPr>
          <w:rFonts w:ascii="Acumin Pro Light" w:hAnsi="Acumin Pro Light" w:cs="Acumin Pro Light"/>
          <w:color w:val="000000"/>
        </w:rPr>
        <w:t xml:space="preserve"> and </w:t>
      </w:r>
      <w:r w:rsidRPr="001929E0">
        <w:rPr>
          <w:rFonts w:ascii="Acumin Pro Medium" w:hAnsi="Acumin Pro Medium" w:cs="Acumin Pro Medium"/>
          <w:color w:val="000000"/>
        </w:rPr>
        <w:t>Small Business Technology Transfer (STTR)</w:t>
      </w:r>
      <w:r>
        <w:rPr>
          <w:rFonts w:ascii="Acumin Pro Light" w:hAnsi="Acumin Pro Light" w:cs="Acumin Pro Light"/>
          <w:color w:val="000000"/>
        </w:rPr>
        <w:t xml:space="preserve"> programs.</w:t>
      </w:r>
    </w:p>
    <w:p w14:paraId="00CEC7E0" w14:textId="77777777" w:rsidR="00141D80" w:rsidRDefault="00141D80" w:rsidP="00141D80">
      <w:pPr>
        <w:autoSpaceDE w:val="0"/>
        <w:autoSpaceDN w:val="0"/>
        <w:adjustRightInd w:val="0"/>
        <w:rPr>
          <w:rFonts w:ascii="Acumin Pro Light" w:hAnsi="Acumin Pro Light" w:cs="Acumin Pro Light"/>
          <w:color w:val="000000"/>
        </w:rPr>
      </w:pPr>
    </w:p>
    <w:p w14:paraId="17D69EB0" w14:textId="3D7320D7"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As this work remains ongoing and will be developed further for completion of my capstone project, at this time I cannot </w:t>
      </w:r>
      <w:r w:rsidR="00BF5C6E">
        <w:rPr>
          <w:rFonts w:ascii="Acumin Pro Light" w:hAnsi="Acumin Pro Light" w:cs="Acumin Pro Light"/>
          <w:color w:val="000000"/>
        </w:rPr>
        <w:t xml:space="preserve">yet </w:t>
      </w:r>
      <w:r>
        <w:rPr>
          <w:rFonts w:ascii="Acumin Pro Light" w:hAnsi="Acumin Pro Light" w:cs="Acumin Pro Light"/>
          <w:color w:val="000000"/>
        </w:rPr>
        <w:t xml:space="preserve">present any substantive analyses of these programs.  Instead, </w:t>
      </w:r>
      <w:r w:rsidR="0005141D">
        <w:rPr>
          <w:rFonts w:ascii="Acumin Pro Light" w:hAnsi="Acumin Pro Light" w:cs="Acumin Pro Light"/>
          <w:color w:val="000000"/>
        </w:rPr>
        <w:t>before</w:t>
      </w:r>
      <w:r>
        <w:rPr>
          <w:rFonts w:ascii="Acumin Pro Light" w:hAnsi="Acumin Pro Light" w:cs="Acumin Pro Light"/>
          <w:color w:val="000000"/>
        </w:rPr>
        <w:t xml:space="preserve"> detailing the </w:t>
      </w:r>
      <w:r>
        <w:rPr>
          <w:rFonts w:ascii="Acumin Pro Light" w:hAnsi="Acumin Pro Light" w:cs="Acumin Pro Light"/>
          <w:color w:val="000000"/>
          <w:u w:val="single"/>
        </w:rPr>
        <w:t>techniques</w:t>
      </w:r>
      <w:r>
        <w:rPr>
          <w:rFonts w:ascii="Acumin Pro Light" w:hAnsi="Acumin Pro Light" w:cs="Acumin Pro Light"/>
          <w:color w:val="000000"/>
        </w:rPr>
        <w:t xml:space="preserve"> and </w:t>
      </w:r>
      <w:r>
        <w:rPr>
          <w:rFonts w:ascii="Acumin Pro Light" w:hAnsi="Acumin Pro Light" w:cs="Acumin Pro Light"/>
          <w:color w:val="000000"/>
          <w:u w:val="single"/>
        </w:rPr>
        <w:t>methodological choices</w:t>
      </w:r>
      <w:r>
        <w:rPr>
          <w:rFonts w:ascii="Acumin Pro Light" w:hAnsi="Acumin Pro Light" w:cs="Acumin Pro Light"/>
          <w:color w:val="000000"/>
        </w:rPr>
        <w:t xml:space="preserve"> that have gone into producing the web-app, I will </w:t>
      </w:r>
      <w:r w:rsidR="0005141D">
        <w:rPr>
          <w:rFonts w:ascii="Acumin Pro Light" w:hAnsi="Acumin Pro Light" w:cs="Acumin Pro Light"/>
          <w:color w:val="000000"/>
        </w:rPr>
        <w:t>discuss</w:t>
      </w:r>
      <w:r>
        <w:rPr>
          <w:rFonts w:ascii="Acumin Pro Light" w:hAnsi="Acumin Pro Light" w:cs="Acumin Pro Light"/>
          <w:color w:val="000000"/>
        </w:rPr>
        <w:t xml:space="preserve"> how </w:t>
      </w:r>
      <w:r>
        <w:rPr>
          <w:rFonts w:ascii="Acumin Pro Light" w:hAnsi="Acumin Pro Light" w:cs="Acumin Pro Light"/>
          <w:color w:val="000000"/>
          <w:u w:val="single"/>
        </w:rPr>
        <w:t>recent scholarship</w:t>
      </w:r>
      <w:r>
        <w:rPr>
          <w:rFonts w:ascii="Acumin Pro Light" w:hAnsi="Acumin Pro Light" w:cs="Acumin Pro Light"/>
          <w:color w:val="000000"/>
        </w:rPr>
        <w:t xml:space="preserve">—in fields like </w:t>
      </w:r>
      <w:r w:rsidR="00CB4A4B">
        <w:rPr>
          <w:rFonts w:ascii="Acumin Pro Light" w:hAnsi="Acumin Pro Light" w:cs="Acumin Pro Light"/>
          <w:color w:val="000000"/>
        </w:rPr>
        <w:t xml:space="preserve">Bibliometrics and </w:t>
      </w:r>
      <w:proofErr w:type="spellStart"/>
      <w:r w:rsidR="00CB4A4B">
        <w:rPr>
          <w:rFonts w:ascii="Acumin Pro Light" w:hAnsi="Acumin Pro Light" w:cs="Acumin Pro Light"/>
          <w:color w:val="000000"/>
        </w:rPr>
        <w:t>Scientometrics</w:t>
      </w:r>
      <w:proofErr w:type="spellEnd"/>
      <w:r w:rsidR="00CB4A4B">
        <w:rPr>
          <w:rFonts w:ascii="Acumin Pro Light" w:hAnsi="Acumin Pro Light" w:cs="Acumin Pro Light"/>
          <w:color w:val="000000"/>
        </w:rPr>
        <w:t xml:space="preserve">, </w:t>
      </w:r>
      <w:r>
        <w:rPr>
          <w:rFonts w:ascii="Acumin Pro Light" w:hAnsi="Acumin Pro Light" w:cs="Acumin Pro Light"/>
          <w:color w:val="000000"/>
        </w:rPr>
        <w:t xml:space="preserve">Science and Technology Studies (STS), Science and Technology Policy Studies (STPS), </w:t>
      </w:r>
      <w:r w:rsidR="00CB4A4B">
        <w:rPr>
          <w:rFonts w:ascii="Acumin Pro Light" w:hAnsi="Acumin Pro Light" w:cs="Acumin Pro Light"/>
          <w:color w:val="000000"/>
        </w:rPr>
        <w:t xml:space="preserve">and </w:t>
      </w:r>
      <w:r>
        <w:rPr>
          <w:rFonts w:ascii="Acumin Pro Light" w:hAnsi="Acumin Pro Light" w:cs="Acumin Pro Light"/>
          <w:color w:val="000000"/>
        </w:rPr>
        <w:t xml:space="preserve">Economic Geography—has informed and motivated the work.  </w:t>
      </w:r>
    </w:p>
    <w:p w14:paraId="1F929644" w14:textId="77777777" w:rsidR="00141D80" w:rsidRDefault="00141D80" w:rsidP="00141D80">
      <w:pPr>
        <w:autoSpaceDE w:val="0"/>
        <w:autoSpaceDN w:val="0"/>
        <w:adjustRightInd w:val="0"/>
        <w:rPr>
          <w:rFonts w:ascii="Acumin Pro Light" w:hAnsi="Acumin Pro Light" w:cs="Acumin Pro Light"/>
          <w:color w:val="000000"/>
        </w:rPr>
      </w:pPr>
    </w:p>
    <w:p w14:paraId="559B62E4" w14:textId="6487693D" w:rsidR="00141D80" w:rsidRDefault="00141D80" w:rsidP="00141D80">
      <w:pPr>
        <w:autoSpaceDE w:val="0"/>
        <w:autoSpaceDN w:val="0"/>
        <w:adjustRightInd w:val="0"/>
        <w:rPr>
          <w:rFonts w:ascii="Acumin Pro Medium" w:hAnsi="Acumin Pro Medium" w:cs="Acumin Pro Medium"/>
          <w:color w:val="073A6C"/>
        </w:rPr>
      </w:pPr>
      <w:r>
        <w:rPr>
          <w:rFonts w:ascii="Acumin Pro Light" w:hAnsi="Acumin Pro Light" w:cs="Acumin Pro Light"/>
          <w:color w:val="000000"/>
        </w:rPr>
        <w:t xml:space="preserve">You can </w:t>
      </w:r>
      <w:hyperlink r:id="rId9" w:history="1">
        <w:r w:rsidRPr="001929E0">
          <w:rPr>
            <w:rFonts w:ascii="Acumin Pro Medium" w:hAnsi="Acumin Pro Medium" w:cs="Acumin Pro Medium"/>
            <w:color w:val="073A6C"/>
            <w:u w:val="single" w:color="073A6C"/>
          </w:rPr>
          <w:t>find the Shiny web-app here</w:t>
        </w:r>
      </w:hyperlink>
      <w:r w:rsidRPr="001929E0">
        <w:rPr>
          <w:rFonts w:ascii="Acumin Pro Medium" w:hAnsi="Acumin Pro Medium" w:cs="Acumin Pro Medium"/>
          <w:color w:val="073A6C"/>
        </w:rPr>
        <w:t>.</w:t>
      </w:r>
    </w:p>
    <w:p w14:paraId="0AA1042B" w14:textId="77777777" w:rsidR="0005141D" w:rsidRDefault="0005141D" w:rsidP="00141D80">
      <w:pPr>
        <w:autoSpaceDE w:val="0"/>
        <w:autoSpaceDN w:val="0"/>
        <w:adjustRightInd w:val="0"/>
        <w:rPr>
          <w:rFonts w:ascii="Acumin Pro Light" w:hAnsi="Acumin Pro Light" w:cs="Acumin Pro Light"/>
          <w:color w:val="000000"/>
        </w:rPr>
      </w:pPr>
    </w:p>
    <w:p w14:paraId="452D9F27" w14:textId="77777777" w:rsidR="00141D80" w:rsidRPr="001929E0" w:rsidRDefault="00141D80" w:rsidP="00141D80">
      <w:pPr>
        <w:autoSpaceDE w:val="0"/>
        <w:autoSpaceDN w:val="0"/>
        <w:adjustRightInd w:val="0"/>
        <w:rPr>
          <w:rFonts w:ascii="Acumin Pro Medium" w:hAnsi="Acumin Pro Medium" w:cs="Acumin Pro Medium"/>
          <w:color w:val="000000"/>
          <w:sz w:val="28"/>
          <w:szCs w:val="28"/>
        </w:rPr>
      </w:pPr>
      <w:r w:rsidRPr="001929E0">
        <w:rPr>
          <w:rFonts w:ascii="Acumin Pro Medium" w:hAnsi="Acumin Pro Medium" w:cs="Acumin Pro Medium"/>
          <w:color w:val="000000"/>
          <w:sz w:val="28"/>
          <w:szCs w:val="28"/>
        </w:rPr>
        <w:lastRenderedPageBreak/>
        <w:t>Background</w:t>
      </w:r>
    </w:p>
    <w:p w14:paraId="023F86EB" w14:textId="77777777" w:rsidR="00141D80" w:rsidRDefault="00141D80" w:rsidP="00141D80">
      <w:pPr>
        <w:autoSpaceDE w:val="0"/>
        <w:autoSpaceDN w:val="0"/>
        <w:adjustRightInd w:val="0"/>
        <w:rPr>
          <w:rFonts w:ascii="Acumin Pro Medium" w:hAnsi="Acumin Pro Medium" w:cs="Acumin Pro Medium"/>
          <w:b/>
          <w:bCs/>
          <w:color w:val="000000"/>
          <w:sz w:val="28"/>
          <w:szCs w:val="28"/>
        </w:rPr>
      </w:pPr>
    </w:p>
    <w:p w14:paraId="5A27A07D" w14:textId="7DFA8CD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rPr>
        <w:t xml:space="preserve">"Yet </w:t>
      </w:r>
      <w:r w:rsidRPr="00F027A9">
        <w:rPr>
          <w:rFonts w:ascii="Avenir Next LT Pro Light" w:hAnsi="Avenir Next LT Pro Light" w:cs="Times"/>
          <w:b/>
          <w:bCs/>
          <w:i/>
          <w:iCs/>
          <w:color w:val="000000"/>
          <w:sz w:val="22"/>
          <w:szCs w:val="22"/>
        </w:rPr>
        <w:t>specialization becomes increasingly necessary for progress</w:t>
      </w:r>
      <w:r w:rsidRPr="00F027A9">
        <w:rPr>
          <w:rFonts w:ascii="Avenir Next LT Pro Light" w:hAnsi="Avenir Next LT Pro Light" w:cs="Times"/>
          <w:i/>
          <w:iCs/>
          <w:color w:val="000000"/>
          <w:sz w:val="22"/>
          <w:szCs w:val="22"/>
        </w:rPr>
        <w:t>, and the effort to bridge between disciplines is correspondingly superficial. Professionally our methods of transmitting and reviewing the results of research are generations old and by now are totally inadequate for their purpose." (</w:t>
      </w:r>
      <w:r w:rsidRPr="00F027A9">
        <w:rPr>
          <w:rFonts w:ascii="Avenir Next LT Pro Light" w:hAnsi="Avenir Next LT Pro Light" w:cs="Times"/>
          <w:i/>
          <w:iCs/>
          <w:color w:val="0000E9"/>
          <w:sz w:val="22"/>
          <w:szCs w:val="22"/>
          <w:u w:val="single" w:color="0000E9"/>
        </w:rPr>
        <w:t>3; my emphasis</w:t>
      </w:r>
      <w:r w:rsidRPr="00F027A9">
        <w:rPr>
          <w:rFonts w:ascii="Avenir Next LT Pro Light" w:hAnsi="Avenir Next LT Pro Light" w:cs="Times"/>
          <w:i/>
          <w:iCs/>
          <w:color w:val="000000"/>
          <w:sz w:val="22"/>
          <w:szCs w:val="22"/>
          <w:u w:color="0000E9"/>
        </w:rPr>
        <w:t>)</w:t>
      </w:r>
    </w:p>
    <w:p w14:paraId="3D44C151" w14:textId="7777777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p>
    <w:p w14:paraId="11B90C1B" w14:textId="44F644AD" w:rsidR="00141D80" w:rsidRPr="00F027A9" w:rsidRDefault="00141D80" w:rsidP="00F027A9">
      <w:pPr>
        <w:autoSpaceDE w:val="0"/>
        <w:autoSpaceDN w:val="0"/>
        <w:adjustRightInd w:val="0"/>
        <w:spacing w:after="24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u w:color="0000E9"/>
        </w:rPr>
        <w:t xml:space="preserve">"A record, if it is to be useful to science, must be </w:t>
      </w:r>
      <w:r w:rsidRPr="00F027A9">
        <w:rPr>
          <w:rFonts w:ascii="Avenir Next LT Pro Light" w:hAnsi="Avenir Next LT Pro Light" w:cs="Times"/>
          <w:b/>
          <w:bCs/>
          <w:i/>
          <w:iCs/>
          <w:color w:val="000000"/>
          <w:sz w:val="22"/>
          <w:szCs w:val="22"/>
          <w:u w:color="0000E9"/>
        </w:rPr>
        <w:t>continuously extended</w:t>
      </w:r>
      <w:r w:rsidRPr="00F027A9">
        <w:rPr>
          <w:rFonts w:ascii="Avenir Next LT Pro Light" w:hAnsi="Avenir Next LT Pro Light" w:cs="Times"/>
          <w:i/>
          <w:iCs/>
          <w:color w:val="000000"/>
          <w:sz w:val="22"/>
          <w:szCs w:val="22"/>
          <w:u w:color="0000E9"/>
        </w:rPr>
        <w:t>, it must be stored, and above all it must be consulted." (</w:t>
      </w:r>
      <w:r w:rsidRPr="00F027A9">
        <w:rPr>
          <w:rFonts w:ascii="Avenir Next LT Pro Light" w:hAnsi="Avenir Next LT Pro Light" w:cs="Times"/>
          <w:i/>
          <w:iCs/>
          <w:color w:val="0000E9"/>
          <w:sz w:val="22"/>
          <w:szCs w:val="22"/>
          <w:u w:val="single" w:color="0000E9"/>
        </w:rPr>
        <w:t>4; my emphasis</w:t>
      </w:r>
      <w:r w:rsidRPr="00F027A9">
        <w:rPr>
          <w:rFonts w:ascii="Avenir Next LT Pro Light" w:hAnsi="Avenir Next LT Pro Light" w:cs="Times"/>
          <w:i/>
          <w:iCs/>
          <w:color w:val="000000"/>
          <w:sz w:val="22"/>
          <w:szCs w:val="22"/>
          <w:u w:color="0000E9"/>
        </w:rPr>
        <w:t>)</w:t>
      </w:r>
    </w:p>
    <w:p w14:paraId="6D3D23F9" w14:textId="5D99E770" w:rsidR="005A50AB" w:rsidRPr="00F027A9" w:rsidRDefault="00141D80" w:rsidP="005A50AB">
      <w:pPr>
        <w:autoSpaceDE w:val="0"/>
        <w:autoSpaceDN w:val="0"/>
        <w:adjustRightInd w:val="0"/>
        <w:spacing w:after="240"/>
        <w:jc w:val="right"/>
        <w:rPr>
          <w:rFonts w:ascii="Avenir Next LT Pro Light" w:hAnsi="Avenir Next LT Pro Light" w:cs="Times"/>
          <w:i/>
          <w:iCs/>
          <w:color w:val="000000"/>
          <w:sz w:val="22"/>
          <w:szCs w:val="22"/>
          <w:u w:color="0000E9"/>
        </w:rPr>
      </w:pPr>
      <w:proofErr w:type="spellStart"/>
      <w:r w:rsidRPr="00F027A9">
        <w:rPr>
          <w:rFonts w:ascii="Avenir Next LT Pro Light" w:hAnsi="Avenir Next LT Pro Light" w:cs="Times"/>
          <w:i/>
          <w:iCs/>
          <w:color w:val="000000"/>
          <w:sz w:val="22"/>
          <w:szCs w:val="22"/>
          <w:u w:color="0000E9"/>
        </w:rPr>
        <w:t>Vannevar</w:t>
      </w:r>
      <w:proofErr w:type="spellEnd"/>
      <w:r w:rsidRPr="00F027A9">
        <w:rPr>
          <w:rFonts w:ascii="Avenir Next LT Pro Light" w:hAnsi="Avenir Next LT Pro Light" w:cs="Times"/>
          <w:i/>
          <w:iCs/>
          <w:color w:val="000000"/>
          <w:sz w:val="22"/>
          <w:szCs w:val="22"/>
          <w:u w:color="0000E9"/>
        </w:rPr>
        <w:t xml:space="preserve"> Bush, As We May Think, 1945</w:t>
      </w:r>
    </w:p>
    <w:p w14:paraId="49771E2C" w14:textId="63096569" w:rsidR="003C36D5" w:rsidRDefault="00F64A27" w:rsidP="00A7168D">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Head of the wartime Office of Scientific Research and Development and influential in the creation of the National Science Foundation, </w:t>
      </w:r>
      <w:proofErr w:type="spellStart"/>
      <w:r>
        <w:rPr>
          <w:rFonts w:ascii="Acumin Pro Light" w:hAnsi="Acumin Pro Light" w:cs="Times"/>
          <w:color w:val="000000"/>
          <w:u w:color="0000E9"/>
        </w:rPr>
        <w:t>Vannevar</w:t>
      </w:r>
      <w:proofErr w:type="spellEnd"/>
      <w:r>
        <w:rPr>
          <w:rFonts w:ascii="Acumin Pro Light" w:hAnsi="Acumin Pro Light" w:cs="Times"/>
          <w:color w:val="000000"/>
          <w:u w:color="0000E9"/>
        </w:rPr>
        <w:t xml:space="preserve"> Bush’s observations about the lifecycle of research publications have since inspired a host of technical innovations in publishing and scholarly communication.  Even in 2020, anyone who regularly follows scholarly or technical research knows the </w:t>
      </w:r>
      <w:proofErr w:type="gramStart"/>
      <w:r>
        <w:rPr>
          <w:rFonts w:ascii="Acumin Pro Light" w:hAnsi="Acumin Pro Light" w:cs="Times"/>
          <w:color w:val="000000"/>
          <w:u w:color="0000E9"/>
        </w:rPr>
        <w:t>sometimes dizzying</w:t>
      </w:r>
      <w:proofErr w:type="gramEnd"/>
      <w:r>
        <w:rPr>
          <w:rFonts w:ascii="Acumin Pro Light" w:hAnsi="Acumin Pro Light" w:cs="Times"/>
          <w:color w:val="000000"/>
          <w:u w:color="0000E9"/>
        </w:rPr>
        <w:t xml:space="preserve"> experience of tracking, collecting and making sense of the litany of resources available.  Luckily, the work of curators, taxonomists, data scientists and metadata specialists on databases like EBSCO, ProQuest, JSTOR and others continues to open pathways for exploring the deluge.  </w:t>
      </w:r>
      <w:r w:rsidR="00A7168D">
        <w:rPr>
          <w:rFonts w:ascii="Acumin Pro Light" w:hAnsi="Acumin Pro Light" w:cs="Times"/>
          <w:color w:val="000000"/>
          <w:u w:color="0000E9"/>
        </w:rPr>
        <w:t>Moreover</w:t>
      </w:r>
      <w:r>
        <w:rPr>
          <w:rFonts w:ascii="Acumin Pro Light" w:hAnsi="Acumin Pro Light" w:cs="Times"/>
          <w:color w:val="000000"/>
          <w:u w:color="0000E9"/>
        </w:rPr>
        <w:t xml:space="preserve">, </w:t>
      </w:r>
      <w:r w:rsidR="00A7168D">
        <w:rPr>
          <w:rFonts w:ascii="Acumin Pro Light" w:hAnsi="Acumin Pro Light" w:cs="Times"/>
          <w:color w:val="000000"/>
          <w:u w:color="0000E9"/>
        </w:rPr>
        <w:t xml:space="preserve">as </w:t>
      </w:r>
      <w:proofErr w:type="gramStart"/>
      <w:r w:rsidR="00A7168D">
        <w:rPr>
          <w:rFonts w:ascii="Acumin Pro Light" w:hAnsi="Acumin Pro Light" w:cs="Times"/>
          <w:color w:val="000000"/>
          <w:u w:color="0000E9"/>
        </w:rPr>
        <w:t>linked-data</w:t>
      </w:r>
      <w:proofErr w:type="gramEnd"/>
      <w:r w:rsidR="00A7168D">
        <w:rPr>
          <w:rFonts w:ascii="Acumin Pro Light" w:hAnsi="Acumin Pro Light" w:cs="Times"/>
          <w:color w:val="000000"/>
          <w:u w:color="0000E9"/>
        </w:rPr>
        <w:t xml:space="preserve"> proliferates, so too have</w:t>
      </w:r>
      <w:r>
        <w:rPr>
          <w:rFonts w:ascii="Acumin Pro Light" w:hAnsi="Acumin Pro Light" w:cs="Times"/>
          <w:color w:val="000000"/>
          <w:u w:color="0000E9"/>
        </w:rPr>
        <w:t xml:space="preserve"> efforts to </w:t>
      </w:r>
      <w:r>
        <w:rPr>
          <w:rFonts w:ascii="Acumin Pro Light" w:hAnsi="Acumin Pro Light" w:cs="Times"/>
          <w:i/>
          <w:iCs/>
          <w:color w:val="000000"/>
          <w:u w:color="0000E9"/>
        </w:rPr>
        <w:t>continuously extend</w:t>
      </w:r>
      <w:r>
        <w:rPr>
          <w:rFonts w:ascii="Acumin Pro Light" w:hAnsi="Acumin Pro Light" w:cs="Times"/>
          <w:color w:val="000000"/>
          <w:u w:color="0000E9"/>
        </w:rPr>
        <w:t xml:space="preserve"> scientific records grown more successful and effective.  </w:t>
      </w:r>
      <w:r w:rsidRPr="00F64A27">
        <w:rPr>
          <w:rFonts w:ascii="Acumin Pro Light" w:hAnsi="Acumin Pro Light" w:cs="Times"/>
          <w:color w:val="000000"/>
          <w:u w:color="0000E9"/>
        </w:rPr>
        <w:t>Services</w:t>
      </w:r>
      <w:r>
        <w:rPr>
          <w:rFonts w:ascii="Acumin Pro Light" w:hAnsi="Acumin Pro Light" w:cs="Times"/>
          <w:color w:val="000000"/>
          <w:u w:color="0000E9"/>
        </w:rPr>
        <w:t xml:space="preserve"> like </w:t>
      </w:r>
      <w:r w:rsidR="00A7168D">
        <w:rPr>
          <w:rFonts w:ascii="Acumin Pro Light" w:hAnsi="Acumin Pro Light" w:cs="Times"/>
          <w:color w:val="000000"/>
          <w:u w:color="0000E9"/>
        </w:rPr>
        <w:t xml:space="preserve">the </w:t>
      </w:r>
      <w:r>
        <w:rPr>
          <w:rFonts w:ascii="Acumin Pro Light" w:hAnsi="Acumin Pro Light" w:cs="Times"/>
          <w:color w:val="000000"/>
          <w:u w:color="0000E9"/>
        </w:rPr>
        <w:t xml:space="preserve">Web of Science, </w:t>
      </w:r>
      <w:proofErr w:type="spellStart"/>
      <w:r>
        <w:rPr>
          <w:rFonts w:ascii="Acumin Pro Light" w:hAnsi="Acumin Pro Light" w:cs="Times"/>
          <w:color w:val="000000"/>
          <w:u w:color="0000E9"/>
        </w:rPr>
        <w:t>Altmetric</w:t>
      </w:r>
      <w:proofErr w:type="spellEnd"/>
      <w:r>
        <w:rPr>
          <w:rFonts w:ascii="Acumin Pro Light" w:hAnsi="Acumin Pro Light" w:cs="Times"/>
          <w:color w:val="000000"/>
          <w:u w:color="0000E9"/>
        </w:rPr>
        <w:t xml:space="preserve">, Scopus, Semantic Scholar and the Microsoft Academic Graph and others have made significant strides in reliably tracking </w:t>
      </w:r>
      <w:r w:rsidR="00A7168D">
        <w:rPr>
          <w:rFonts w:ascii="Acumin Pro Light" w:hAnsi="Acumin Pro Light" w:cs="Times"/>
          <w:color w:val="000000"/>
          <w:u w:color="0000E9"/>
        </w:rPr>
        <w:t>the citation and co-authorship networks that exist between publications, researchers, research centers and funders.</w:t>
      </w:r>
    </w:p>
    <w:p w14:paraId="1CD78810" w14:textId="38986950" w:rsidR="00AF0E87" w:rsidRDefault="00A7168D"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Beside the practical impacts these service providers have had in facilitating discovery of research, efforts to deal with the masses of digital research publications and accompanying linked metadata have also opened up new possibilities for researchers in several disciplines.  </w:t>
      </w:r>
      <w:r w:rsidR="004A772D">
        <w:rPr>
          <w:rFonts w:ascii="Acumin Pro Light" w:hAnsi="Acumin Pro Light" w:cs="Times"/>
          <w:color w:val="000000"/>
          <w:u w:color="0000E9"/>
        </w:rPr>
        <w:t xml:space="preserve">Researchers in </w:t>
      </w:r>
      <w:r w:rsidR="004A772D" w:rsidRPr="00797AA6">
        <w:rPr>
          <w:rFonts w:ascii="Acumin Pro Light" w:hAnsi="Acumin Pro Light" w:cs="Times"/>
          <w:b/>
          <w:bCs/>
          <w:color w:val="000000"/>
          <w:u w:color="0000E9"/>
        </w:rPr>
        <w:t>bibliometric</w:t>
      </w:r>
      <w:r w:rsidR="0074525D" w:rsidRPr="00797AA6">
        <w:rPr>
          <w:rFonts w:ascii="Acumin Pro Light" w:hAnsi="Acumin Pro Light" w:cs="Times"/>
          <w:b/>
          <w:bCs/>
          <w:color w:val="000000"/>
          <w:u w:color="0000E9"/>
        </w:rPr>
        <w:t>s</w:t>
      </w:r>
      <w:r w:rsidR="0074525D">
        <w:rPr>
          <w:rFonts w:ascii="Acumin Pro Light" w:hAnsi="Acumin Pro Light" w:cs="Times"/>
          <w:b/>
          <w:bCs/>
          <w:color w:val="000000"/>
          <w:u w:color="0000E9"/>
        </w:rPr>
        <w:t xml:space="preserve"> </w:t>
      </w:r>
      <w:r w:rsidR="004A772D">
        <w:rPr>
          <w:rFonts w:ascii="Acumin Pro Light" w:hAnsi="Acumin Pro Light" w:cs="Times"/>
          <w:color w:val="000000"/>
          <w:u w:color="0000E9"/>
        </w:rPr>
        <w:t>develop statistical measures to evaluate the impact of publications, generating co-authorship and citation networks that make it possible to make content recommendations based on textual and network level information</w:t>
      </w:r>
      <w:r w:rsidR="00FC3A47">
        <w:rPr>
          <w:rFonts w:ascii="Acumin Pro Light" w:hAnsi="Acumin Pro Light" w:cs="Times"/>
          <w:color w:val="000000"/>
          <w:u w:color="0000E9"/>
        </w:rPr>
        <w:t xml:space="preserve"> and to digitally trace genealogies of new ideas </w:t>
      </w:r>
      <w:r w:rsidR="00FC3A47">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{"citationID":"m3U5kj9C","properties":{"formattedCitation":"(Ganguly &amp; Pudi, 2017; Satish et al., 2020; Vieira &amp; Gomes, 2009)","plainCitation":"(Ganguly &amp; Pudi, 2017; Satish et al., 2020; Vieira &amp; Gomes, 2009)","noteIndex":0},"citationItems":[{"id":22379,"uris":["http://zotero.org/users/4632586/items/7GUTXZML"],"uri":["http://zotero.org/users/4632586/items/7GUTXZML"],"itemData":{"id":22379,"type":"paper-conference","abstract":"We present Paper2vec, a novel neural network embedding based approach for creating scientific paper representations which make use of both textual and graph-based information. An academic citation network can be viewed as a graph where individual nodes contain rich textual information. With the current trend of open-access to most scientific literature, we presume that this full text of a scientific article contain vital source of information which aids in various recommendation and prediction tasks concerning this domain. To this end, we propose an approach, Paper2vec, which comprises of information from both the modalities and results in a rich representation for scientific papers. Over the recent past representation learning techniques have been studied extensively using neural networks. However, they are modeled independently for text and graph data. Paper2vec leverages recent research in the broader field of unsupervised feature learning from both graphs and text documents. We demonstrate the efficacy of our representations on three real world academic datasets in two tasks - node classification and link prediction where Paper2vec is able to outperform state-of-the-art by a considerable margin.","collection-title":"Lecture Notes in Computer Science","container-title":"Advances in Information Retrieval","DOI":"10.1007/978-3-319-56608-5_30","event-place":"Cham","ISBN":"978-3-319-56608-5","language":"en","page":"383-395","publisher":"Springer International Publishing","publisher-place":"Cham","source":"Springer Link","title":"Paper2vec: Combining Graph and Text Information for Scientific Paper Representation","title-short":"Paper2vec","author":[{"family":"Ganguly","given":"Soumyajit"},{"family":"Pudi","given":"Vikram"}],"editor":[{"family":"Jose","given":"Joemon M"},{"family":"Hauff","given":"Claudia"},{"family":"Altıngovde","given":"Ismail Sengor"},{"family":"Song","given":"Dawei"},{"family":"Albakour","given":"Dyaa"},{"family":"Watt","given":"Stuart"},{"family":"Tait","given":"John"}],"issued":{"date-parts":[["2017"]]}}},{"id":24258,"uris":["http://zotero.org/users/4632586/items/RTQNACAU"],"uri":["http://zotero.org/users/4632586/items/RTQNACAU"],"itemData":{"id":24258,"type":"article-journal","abstract":"&lt;h3&gt;Abstract&lt;/h3&gt; &lt;p&gt;We study whether novel ideas in biomedical literature appear first in preprints or traditional journals. We develop a Bayesian method to estimate the time of appearance for a phrase in the literature, and apply it to a number of phrases, both automatically extracted and suggested by experts. We see that presently most phrases appear first in the traditional journals, but there is a number of phrases with the first appearance on preprint servers. A comparison of the general composition of texts from bioRxiv and traditional journals shows a growing trend of bioRxiv being predictive of traditional journals. We discuss the application of the method for related problems.&lt;/p&gt;","container-title":"bioRxiv","DOI":"10.1101/2020.10.08.330696","language":"en","page":"2020.10.08.330696","source":"www.biorxiv.org","title":"The impact of preprint servers in the formation of novel ideas","author":[{"family":"Satish","given":"Swarup"},{"family":"Yao","given":"Zonghai"},{"family":"Drozdov","given":"Andrew"},{"family":"Veytsman","given":"Boris"}],"issued":{"date-parts":[["2020",10,8]]}}},{"id":18229,"uris":["http://zotero.org/users/4632586/items/DDEYM2ME"],"uri":["http://zotero.org/users/4632586/items/DDEYM2ME"],"itemData":{"id":18229,"type":"article-journal","container-title":"Scientometrics","DOI":"10.1007/s11192-009-2178-0","ISSN":"0138-9130, 1588-2861","issue":"2","journalAbbreviation":"Scientometrics","language":"en","page":"587-600","source":"DOI.org (Crossref)","title":"A comparison of Scopus and Web of Science for a typical university","volume":"81","author":[{"family":"Vieira","given":"Elizabeth S."},{"family":"Gomes","given":"José A. N. F."}],"issued":{"date-parts":[["2009",11]]}}}],"schema":"https://github.com/citation-style-language/schema/raw/master/csl-citation.json"} </w:instrText>
      </w:r>
      <w:r w:rsidR="00FC3A47">
        <w:rPr>
          <w:rFonts w:ascii="Acumin Pro Light" w:hAnsi="Acumin Pro Light" w:cs="Times"/>
          <w:color w:val="000000"/>
          <w:u w:color="0000E9"/>
        </w:rPr>
        <w:fldChar w:fldCharType="separate"/>
      </w:r>
      <w:r w:rsidR="00FC3A47">
        <w:rPr>
          <w:rFonts w:ascii="Acumin Pro Light" w:hAnsi="Acumin Pro Light" w:cs="Times"/>
          <w:noProof/>
          <w:color w:val="000000"/>
          <w:u w:color="0000E9"/>
        </w:rPr>
        <w:t>(Ganguly &amp; Pudi, 2017; Satish et al., 2020; Vieira &amp; Gomes, 2009)</w:t>
      </w:r>
      <w:r w:rsidR="00FC3A47">
        <w:rPr>
          <w:rFonts w:ascii="Acumin Pro Light" w:hAnsi="Acumin Pro Light" w:cs="Times"/>
          <w:color w:val="000000"/>
          <w:u w:color="0000E9"/>
        </w:rPr>
        <w:fldChar w:fldCharType="end"/>
      </w:r>
      <w:r w:rsidR="004A772D">
        <w:rPr>
          <w:rFonts w:ascii="Acumin Pro Light" w:hAnsi="Acumin Pro Light" w:cs="Times"/>
          <w:color w:val="000000"/>
          <w:u w:color="0000E9"/>
        </w:rPr>
        <w:t xml:space="preserve">. </w:t>
      </w:r>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 xml:space="preserve">As a sub-field of bibliometrics, </w:t>
      </w:r>
      <w:proofErr w:type="spellStart"/>
      <w:r w:rsidR="004A772D" w:rsidRPr="00797AA6">
        <w:rPr>
          <w:rFonts w:ascii="Acumin Pro Light" w:hAnsi="Acumin Pro Light" w:cs="Times"/>
          <w:b/>
          <w:bCs/>
          <w:color w:val="000000"/>
          <w:u w:color="0000E9"/>
        </w:rPr>
        <w:t>scientometrics</w:t>
      </w:r>
      <w:proofErr w:type="spellEnd"/>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seek</w:t>
      </w:r>
      <w:r w:rsidR="00505FA0">
        <w:rPr>
          <w:rFonts w:ascii="Acumin Pro Light" w:hAnsi="Acumin Pro Light" w:cs="Times"/>
          <w:color w:val="000000"/>
          <w:u w:color="0000E9"/>
        </w:rPr>
        <w:t>s</w:t>
      </w:r>
      <w:r w:rsidR="004A772D">
        <w:rPr>
          <w:rFonts w:ascii="Acumin Pro Light" w:hAnsi="Acumin Pro Light" w:cs="Times"/>
          <w:color w:val="000000"/>
          <w:u w:color="0000E9"/>
        </w:rPr>
        <w:t xml:space="preserve"> to apply these quantitative techniques </w:t>
      </w:r>
      <w:r w:rsidR="0074525D">
        <w:rPr>
          <w:rFonts w:ascii="Acumin Pro Light" w:hAnsi="Acumin Pro Light" w:cs="Times"/>
          <w:color w:val="000000"/>
          <w:u w:color="0000E9"/>
        </w:rPr>
        <w:t>to publication outputs in</w:t>
      </w:r>
      <w:r w:rsidR="004A772D">
        <w:rPr>
          <w:rFonts w:ascii="Acumin Pro Light" w:hAnsi="Acumin Pro Light" w:cs="Times"/>
          <w:color w:val="000000"/>
          <w:u w:color="0000E9"/>
        </w:rPr>
        <w:t xml:space="preserve"> order to describe phenomena such as</w:t>
      </w:r>
      <w:r w:rsidR="0074525D">
        <w:rPr>
          <w:rFonts w:ascii="Acumin Pro Light" w:hAnsi="Acumin Pro Light" w:cs="Times"/>
          <w:color w:val="000000"/>
          <w:u w:color="0000E9"/>
        </w:rPr>
        <w:t>:</w:t>
      </w:r>
      <w:r w:rsidR="004A772D">
        <w:rPr>
          <w:rFonts w:ascii="Acumin Pro Light" w:hAnsi="Acumin Pro Light" w:cs="Times"/>
          <w:color w:val="000000"/>
          <w:u w:color="0000E9"/>
        </w:rPr>
        <w:t xml:space="preserve"> </w:t>
      </w:r>
      <w:r w:rsidR="0074525D">
        <w:rPr>
          <w:rFonts w:ascii="Acumin Pro Light" w:hAnsi="Acumin Pro Light" w:cs="Times"/>
          <w:color w:val="000000"/>
          <w:u w:color="0000E9"/>
        </w:rPr>
        <w:t>the historical or current dynamics of national and international</w:t>
      </w:r>
      <w:r w:rsidR="004A772D">
        <w:rPr>
          <w:rFonts w:ascii="Acumin Pro Light" w:hAnsi="Acumin Pro Light" w:cs="Times"/>
          <w:color w:val="000000"/>
          <w:u w:color="0000E9"/>
        </w:rPr>
        <w:t xml:space="preserve"> scientific collaboration </w:t>
      </w:r>
      <w:r w:rsidR="0074525D">
        <w:rPr>
          <w:rFonts w:ascii="Acumin Pro Light" w:hAnsi="Acumin Pro Light" w:cs="Times"/>
          <w:color w:val="000000"/>
          <w:u w:color="0000E9"/>
        </w:rPr>
        <w:fldChar w:fldCharType="begin"/>
      </w:r>
      <w:r w:rsidR="004D2173">
        <w:rPr>
          <w:rFonts w:ascii="Acumin Pro Light" w:hAnsi="Acumin Pro Light" w:cs="Times"/>
          <w:color w:val="000000"/>
          <w:u w:color="0000E9"/>
        </w:rPr>
        <w:instrText xml:space="preserve"> ADDIN ZOTERO_ITEM CSL_CITATION {"citationID":"CxQBwEW0","properties":{"formattedCitation":"(Grandjean et al., 2017; Gui et al., 2019; J. Li et al., 2020; Newman, 2001; Stek &amp; van Geenhuizen, 2016)","plainCitation":"(Grandjean et al., 2017; Gui et al., 2019; J. Li et al., 2020; Newman, 2001; Stek &amp; van Geenhuizen, 2016)","dontUpdate":true,"noteIndex":0},"citationItems":[{"id":6498,"uris":["http://zotero.org/users/4632586/items/NIT2CM9D"],"uri":["http://zotero.org/users/4632586/items/NIT2CM9D"],"itemData":{"id":6498,"type":"paper-conference","event":"7e Congrès de l’Association Française de Sociologie","language":"fr","source":"halshs.archives-ouvertes.fr","title":"Elites académiques et (re)définition des frontières disciplinaires. Collaborations interdisciplinaires et structure du pouvoir académique","URL":"https://halshs.archives-ouvertes.fr/halshs-01525575","author":[{"family":"Grandjean","given":"Martin"},{"family":"Benz","given":"Pierre"},{"family":"Rossier","given":"Thierry"}],"accessed":{"date-parts":[["2020",1,16]]},"issued":{"date-parts":[["2017"]]}}},{"id":26208,"uris":["http://zotero.org/users/4632586/items/HPPFCZ4J"],"uri":["http://zotero.org/users/4632586/items/HPPFCZ4J"],"itemData":{"id":26208,"type":"article-journal","abstract":"Science is increasingly global. The number of internationally co-authored papers is growing rapidly. However, there is a paucity of analysis of the globalization of science from the international scientific collaboration perspective. Using bibliographical data from the Web of Science database, this paper uses social network analysis to investigate the structure, dynamics and determinants of international scientific collaboration networks for the period 2000–2015. Results show that globalization of science is becoming increasingly prominent, and the number of nodes and ties in the network has substantially increased over time. A bipolar world once led by Anglo-America is gradually replaced by a tri-polar world (Europe, North America, and Asia-Pacific). The traditional science powerhouses have occupied central positions in the network, while the new emergent scientific countries are rising, both driving the evolution of world order. The world science system has an obvious core-periphery structure, and a more competitive multi-centric core is observed. The network hierarchy implies that the USA acts as a top-level coordination center around the world and the international collaboration follows a path-dependent process. In addition, Quadratic Assignment Procedure (QAP) analysis indicates that post-colonial links, English, economic proximity, science capability proximity, social proximity and international student have a positive effect on the international collaboration, while geographical distance plays a negative and insignificant role.","container-title":"Geoforum","DOI":"10.1016/j.geoforum.2019.06.017","ISSN":"0016-7185","journalAbbreviation":"Geoforum","language":"en","page":"1-12","source":"ScienceDirect","title":"Globalization of science and international scientific collaboration: A network perspective","title-short":"Globalization of science and international scientific collaboration","volume":"105","author":[{"family":"Gui","given":"Qinchang"},{"family":"Liu","given":"Chengliang"},{"family":"Du","given":"Debin"}],"issued":{"date-parts":[["2019",10,1]]}}},{"id":18129,"uris":["http://zotero.org/users/4632586/items/APC4F8HI"],"uri":["http://zotero.org/users/4632586/items/APC4F8HI"],"itemData":{"id":18129,"type":"article-journal","abstract":"Throughout history, a relatively small number of individuals have made a profound and lasting impact on science and society. Despite long-standing, multi-disciplinary interests in understanding careers of elite scientists, there have been limited attempts for a quantitative, career-level analysis. Here, we leverage a comprehensive dataset we assembled, allowing us to trace the entire career histories of nearly all Nobel laureates in physics, chemistry, and physiology or medicine over the past century. We find that, although Nobel laureates were energetic producers from the outset, producing works that garner unusually high impact, their careers before winning the prize follow relatively similar patterns to those of ordinary scientists, being characterized by hot streaks and increasing reliance on collaborations. We also uncovered notable variations along their careers, often associated with the Nobel Prize, including shifting coauthorship structure in the prize-winning work, and a significant but temporary dip in the impact of work they produce after winning the Nobel Prize. Together, these results document quantitative patterns governing the careers of scientific elites, offering an empirical basis for a deeper understanding of the hallmarks of exceptional careers in science.","container-title":"Journal of The Royal Society Interface","DOI":"10.1098/rsif.2020.0135","issue":"165","journalAbbreviation":"Journal of The Royal Society Interface","note":"publisher: Royal Society","page":"20200135","source":"royalsocietypublishing.org (Atypon)","title":"Scientific elite revisited: patterns of productivity, collaboration, authorship and impact","title-short":"Scientific elite revisited","volume":"17","author":[{"family":"Li","given":"Jichao"},{"family":"Yin","given":"Yian"},{"family":"Fortunato","given":"Santo"},{"family":"Wang","given":"Dashun"}],"issued":{"date-parts":[["2020",4,29]]}}},{"id":26201,"uris":["http://zotero.org/users/4632586/items/5ISNZFWG"],"uri":["http://zotero.org/users/4632586/items/5ISNZFWG"],"itemData":{"id":26201,"type":"article-journal","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studied.","container-title":"Proceedings of the National Academy of Sciences","DOI":"10.1073/pnas.98.2.404","ISSN":"0027-8424, 1091-6490","issue":"2","journalAbbreviation":"PNAS","language":"en","note":"publisher: National Academy of Sciences\nsection: Physical Sciences","page":"404-409","source":"www.pnas.org","title":"The structure of scientific collaboration networks","volume":"98","author":[{"family":"Newman","given":"M. E. J."}],"issued":{"date-parts":[["2001",1,16]]}}},{"id":18410,"uris":["http://zotero.org/users/4632586/items/WNPQQZYE"],"uri":["http://zotero.org/users/4632586/items/WNPQQZYE"],"itemData":{"id":18410,"type":"article-journal","abstract":"International research interactions, specifically interpersonal collaboration, institutional collaboration and within multinational corporation (MNC) collaboration, have been increasing since the 2000s as a result of globalization and rising technological complexity. Yet the impact of international research interactions (IRIs) on national innovation performance is ambiguous. In this study patent-based bibliometric indicators are developed to investigate the influence of different types of IRI on innovation performance using bibliometric data covering eight knowledge intensive manufacturing sectors and 32 countries during the 2003–2008 period. This sector-based approach avoids some of the problems of using patents as innovation indicators, like varying patenting propensities across sectors by comparing the same sectors across countries. In the study a knowledge production function is estimated for each sector, with patents serving as an indicator of knowledge output. The overall results suggest an absence of positive influence of IRI on innovation performance, and sometimes even a negative influence pointing to ‘reversed knowledge flows’. But the pattern is nuanced and differs per sector and type of collaboration. For example, interpersonal collaboration has a negative or no effect on innovation performance depending on the sector, and institutional collaboration has no effect on innovation performance. Within MNC collaboration has a positive influence on innovation performance in the chemicals and pharmaceuticals sectors, but a negative effect or no effect in other sectors. Computers are an exceptional sector in that the influence of IRI depends on the absolute size of the sector in the domestic economy. The paper concludes with the theoretical relevance of these findings and some policy implications are also discussed.","container-title":"Technological Forecasting and Social Change","DOI":"10.1016/j.techfore.2015.09.017","ISSN":"0040-1625","journalAbbreviation":"Technological Forecasting and Social Change","language":"en","page":"61-70","source":"ScienceDirect","title":"The influence of international research interaction on national innovation performance: A bibliometric approach","title-short":"The influence of international research interaction on national innovation performance","volume":"110","author":[{"family":"Stek","given":"Pieter E."},{"family":"Geenhuizen","given":"Marina S.","non-dropping-particle":"van"}],"issued":{"date-parts":[["2016",9,1]]}}}],"schema":"https://github.com/citation-style-language/schema/raw/master/csl-citation.json"} </w:instrText>
      </w:r>
      <w:r w:rsidR="0074525D">
        <w:rPr>
          <w:rFonts w:ascii="Acumin Pro Light" w:hAnsi="Acumin Pro Light" w:cs="Times"/>
          <w:color w:val="000000"/>
          <w:u w:color="0000E9"/>
        </w:rPr>
        <w:fldChar w:fldCharType="separate"/>
      </w:r>
      <w:r w:rsidR="00FC3A47">
        <w:rPr>
          <w:rFonts w:ascii="Acumin Pro Light" w:hAnsi="Acumin Pro Light" w:cs="Times"/>
          <w:noProof/>
          <w:color w:val="000000"/>
          <w:u w:color="0000E9"/>
        </w:rPr>
        <w:t>(Gui et al., 2019; J. Li et al., 2020; Newman, 2001; Stek &amp; van Geenhuizen, 2016)</w:t>
      </w:r>
      <w:r w:rsidR="0074525D">
        <w:rPr>
          <w:rFonts w:ascii="Acumin Pro Light" w:hAnsi="Acumin Pro Light" w:cs="Times"/>
          <w:color w:val="000000"/>
          <w:u w:color="0000E9"/>
        </w:rPr>
        <w:fldChar w:fldCharType="end"/>
      </w:r>
      <w:r w:rsidR="0074525D">
        <w:rPr>
          <w:rFonts w:ascii="Acumin Pro Light" w:hAnsi="Acumin Pro Light" w:cs="Times"/>
          <w:color w:val="000000"/>
          <w:u w:color="0000E9"/>
        </w:rPr>
        <w:t xml:space="preserve">; </w:t>
      </w:r>
      <w:commentRangeStart w:id="0"/>
      <w:r w:rsidR="004A772D">
        <w:rPr>
          <w:rFonts w:ascii="Acumin Pro Light" w:hAnsi="Acumin Pro Light" w:cs="Times"/>
          <w:color w:val="000000"/>
          <w:u w:color="0000E9"/>
        </w:rPr>
        <w:t xml:space="preserve">the </w:t>
      </w:r>
      <w:r w:rsidR="00FC3A47">
        <w:rPr>
          <w:rFonts w:ascii="Acumin Pro Light" w:hAnsi="Acumin Pro Light" w:cs="Times"/>
          <w:color w:val="000000"/>
          <w:u w:color="0000E9"/>
        </w:rPr>
        <w:t>emergence of innovations in</w:t>
      </w:r>
      <w:r w:rsidR="004A772D">
        <w:rPr>
          <w:rFonts w:ascii="Acumin Pro Light" w:hAnsi="Acumin Pro Light" w:cs="Times"/>
          <w:color w:val="000000"/>
          <w:u w:color="0000E9"/>
        </w:rPr>
        <w:t xml:space="preserve"> particular fields like </w:t>
      </w:r>
      <w:r w:rsidR="00FC3A47">
        <w:rPr>
          <w:rFonts w:ascii="Acumin Pro Light" w:hAnsi="Acumin Pro Light" w:cs="Times"/>
          <w:color w:val="000000"/>
          <w:u w:color="0000E9"/>
        </w:rPr>
        <w:t xml:space="preserve">materials science, topics like big data, or even particular technologies like flash memory or solid-state drives </w:t>
      </w:r>
      <w:r w:rsidR="0074525D">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{"citationID":"pbeVqpzI","properties":{"formattedCitation":"(Gl\\uc0\\u228{}ser &amp; Laudel, 2015, 2015; Y. Li et al., 2018; Ranaei et al., 2019)","plainCitation":"(Gläser &amp; Laudel, 2015, 2015; Y. Li et al., 2018; Ranaei et al., 2019)","noteIndex":0},"citationItems":[{"id":23186,"uris":["http://zotero.org/users/4632586/items/TXVYNN77"],"uri":["http://zotero.org/users/4632586/items/TXVYNN77"],"itemData":{"id":23186,"type":"article-journal","abstract":"\"Abrupt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26204,"uris":["http://zotero.org/users/4632586/items/IPMMUJYV"],"uri":["http://zotero.org/users/4632586/items/IPMMUJYV"],"itemData":{"id":26204,"type":"article-journal","abstract":"Interinstitutional scientific collaboration plays an important role in knowledge production and scientific development. Together with the increasing scale of scientific collaboration, a few institutions that positively participate in interinstitutional scientific collaboration are important in collaboration networks. However, whether becoming an important institution in collaboration networks could be a contributing factor to research success and how these important institutions collaborate are still indistinct. In this paper, we identified the scientific institutions that possess the highest degree centrality as important institutions of an interinstitutional scientific collaboration network in materials science and examined their collaboration preferences utilizing several network measures. We first visualized the appearance of these important institutions that had the most positive collaborations in the interinstitutional scientific collaboration networks during the period of 2005–2015 and found an obvious scale-free feature in interinstitutional scientific collaboration networks. Then, we measured the advantages of being important in collaboration networks to research performance and found that positive interinstitutional collaborations can always bring both publication advantages and citation advantages. Finally, we identified two collaboration preferences of these important institutions in collaboration networks—one type of important institution represented by the Chinese Academy of Science plays an intermediary role between domestic institutions and foreign institutions with high betweenness centrality and a low clustering coefficient. This type of important institution has better performance in the number of publications. The other type of important institution represented by MIT tends to collaborate with similar institutions that have positive collaborations and possess a larger citation growth rate. Our finding can provide a better understanding of important institutions’ collaboration preferences and have significant reference for government policy and institutional collaboration strategies.","container-title":"Scientometrics","DOI":"10.1007/s11192-018-2837-0","ISSN":"1588-2861","issue":"1","journalAbbreviation":"Scientometrics","language":"en","page":"85-103","source":"Springer Link","title":"Important institutions of interinstitutional scientific collaboration networks in materials science","volume":"117","author":[{"family":"Li","given":"Yang"},{"family":"Li","given":"Huajiao"},{"family":"Liu","given":"Nairong"},{"family":"Liu","given":"Xueyong"}],"issued":{"date-parts":[["2018",10,1]]}}},{"id":24260,"uris":["http://zotero.org/users/4632586/items/Q5QUSRKE"],"uri":["http://zotero.org/users/4632586/items/Q5QUSRKE"],"itemData":{"id":24260,"type":"article-journal","abstract":"Scientometric methods have long been used to identify technological trajectories, but we have seldom seen reproducible methods that allow for the identification of a technological emergence in a set of documents. This study evaluates the use of three different reproducible approaches for identifying the emergence of technological novelties in scientific publications. The selected approaches are term counting technique, the emergence score (EScore) and Latent Dirichlet Allocation (LDA). We found that the methods provide somewhat distinct perspectives on technological. The term count based method identifies detailed emergence patterns. EScore is a complex bibliometric indicator that provides a holistic view of emergence by considering several parameters, namely term frequency, size, and origin of the research community. LDA traces emergence at the thematic level and provides insights on the linkages between emerging research topics. The results suggest that term counting produces results practical for operational purposes, while LDA offers insight at a strategic level.","container-title":"Scientometrics","DOI":"10.1007/s11192-019-03275-w","journalAbbreviation":"Scientometrics","source":"ResearchGate","title":"Evaluating technological emergence using text analytics: two case technologies and three approaches","title-short":"Evaluating technological emergence using text analytics","author":[{"family":"Ranaei","given":"Samira"},{"family":"Suominen","given":"Arho"},{"family":"Porter","given":"Alan"},{"family":"Carley","given":"Stephen"}],"issued":{"date-parts":[["2019",11,2]]}}}],"schema":"https://github.com/citation-style-language/schema/raw/master/csl-citation.json"} </w:instrText>
      </w:r>
      <w:r w:rsidR="0074525D">
        <w:rPr>
          <w:rFonts w:ascii="Acumin Pro Light" w:hAnsi="Acumin Pro Light" w:cs="Times"/>
          <w:color w:val="000000"/>
          <w:u w:color="0000E9"/>
        </w:rPr>
        <w:fldChar w:fldCharType="separate"/>
      </w:r>
      <w:r w:rsidR="00FC3A47" w:rsidRPr="00FC3A47">
        <w:rPr>
          <w:rFonts w:ascii="Acumin Pro Light" w:hAnsi="Acumin Pro Light" w:cs="Times New Roman"/>
          <w:color w:val="000000"/>
        </w:rPr>
        <w:t>(Gläser &amp; Laudel, 2015, 2015; Y. Li et al., 2018; Ranaei et al., 2019)</w:t>
      </w:r>
      <w:r w:rsidR="0074525D">
        <w:rPr>
          <w:rFonts w:ascii="Acumin Pro Light" w:hAnsi="Acumin Pro Light" w:cs="Times"/>
          <w:color w:val="000000"/>
          <w:u w:color="0000E9"/>
        </w:rPr>
        <w:fldChar w:fldCharType="end"/>
      </w:r>
      <w:r w:rsidR="00FC3A47">
        <w:rPr>
          <w:rFonts w:ascii="Acumin Pro Light" w:hAnsi="Acumin Pro Light" w:cs="Times"/>
          <w:color w:val="000000"/>
          <w:u w:color="0000E9"/>
        </w:rPr>
        <w:t xml:space="preserve">; </w:t>
      </w:r>
      <w:commentRangeEnd w:id="0"/>
      <w:r w:rsidR="00057896">
        <w:rPr>
          <w:rStyle w:val="CommentReference"/>
        </w:rPr>
        <w:commentReference w:id="0"/>
      </w:r>
      <w:r w:rsidR="004A772D">
        <w:rPr>
          <w:rFonts w:ascii="Acumin Pro Light" w:hAnsi="Acumin Pro Light" w:cs="Times"/>
          <w:color w:val="000000"/>
          <w:u w:color="0000E9"/>
        </w:rPr>
        <w:t>to explain</w:t>
      </w:r>
      <w:r w:rsidR="00505FA0">
        <w:rPr>
          <w:rFonts w:ascii="Acumin Pro Light" w:hAnsi="Acumin Pro Light" w:cs="Times"/>
          <w:color w:val="000000"/>
          <w:u w:color="0000E9"/>
        </w:rPr>
        <w:t xml:space="preserve"> how publication </w:t>
      </w:r>
      <w:r w:rsidR="000D62EC">
        <w:rPr>
          <w:rFonts w:ascii="Acumin Pro Light" w:hAnsi="Acumin Pro Light" w:cs="Times"/>
          <w:color w:val="000000"/>
          <w:u w:color="0000E9"/>
        </w:rPr>
        <w:t xml:space="preserve">and citation </w:t>
      </w:r>
      <w:r w:rsidR="00505FA0">
        <w:rPr>
          <w:rFonts w:ascii="Acumin Pro Light" w:hAnsi="Acumin Pro Light" w:cs="Times"/>
          <w:color w:val="000000"/>
          <w:u w:color="0000E9"/>
        </w:rPr>
        <w:t xml:space="preserve">activity </w:t>
      </w:r>
      <w:r w:rsidR="000D62EC">
        <w:rPr>
          <w:rFonts w:ascii="Acumin Pro Light" w:hAnsi="Acumin Pro Light" w:cs="Times"/>
          <w:color w:val="000000"/>
          <w:u w:color="0000E9"/>
        </w:rPr>
        <w:t xml:space="preserve">differs based on gender, and </w:t>
      </w:r>
      <w:r w:rsidR="00505FA0">
        <w:rPr>
          <w:rFonts w:ascii="Acumin Pro Light" w:hAnsi="Acumin Pro Light" w:cs="Times"/>
          <w:color w:val="000000"/>
          <w:u w:color="0000E9"/>
        </w:rPr>
        <w:t>relates to career outcomes for scientist</w:t>
      </w:r>
      <w:r w:rsidR="000D62EC">
        <w:rPr>
          <w:rFonts w:ascii="Acumin Pro Light" w:hAnsi="Acumin Pro Light" w:cs="Times"/>
          <w:color w:val="000000"/>
          <w:u w:color="0000E9"/>
        </w:rPr>
        <w:t xml:space="preserve">s </w:t>
      </w:r>
      <w:r w:rsidR="000D62EC">
        <w:rPr>
          <w:rFonts w:ascii="Acumin Pro Light" w:hAnsi="Acumin Pro Light" w:cs="Times"/>
          <w:color w:val="000000"/>
          <w:u w:color="0000E9"/>
        </w:rPr>
        <w:fldChar w:fldCharType="begin"/>
      </w:r>
      <w:r w:rsidR="000D62EC">
        <w:rPr>
          <w:rFonts w:ascii="Acumin Pro Light" w:hAnsi="Acumin Pro Light" w:cs="Times"/>
          <w:color w:val="000000"/>
          <w:u w:color="0000E9"/>
        </w:rPr>
        <w:instrText xml:space="preserve"> ADDIN ZOTERO_ITEM CSL_CITATION {"citationID":"nWveopsL","properties":{"formattedCitation":"(King et al., 2017; Nosek et al., 2010; Parker et al., 2013)","plainCitation":"(King et al., 2017; Nosek et al., 2010; Parker et al., 2013)","noteIndex":0},"citationItems":[{"id":26221,"uris":["http://zotero.org/users/4632586/items/TN2BJ9H9"],"uri":["http://zotero.org/users/4632586/items/TN2BJ9H9"],"itemData":{"id":26221,"type":"article-journal","abstract":"How common is self-citation in scholarly publication, and does the practice vary by gender? Using novel methods and a data set of 1.5 million research papers in the scholarly database JSTOR published between 1779 and 2011, the authors find that nearly 10 percent of references are self-citations by a paper’s authors. The findings also show that between 1779 and 2011, men cited their own papers 56 percent more than did women. In the last two decades of data, men self-cited 70 percent more than women. Women are also more than 10 percentage points more likely than men to not cite their own previous work at all. While these patterns could result from differences in the number of papers that men and women authors have published rather than gender-specific patterns of self-citation behavior, this gender gap in self-citation rates has remained stable over the last 50 years, despite increased representation of women in academia. The authors break down self-citation patterns by academic field and number of authors and comment on potential mechanisms behind these observations. These findings have important implications for scholarly visibility and cumulative advantage in academic careers.","container-title":"Socius","DOI":"10.1177/2378023117738903","ISSN":"2378-0231","journalAbbreviation":"Socius","language":"en","note":"publisher: SAGE Publications","page":"2378023117738903","source":"SAGE Journals","title":"Men Set Their Own Cites High: Gender and Self-citation across Fields and over Time","title-short":"Men Set Their Own Cites High","volume":"3","author":[{"family":"King","given":"Molly M."},{"family":"Bergstrom","given":"Carl T."},{"family":"Correll","given":"Shelley J."},{"family":"Jacquet","given":"Jennifer"},{"family":"West","given":"Jevin D."}],"issued":{"date-parts":[["2017",1,1]]}}},{"id":26223,"uris":["http://zotero.org/users/4632586/items/3VEAW8JT"],"uri":["http://zotero.org/users/4632586/items/3VEAW8JT"],"itemData":{"id":26223,"type":"article-journal","abstract":"Number of citations and the h-index are popular metrics for indexing scientific impact. These, and other existing metrics, are strongly related to scientists’ seniority. This article introduces complementary indicators that are unrelated to the number of years since PhD. To illustrate cumulative and career-stage approaches for assessing the scientific impact across a discipline, citations for 611 scientists from 97 U.S. and Canadian social psychology programs are amassed and analyzed. Results provide benchmarks for evaluating impact across the career span in psychology and other disciplines with similar citation patterns. Career-stage indicators provide a very different perspective on individual and program impact than cumulative impact, and may predict emerging scientists and programs. Comparing social groups, Whites and men had higher impact than non-Whites and women, respectively. However, average differences in career stage accounted for most of the difference for both groups.","container-title":"Personality and Social Psychology Bulletin","DOI":"10.1177/0146167210378111","ISSN":"0146-1672","issue":"10","journalAbbreviation":"Pers Soc Psychol Bull","language":"en","note":"publisher: SAGE Publications Inc","page":"1283-1300","source":"SAGE Journals","title":"Cumulative and Career-Stage Citation Impact of Social-Personality Psychology Programs and Their Members","volume":"36","author":[{"family":"Nosek","given":"Brian A."},{"family":"Graham","given":"Jesse"},{"family":"Lindner","given":"Nicole M."},{"family":"Kesebir","given":"Selin"},{"family":"Hawkins","given":"Carlee Beth"},{"family":"Hahn","given":"Cheryl"},{"family":"Schmidt","given":"Kathleen"},{"family":"Motyl","given":"Matt"},{"family":"Joy-Gaba","given":"Jennifer"},{"family":"Frazier","given":"Rebecca"},{"family":"Tenney","given":"Elizabeth R."}],"issued":{"date-parts":[["2010",10,1]]}}},{"id":26227,"uris":["http://zotero.org/users/4632586/items/849CDNEZ"],"uri":["http://zotero.org/users/4632586/items/849CDNEZ"],"itemData":{"id":26227,"type":"article-journal","abstract":"Science is principally driven by the efforts of a vanishingly small fraction of researchers publishing the majority of scientiﬁc research and garnering the majority of citations. Despite this well-established trend, knowledge of exactly how many articles these researchers publish, how highly they are cited, and how they achieved their distinctive accomplishments is meager. This article examines the publication and citation patterns of the world’s most highly cited environmental scientists and ecologists, inquiring into their levels of scientiﬁc productivity and visibility, examining relationships between scientiﬁc productivity and quality within their research programs, and considering how different publication strategies contribute to these distinctive successes. Generally speaking, highly cited researchers are also highly productive, publishing on average well over 100 articles each. Furthermore, articles published by this group are more highly cited on average than articles published in premier generalist journal like Nature and Science, and their citation to publication ratios are more equitably distributed than is typical. Research specialization and primacy of authorship are important determinants of citation frequency, while geographic differences and collaborative propensity matter less. The article closes with a set of suggestions for those wishing to increase the use of their research by the scientiﬁc community.","container-title":"Scientometrics","DOI":"10.1007/s11192-012-0859-6","ISSN":"0138-9130, 1588-2861","issue":"2","journalAbbreviation":"Scientometrics","language":"en","page":"469-480","source":"DOI.org (Crossref)","title":"Characterizing a scientific elite (B): publication and citation patterns of the most highly cited scientists in environmental science and ecology","title-short":"Characterizing a scientific elite (B)","volume":"94","author":[{"family":"Parker","given":"John N."},{"family":"Allesina","given":"Stefano"},{"family":"Lortie","given":"Christopher J."}],"issued":{"date-parts":[["2013",2]]}}}],"schema":"https://github.com/citation-style-language/schema/raw/master/csl-citation.json"} </w:instrText>
      </w:r>
      <w:r w:rsidR="000D62EC">
        <w:rPr>
          <w:rFonts w:ascii="Acumin Pro Light" w:hAnsi="Acumin Pro Light" w:cs="Times"/>
          <w:color w:val="000000"/>
          <w:u w:color="0000E9"/>
        </w:rPr>
        <w:fldChar w:fldCharType="separate"/>
      </w:r>
      <w:r w:rsidR="000D62EC">
        <w:rPr>
          <w:rFonts w:ascii="Acumin Pro Light" w:hAnsi="Acumin Pro Light" w:cs="Times"/>
          <w:noProof/>
          <w:color w:val="000000"/>
          <w:u w:color="0000E9"/>
        </w:rPr>
        <w:t>(King et al., 2017; Nosek et al., 2010; Parker et al., 2013)</w:t>
      </w:r>
      <w:r w:rsidR="000D62EC">
        <w:rPr>
          <w:rFonts w:ascii="Acumin Pro Light" w:hAnsi="Acumin Pro Light" w:cs="Times"/>
          <w:color w:val="000000"/>
          <w:u w:color="0000E9"/>
        </w:rPr>
        <w:fldChar w:fldCharType="end"/>
      </w:r>
      <w:r w:rsidR="000D62EC">
        <w:rPr>
          <w:rFonts w:ascii="Acumin Pro Light" w:hAnsi="Acumin Pro Light" w:cs="Times"/>
          <w:color w:val="000000"/>
          <w:u w:color="0000E9"/>
        </w:rPr>
        <w:t xml:space="preserve">. </w:t>
      </w:r>
      <w:r w:rsidR="00057896">
        <w:rPr>
          <w:rFonts w:ascii="Acumin Pro Light" w:hAnsi="Acumin Pro Light" w:cs="Times"/>
          <w:color w:val="000000"/>
          <w:u w:color="0000E9"/>
        </w:rPr>
        <w:t xml:space="preserve">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has contributed techniques that are useful both for enhancing research monitoring and distribution platforms, and also for conducting sociological analyses of various dimensions of scientific practice.  Increasingly, though, there is also overlap between practitioners of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and others in fields like policy studies, economic geography and those conducing evaluations of funding programs.</w:t>
      </w:r>
    </w:p>
    <w:p w14:paraId="5D6A8FE7" w14:textId="77777777" w:rsidR="00064977" w:rsidRDefault="00C43EEA"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lastRenderedPageBreak/>
        <w:t>Robust datasets, the expansion of linked data, and f</w:t>
      </w:r>
      <w:r w:rsidR="000D62EC">
        <w:rPr>
          <w:rFonts w:ascii="Acumin Pro Light" w:hAnsi="Acumin Pro Light" w:cs="Times"/>
          <w:color w:val="000000"/>
          <w:u w:color="0000E9"/>
        </w:rPr>
        <w:t>requent</w:t>
      </w:r>
      <w:r w:rsidR="00505FA0">
        <w:rPr>
          <w:rFonts w:ascii="Acumin Pro Light" w:hAnsi="Acumin Pro Light" w:cs="Times"/>
          <w:color w:val="000000"/>
          <w:u w:color="0000E9"/>
        </w:rPr>
        <w:t xml:space="preserve"> collaboration with researchers in </w:t>
      </w:r>
      <w:r w:rsidR="00505FA0" w:rsidRPr="00797AA6">
        <w:rPr>
          <w:rFonts w:ascii="Acumin Pro Light" w:hAnsi="Acumin Pro Light" w:cs="Times"/>
          <w:b/>
          <w:bCs/>
          <w:color w:val="000000"/>
          <w:u w:color="0000E9"/>
        </w:rPr>
        <w:t>comput</w:t>
      </w:r>
      <w:r w:rsidR="000D62EC" w:rsidRPr="00797AA6">
        <w:rPr>
          <w:rFonts w:ascii="Acumin Pro Light" w:hAnsi="Acumin Pro Light" w:cs="Times"/>
          <w:b/>
          <w:bCs/>
          <w:color w:val="000000"/>
          <w:u w:color="0000E9"/>
        </w:rPr>
        <w:t>ational social sciences</w:t>
      </w:r>
      <w:r w:rsidR="00505FA0">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natural language processing</w:t>
      </w:r>
      <w:r w:rsidR="000D62EC">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network science</w:t>
      </w:r>
      <w:r w:rsidR="000D62EC">
        <w:rPr>
          <w:rFonts w:ascii="Acumin Pro Light" w:hAnsi="Acumin Pro Light" w:cs="Times"/>
          <w:color w:val="000000"/>
          <w:u w:color="0000E9"/>
        </w:rPr>
        <w:t>,</w:t>
      </w:r>
      <w:r>
        <w:rPr>
          <w:rFonts w:ascii="Acumin Pro Light" w:hAnsi="Acumin Pro Light" w:cs="Times"/>
          <w:color w:val="000000"/>
          <w:u w:color="0000E9"/>
        </w:rPr>
        <w:t xml:space="preserve"> </w:t>
      </w:r>
      <w:r w:rsidR="00F74641">
        <w:rPr>
          <w:rFonts w:ascii="Acumin Pro Light" w:hAnsi="Acumin Pro Light" w:cs="Times"/>
          <w:color w:val="000000"/>
          <w:u w:color="0000E9"/>
        </w:rPr>
        <w:t>economics and geography</w:t>
      </w:r>
      <w:r>
        <w:rPr>
          <w:rFonts w:ascii="Acumin Pro Light" w:hAnsi="Acumin Pro Light" w:cs="Times"/>
          <w:color w:val="000000"/>
          <w:u w:color="0000E9"/>
        </w:rPr>
        <w:t xml:space="preserve"> enables researchers to develop </w:t>
      </w:r>
      <w:r w:rsidR="00AF0E87">
        <w:rPr>
          <w:rFonts w:ascii="Acumin Pro Light" w:hAnsi="Acumin Pro Light" w:cs="Times"/>
          <w:color w:val="000000"/>
          <w:u w:color="0000E9"/>
        </w:rPr>
        <w:t>actionable insights not only for</w:t>
      </w:r>
      <w:r w:rsidR="00715F4F">
        <w:rPr>
          <w:rFonts w:ascii="Acumin Pro Light" w:hAnsi="Acumin Pro Light" w:cs="Times"/>
          <w:color w:val="000000"/>
          <w:u w:color="0000E9"/>
        </w:rPr>
        <w:t xml:space="preserve"> research program managers and evaluators</w:t>
      </w:r>
      <w:r w:rsidR="00AF0E87">
        <w:rPr>
          <w:rFonts w:ascii="Acumin Pro Light" w:hAnsi="Acumin Pro Light" w:cs="Times"/>
          <w:color w:val="000000"/>
          <w:u w:color="0000E9"/>
        </w:rPr>
        <w:t xml:space="preserve"> hoping to increase their team’s impact, but also to policy makers more broadly</w:t>
      </w:r>
      <w:r w:rsidR="00715F4F">
        <w:rPr>
          <w:rFonts w:ascii="Acumin Pro Light" w:hAnsi="Acumin Pro Light" w:cs="Times"/>
          <w:color w:val="000000"/>
          <w:u w:color="0000E9"/>
        </w:rPr>
        <w:t xml:space="preserve">. </w:t>
      </w:r>
      <w:r>
        <w:rPr>
          <w:rFonts w:ascii="Acumin Pro Light" w:hAnsi="Acumin Pro Light" w:cs="Times"/>
          <w:color w:val="000000"/>
          <w:u w:color="0000E9"/>
        </w:rPr>
        <w:t xml:space="preserve"> For instance, a</w:t>
      </w:r>
      <w:r w:rsidR="00F74641">
        <w:rPr>
          <w:rFonts w:ascii="Acumin Pro Light" w:hAnsi="Acumin Pro Light" w:cs="Times"/>
          <w:color w:val="000000"/>
          <w:u w:color="0000E9"/>
        </w:rPr>
        <w:t>t the 7</w:t>
      </w:r>
      <w:r w:rsidR="00F74641" w:rsidRPr="00F74641">
        <w:rPr>
          <w:rFonts w:ascii="Acumin Pro Light" w:hAnsi="Acumin Pro Light" w:cs="Times"/>
          <w:color w:val="000000"/>
          <w:u w:color="0000E9"/>
          <w:vertAlign w:val="superscript"/>
        </w:rPr>
        <w:t>th</w:t>
      </w:r>
      <w:r w:rsidR="00F74641">
        <w:rPr>
          <w:rFonts w:ascii="Acumin Pro Light" w:hAnsi="Acumin Pro Light" w:cs="Times"/>
          <w:color w:val="000000"/>
          <w:u w:color="0000E9"/>
        </w:rPr>
        <w:t xml:space="preserve"> Satellite on Quantifying Success at this year’s Network Science Conference, researchers from Northwestern University’s Center for </w:t>
      </w:r>
      <w:r w:rsidR="00E40BAB">
        <w:rPr>
          <w:rFonts w:ascii="Acumin Pro Light" w:hAnsi="Acumin Pro Light" w:cs="Times"/>
          <w:color w:val="000000"/>
          <w:u w:color="0000E9"/>
        </w:rPr>
        <w:t xml:space="preserve">Science of Science and Innovation presented work drawing linkages between funding of scientific research and publications’ likelihood of being cited in government policy documents, by media outlets and in patents.  Furnishing their analysis was 200 million articles from the Microsoft Academic Graph, and </w:t>
      </w:r>
      <w:proofErr w:type="spellStart"/>
      <w:r w:rsidR="00E40BAB">
        <w:rPr>
          <w:rFonts w:ascii="Acumin Pro Light" w:hAnsi="Acumin Pro Light" w:cs="Times"/>
          <w:color w:val="000000"/>
          <w:u w:color="0000E9"/>
        </w:rPr>
        <w:t>Altmetric’s</w:t>
      </w:r>
      <w:proofErr w:type="spellEnd"/>
      <w:r w:rsidR="00E40BAB">
        <w:rPr>
          <w:rFonts w:ascii="Acumin Pro Light" w:hAnsi="Acumin Pro Light" w:cs="Times"/>
          <w:color w:val="000000"/>
          <w:u w:color="0000E9"/>
        </w:rPr>
        <w:t xml:space="preserve"> store of an additional 350K articles cited by over 40K government policy documents, 550K news media pieces citing scientific research, 1.3M United States patent records and an additional 5 million research projects sponsored by 400+ funding agencies worldwide.  Their study of COVID-19 citation networks showed the carryover effects that policy document citation had on future citation, suggesting the influence policymakers can have in affecting the dynamics of scientific communication and citation </w:t>
      </w:r>
      <w:r w:rsidR="00E40BAB">
        <w:rPr>
          <w:rFonts w:ascii="Acumin Pro Light" w:hAnsi="Acumin Pro Light" w:cs="Times"/>
          <w:color w:val="000000"/>
          <w:u w:color="0000E9"/>
        </w:rPr>
        <w:fldChar w:fldCharType="begin"/>
      </w:r>
      <w:r w:rsidR="00E40BAB">
        <w:rPr>
          <w:rFonts w:ascii="Acumin Pro Light" w:hAnsi="Acumin Pro Light" w:cs="Times"/>
          <w:color w:val="000000"/>
          <w:u w:color="0000E9"/>
        </w:rPr>
        <w:instrText xml:space="preserve"> ADDIN ZOTERO_ITEM CSL_CITATION {"citationID":"vDZimuHn","properties":{"formattedCitation":"(Yin et al., 2020)","plainCitation":"(Yin et al., 2020)","noteIndex":0},"citationItems":[{"id":26239,"uris":["http://zotero.org/users/4632586/items/IA7IE8WN"],"uri":["http://zotero.org/users/4632586/items/IA7IE8WN"],"itemData":{"id":26239,"type":"paper-conference","container-title":"The 7th Satellite on Quantifying Success","event":"NetSci 2020","title":"Quantifying uses of science beyond science","author":[{"family":"Yin","given":"Yian"},{"family":"Dong","given":"Yuxiao"},{"family":"Wang","given":"Kuansan"},{"family":"Wang","given":"Dashun"},{"family":"Jones","given":"Benjamin F."}],"issued":{"date-parts":[["2020",9,17]]}}}],"schema":"https://github.com/citation-style-language/schema/raw/master/csl-citation.json"} </w:instrText>
      </w:r>
      <w:r w:rsidR="00E40BAB">
        <w:rPr>
          <w:rFonts w:ascii="Acumin Pro Light" w:hAnsi="Acumin Pro Light" w:cs="Times"/>
          <w:color w:val="000000"/>
          <w:u w:color="0000E9"/>
        </w:rPr>
        <w:fldChar w:fldCharType="separate"/>
      </w:r>
      <w:r w:rsidR="00E40BAB">
        <w:rPr>
          <w:rFonts w:ascii="Acumin Pro Light" w:hAnsi="Acumin Pro Light" w:cs="Times"/>
          <w:noProof/>
          <w:color w:val="000000"/>
          <w:u w:color="0000E9"/>
        </w:rPr>
        <w:t>(Yin et al., 2020)</w:t>
      </w:r>
      <w:r w:rsidR="00E40BAB">
        <w:rPr>
          <w:rFonts w:ascii="Acumin Pro Light" w:hAnsi="Acumin Pro Light" w:cs="Times"/>
          <w:color w:val="000000"/>
          <w:u w:color="0000E9"/>
        </w:rPr>
        <w:fldChar w:fldCharType="end"/>
      </w:r>
      <w:r w:rsidR="00E40BAB">
        <w:rPr>
          <w:rFonts w:ascii="Acumin Pro Light" w:hAnsi="Acumin Pro Light" w:cs="Times"/>
          <w:color w:val="000000"/>
          <w:u w:color="0000E9"/>
        </w:rPr>
        <w:t xml:space="preserve">. </w:t>
      </w:r>
    </w:p>
    <w:p w14:paraId="78511F21" w14:textId="40C66BE6" w:rsidR="00A7168D" w:rsidRDefault="00AF0E87"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While the linked data ecosystem has become more robust in recent years, the use of patent records as a</w:t>
      </w:r>
      <w:r w:rsidR="00C43EEA">
        <w:rPr>
          <w:rFonts w:ascii="Acumin Pro Light" w:hAnsi="Acumin Pro Light" w:cs="Times"/>
          <w:color w:val="000000"/>
          <w:u w:color="0000E9"/>
        </w:rPr>
        <w:t xml:space="preserve"> proxy</w:t>
      </w:r>
      <w:r>
        <w:rPr>
          <w:rFonts w:ascii="Acumin Pro Light" w:hAnsi="Acumin Pro Light" w:cs="Times"/>
          <w:color w:val="000000"/>
          <w:u w:color="0000E9"/>
        </w:rPr>
        <w:t xml:space="preserve"> </w:t>
      </w:r>
      <w:r w:rsidR="00C43EEA">
        <w:rPr>
          <w:rFonts w:ascii="Acumin Pro Light" w:hAnsi="Acumin Pro Light" w:cs="Times"/>
          <w:color w:val="000000"/>
          <w:u w:color="0000E9"/>
        </w:rPr>
        <w:t>for measuring</w:t>
      </w:r>
      <w:r>
        <w:rPr>
          <w:rFonts w:ascii="Acumin Pro Light" w:hAnsi="Acumin Pro Light" w:cs="Times"/>
          <w:color w:val="000000"/>
          <w:u w:color="0000E9"/>
        </w:rPr>
        <w:t xml:space="preserve"> innovative activity is not new</w:t>
      </w:r>
      <w:r w:rsidR="00C43EEA">
        <w:rPr>
          <w:rFonts w:ascii="Acumin Pro Light" w:hAnsi="Acumin Pro Light" w:cs="Times"/>
          <w:color w:val="000000"/>
          <w:u w:color="0000E9"/>
        </w:rPr>
        <w:t xml:space="preserve"> </w:t>
      </w:r>
      <w:r w:rsidR="00C43EEA">
        <w:rPr>
          <w:rFonts w:ascii="Acumin Pro Light" w:hAnsi="Acumin Pro Light" w:cs="Times"/>
          <w:color w:val="000000"/>
          <w:u w:color="0000E9"/>
        </w:rPr>
        <w:fldChar w:fldCharType="begin"/>
      </w:r>
      <w:r w:rsidR="00C43EEA">
        <w:rPr>
          <w:rFonts w:ascii="Acumin Pro Light" w:hAnsi="Acumin Pro Light" w:cs="Times"/>
          <w:color w:val="000000"/>
          <w:u w:color="0000E9"/>
        </w:rPr>
        <w:instrText xml:space="preserve"> ADDIN ZOTERO_ITEM CSL_CITATION {"citationID":"CXQcZzqm","properties":{"formattedCitation":"(Jaffe et al., 1993; Verbeek et al., 2004)","plainCitation":"(Jaffe et al., 1993; Verbeek et al., 2004)","noteIndex":0},"citationItems":[{"id":17243,"uris":["http://zotero.org/users/4632586/items/IFETV3X8"],"uri":["http://zotero.org/users/4632586/items/IFETV3X8"],"itemData":{"id":17243,"type":"article-journal","abstract":"We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18100,"uris":["http://zotero.org/users/4632586/items/SWFW9SZI"],"uri":["http://zotero.org/users/4632586/items/SWFW9SZI"],"itemData":{"id":18100,"type":"article-journal","abstract":"&lt;section class=\"abstract\"&gt;&lt;h2 class=\"abstractTitle text-title my-1\" id=\"d1186e2\"&gt;Abstract  &lt;/h2&gt;&lt;p&gt;The interplay and cross-fertilization between science and technology, but also the specific role of science for technological development, have received ample attention in both the research and the policy communities. It is in this context that the concepts of &lt;img src=\"xxlarge8220.gif\"&gt;&lt;/img&gt;absorptive capacity&lt;img src=\"xxlarge8221.gif\"&gt;&lt;/img&gt; and &lt;img src=\"xxlarge8220.gif\"&gt;&lt;/img&gt;knowledge spillovers&lt;img src=\"xxlarge8221.gif\"&gt;&lt;/img&gt; play an important role. We operationalize the science-technology link by quantifying and modeling bibliographic references to the scientific literature as they occur in patents. This approach allows exploring the associative patterns between science creation (as emerging from the scientific literature) and technology development (as emerging from the patent literature). In the current paper, we focus on an analysis of the geographic distribution of the science citation patterns in patents, singling out two fields of (different) technological development, namely biotechnology and information technology. In both fields, the science citation flows from the European, Japanese and US science bases into USPTO and EPO-patents are explored and modeled. Intensive geographic citation flows between the regions are identified, pointing (amongst others) to the strength of both the US and the European science bases as sources for technological activity and creativity around the world.&lt;/p&gt;&lt;/section&gt;","container-title":"Scientometrics","DOI":"10.1023/a:1026232526034","ISSN":"0138-9130, 1588-2861","issue":"2","language":"en_US","note":"publisher: Akadémiai Kiadó, co-published with Springer Science+Business Media B.V., Formerly Kluwer Academic Publishers B.V.\nsection: Scientometrics","page":"241-263","source":"akjournals.com","title":"Science cited in patents: A geographic \"flow\" analysis of bibliographic citation patterns in patents","title-short":"Science cited in patents","volume":"58","author":[{"family":"Verbeek","given":"Arnold"},{"family":"Debackere","given":"Koenraad"},{"family":"Luwel","given":"Marc"}],"issued":{"date-parts":[["2004",11,2]]}}}],"schema":"https://github.com/citation-style-language/schema/raw/master/csl-citation.json"} </w:instrText>
      </w:r>
      <w:r w:rsidR="00C43EEA">
        <w:rPr>
          <w:rFonts w:ascii="Acumin Pro Light" w:hAnsi="Acumin Pro Light" w:cs="Times"/>
          <w:color w:val="000000"/>
          <w:u w:color="0000E9"/>
        </w:rPr>
        <w:fldChar w:fldCharType="separate"/>
      </w:r>
      <w:r w:rsidR="00C43EEA">
        <w:rPr>
          <w:rFonts w:ascii="Acumin Pro Light" w:hAnsi="Acumin Pro Light" w:cs="Times"/>
          <w:noProof/>
          <w:color w:val="000000"/>
          <w:u w:color="0000E9"/>
        </w:rPr>
        <w:t>(Jaffe et al., 1993; Verbeek et al., 2004)</w:t>
      </w:r>
      <w:r w:rsidR="00C43EEA">
        <w:rPr>
          <w:rFonts w:ascii="Acumin Pro Light" w:hAnsi="Acumin Pro Light" w:cs="Times"/>
          <w:color w:val="000000"/>
          <w:u w:color="0000E9"/>
        </w:rPr>
        <w:fldChar w:fldCharType="end"/>
      </w:r>
      <w:r>
        <w:rPr>
          <w:rFonts w:ascii="Acumin Pro Light" w:hAnsi="Acumin Pro Light" w:cs="Times"/>
          <w:color w:val="000000"/>
          <w:u w:color="0000E9"/>
        </w:rPr>
        <w:t xml:space="preserve">.  </w:t>
      </w:r>
      <w:r w:rsidR="00C43EEA">
        <w:rPr>
          <w:rFonts w:ascii="Acumin Pro Light" w:hAnsi="Acumin Pro Light" w:cs="Times"/>
          <w:color w:val="000000"/>
          <w:u w:color="0000E9"/>
        </w:rPr>
        <w:t>Recent scholarship in</w:t>
      </w:r>
      <w:r>
        <w:rPr>
          <w:rFonts w:ascii="Acumin Pro Light" w:hAnsi="Acumin Pro Light" w:cs="Times"/>
          <w:color w:val="000000"/>
          <w:u w:color="0000E9"/>
        </w:rPr>
        <w:t xml:space="preserve"> </w:t>
      </w:r>
      <w:r w:rsidRPr="00797AA6">
        <w:rPr>
          <w:rFonts w:ascii="Acumin Pro Light" w:hAnsi="Acumin Pro Light" w:cs="Times"/>
          <w:b/>
          <w:bCs/>
          <w:color w:val="000000"/>
          <w:u w:color="0000E9"/>
        </w:rPr>
        <w:t>economic geography</w:t>
      </w:r>
      <w:r w:rsidRPr="00797AA6">
        <w:rPr>
          <w:rFonts w:ascii="Acumin Pro Light" w:hAnsi="Acumin Pro Light" w:cs="Times"/>
          <w:color w:val="000000"/>
          <w:u w:color="0000E9"/>
        </w:rPr>
        <w:t xml:space="preserve"> and</w:t>
      </w:r>
      <w:r>
        <w:rPr>
          <w:rFonts w:ascii="Acumin Pro Light" w:hAnsi="Acumin Pro Light" w:cs="Times"/>
          <w:color w:val="000000"/>
          <w:u w:color="0000E9"/>
        </w:rPr>
        <w:t xml:space="preserve"> </w:t>
      </w:r>
      <w:r w:rsidRPr="00797AA6">
        <w:rPr>
          <w:rFonts w:ascii="Acumin Pro Light" w:hAnsi="Acumin Pro Light" w:cs="Times"/>
          <w:b/>
          <w:bCs/>
          <w:color w:val="000000"/>
          <w:u w:color="0000E9"/>
        </w:rPr>
        <w:t>science and technology policy studies</w:t>
      </w:r>
      <w:r w:rsidRPr="00797AA6">
        <w:rPr>
          <w:rFonts w:ascii="Acumin Pro Light" w:hAnsi="Acumin Pro Light" w:cs="Times"/>
          <w:color w:val="000000"/>
          <w:u w:color="0000E9"/>
        </w:rPr>
        <w:t xml:space="preserve"> </w:t>
      </w:r>
      <w:r w:rsidR="00C43EEA">
        <w:rPr>
          <w:rFonts w:ascii="Acumin Pro Light" w:hAnsi="Acumin Pro Light" w:cs="Times"/>
          <w:color w:val="000000"/>
          <w:u w:color="0000E9"/>
        </w:rPr>
        <w:t>uses</w:t>
      </w:r>
      <w:r>
        <w:rPr>
          <w:rFonts w:ascii="Acumin Pro Light" w:hAnsi="Acumin Pro Light" w:cs="Times"/>
          <w:color w:val="000000"/>
          <w:u w:color="0000E9"/>
        </w:rPr>
        <w:t xml:space="preserve"> patent data</w:t>
      </w:r>
      <w:r w:rsidR="00EE5194">
        <w:rPr>
          <w:rFonts w:ascii="Acumin Pro Light" w:hAnsi="Acumin Pro Light" w:cs="Times"/>
          <w:color w:val="000000"/>
          <w:u w:color="0000E9"/>
        </w:rPr>
        <w:t xml:space="preserve"> to describe comparative advantages and disadvantages between different geographic regions and to offer policy makers and analysts </w:t>
      </w:r>
      <w:r w:rsidR="00800626">
        <w:rPr>
          <w:rFonts w:ascii="Acumin Pro Light" w:hAnsi="Acumin Pro Light" w:cs="Times"/>
          <w:color w:val="000000"/>
          <w:u w:color="0000E9"/>
        </w:rPr>
        <w:t>one way of</w:t>
      </w:r>
      <w:r w:rsidR="00EE5194">
        <w:rPr>
          <w:rFonts w:ascii="Acumin Pro Light" w:hAnsi="Acumin Pro Light" w:cs="Times"/>
          <w:color w:val="000000"/>
          <w:u w:color="0000E9"/>
        </w:rPr>
        <w:t xml:space="preserve"> understanding of how scientific and technical </w:t>
      </w:r>
      <w:r w:rsidR="00EE5194">
        <w:rPr>
          <w:rFonts w:ascii="Acumin Pro Light" w:hAnsi="Acumin Pro Light" w:cs="Times"/>
          <w:i/>
          <w:iCs/>
          <w:color w:val="000000"/>
          <w:u w:color="0000E9"/>
        </w:rPr>
        <w:t xml:space="preserve">specialization </w:t>
      </w:r>
      <w:r w:rsidR="00EE5194">
        <w:rPr>
          <w:rFonts w:ascii="Acumin Pro Light" w:hAnsi="Acumin Pro Light" w:cs="Times"/>
          <w:color w:val="000000"/>
          <w:u w:color="0000E9"/>
        </w:rPr>
        <w:t>might effect policy planning and outcomes</w:t>
      </w:r>
      <w:r w:rsidR="00C43EEA">
        <w:rPr>
          <w:rFonts w:ascii="Acumin Pro Light" w:hAnsi="Acumin Pro Light" w:cs="Times"/>
          <w:color w:val="000000"/>
          <w:u w:color="0000E9"/>
        </w:rPr>
        <w:t xml:space="preserve"> </w:t>
      </w:r>
      <w:commentRangeStart w:id="1"/>
      <w:r w:rsidR="00C43EEA">
        <w:rPr>
          <w:rFonts w:ascii="Acumin Pro Light" w:hAnsi="Acumin Pro Light" w:cs="Times"/>
          <w:color w:val="000000"/>
          <w:u w:color="0000E9"/>
        </w:rPr>
        <w:fldChar w:fldCharType="begin"/>
      </w:r>
      <w:r w:rsidR="00797AA6">
        <w:rPr>
          <w:rFonts w:ascii="Acumin Pro Light" w:hAnsi="Acumin Pro Light" w:cs="Times"/>
          <w:color w:val="000000"/>
          <w:u w:color="0000E9"/>
        </w:rPr>
        <w:instrText xml:space="preserve"> ADDIN ZOTERO_ITEM CSL_CITATION {"citationID":"mV6mSZyq","properties":{"formattedCitation":"(Apa et al., 2018; Balland et al., 2019; Boschma et al., 2014; Castaldi &amp; Los, 2017; Perruchas et al., 2020; Surana et al., 2020; Wouden &amp; Rigby, 2020)","plainCitation":"(Apa et al., 2018; Balland et al., 2019; Boschma et al., 2014; Castaldi &amp; Los, 2017; Perruchas et al., 2020; Surana et al., 2020; Wouden &amp; Rigby, 2020)","noteIndex":0},"citationItems":[{"id":18415,"uris":["http://zotero.org/users/4632586/items/A2GI9AAT"],"uri":["http://zotero.org/users/4632586/items/A2GI9AAT"],"itemData":{"id":18415,"type":"article-journal","abstract":"This work contributes to previous research on the relationship between specific features of a regional knowledge space and the technological progress of the region. In particular, the main element of originality of this work is to have singled out the determinants of the technological progress intensity and relevance. We acknowledge the importance of knowledge assets for new knowledge production, and we identify path-dependent processes that allow a region to become increasingly competitive in terms of innovation potential. In particular, adopting an evolutionary view of regional development, we describe the regional knowledge space through four crucial characteristics: 1) technological knowledge base, 2) technological cumulativeness, 3) technological diversification, and 4) technological relatedness. We then measure to what extent each of the knowledge space’s characteristics differently affects the technological progress intensity and relevance of the region. A longitudinal study of 269 European regions over the period 1996–2012 was organized using data from REGPAT and Eurostat databases. Results show that technological relatedness affects positively both the intensity and relevance of the technological progress of European regions and that the other components of the knowledge space show a different impact on the two features of the technological progress. Finally, implications for EU policies supporting and stimulating regional technological progress are discussed.","container-title":"Research Policy","DOI":"10.1016/j.respol.2018.06.002","ISSN":"0048-7333","issue":"9","journalAbbreviation":"Research Policy","language":"en","page":"1700-1712","source":"ScienceDirect","title":"Knowledge space oddity: How to increase the intensity and relevance of the technological progress of European regions","title-short":"Knowledge space oddity","volume":"47","author":[{"family":"Apa","given":"Roberta"},{"family":"De Noni","given":"Ivan"},{"family":"Orsi","given":"Luigi"},{"family":"Sedita","given":"Silvia Rita"}],"issued":{"date-parts":[["2018",11,1]]}}},{"id":18277,"uris":["http://zotero.org/users/4632586/items/4F3PMFP5"],"uri":["http://zotero.org/users/4632586/items/4F3PMFP5"],"itemData":{"id":18277,"type":"article-journal","abstract":"The operationalization of smart specialization policy has been rather limited because a coherent set of analytical tools to guide the policy directives remains elusive. We propose a policy framework around the concepts of relatedness and knowledge complexity. We show that diversifying into more complex technologies is attractive but difficult for European Union regions to accomplish. Regions can overcome this diversification dilemma by developing new complex technologies that build on local related capabilities. We use these findings to construct a policy framework for smart specialization that highlights the potential risks and rewards for regions of adopting competing diversification strategies.","container-title":"Regional Studies","DOI":"10.1080/00343404.2018.1437900","ISSN":"0034-3404","issue":"9","note":"publisher: Routledge\n_eprint: https://doi.org/10.1080/00343404.2018.1437900","page":"1252-1268","source":"Taylor and Francis+NEJM","title":"Smart specialization policy in the European Union: relatedness, knowledge complexity and regional diversification","title-short":"Smart specialization policy in the European Union","volume":"53","author":[{"family":"Balland","given":"Pierre-Alexandre"},{"family":"Boschma","given":"Ron"},{"family":"Crespo","given":"Joan"},{"family":"Rigby","given":"David L."}],"issued":{"date-parts":[["2019",9,2]]}}},{"id":18294,"uris":["http://zotero.org/users/4632586/items/NPRB9T43"],"uri":["http://zotero.org/users/4632586/items/NPRB9T43"],"itemData":{"id":18294,"type":"article-journal","container-title":"Industrial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F."}],"issued":{"date-parts":[["2014"]]}}},{"id":18336,"uris":["http://zotero.org/users/4632586/items/8LB88AEU"],"uri":["http://zotero.org/users/4632586/items/8LB88AEU"],"itemData":{"id":18336,"type":"article-journal","abstract":"Towards the end of the previous century, the geography of US inventive activity changed drastically. The old hotbeds of invention (the Northeast and Midwest) lost much of their prominence, and rates of invention in Western states grew considerably. In this paper, we argue that this well-known “regional inversion” has been underestimated. We arrive at this conclusion by addressing an important concern regarding the use of raw patent counts in the previous literature: raw patent counts do not tell much about inventive performance, since the importance of patents in terms of their impact on future technological and economic developments varies much. We focus on “superstar” patents, which are disproportionally important. We identify these employing a statistical regularity in citation patterns. We find that the West did not only outpace the Northeast and Midwest in the numbers of patents produced, but also specialized much more in patents that “really matter”.","container-title":"Research Policy","DOI":"10.1016/j.respol.2017.04.005","ISSN":"0048-7333","issue":"7","journalAbbreviation":"Research Policy","language":"en","page":"1187-1197","source":"ScienceDirect","title":"Geographical patterns in US inventive activity 1977–1998: The “regional inversion” was underestimated","title-short":"Geographical patterns in US inventive activity 1977–1998","volume":"46","author":[{"family":"Castaldi","given":"Carolina"},{"family":"Los","given":"Bart"}],"issued":{"date-parts":[["2017",9,1]]}}},{"id":18345,"uris":["http://zotero.org/users/4632586/items/F2IJGJVF"],"uri":["http://zotero.org/users/4632586/items/F2IJGJVF"],"itemData":{"id":18345,"type":"article-journal","abstract":"This paper elaborates an empirical analysis of the temporal and geographical distribution of green technology, and on how specific country characteristics enable or thwart environmental inventive activities. Using patent data on 63 countries over the period 1971–2012 we identify key drivers of cross-country diversification and specialisation. Our first finding is that countries diversify towards green technologies that are related to their existing competences. Notably, the degree of green technology maturity matters more than a country`s level of development. The second main result is that countries move along cumulative paths of specialisation, and towards more mature green technologies. Interestingly, the complexity of green technologies is not an obstacle to further specialisation. This holds also for developing countries that are most exposed to climate change hazards.","container-title":"Research Policy","DOI":"10.1016/j.respol.2020.103922","ISSN":"0048-7333","issue":"3","journalAbbreviation":"Research Policy","language":"en","page":"103922","source":"ScienceDirect","title":"Specialisation, diversification and the ladder of green technology development","volume":"49","author":[{"family":"Perruchas","given":"François"},{"family":"Consoli","given":"Davide"},{"family":"Barbieri","given":"Nicolò"}],"issued":{"date-parts":[["2020",4,1]]}}},{"id":18353,"uris":["http://zotero.org/users/4632586/items/YE4MCSVS"],"uri":["http://zotero.org/users/4632586/items/YE4MCSVS"],"itemData":{"id":18353,"type":"article-journal","abstract":"Wind energy can contribute to national climate, energy and economic goals by expanding clean energy and supporting economies through new manufacturing industries. However, the mechanisms for achieving these interlinked goals are not well understood. Here we analyse the wind energy manufacturing global value chain, using a dataset on 389 component supplier firms (2006–2016) that work with 13 original equipment manufacturers. We assess how technology complexity, that is, the knowledge intensity and difficulty of manufacturing components, shapes the location of suppliers. For countries without existing wind industries, we find evidence of the emergence of suppliers for only low-complexity components (for example, towers and generators). For countries with existing wind industries, we find that suppliers’ evolution, that is, changes in their international supply relationships, is less likely for high-complexity components (for example, blades and gearboxes). Our findings show the importance of understanding technologies along with firms and countries within global value chains for achieving policy goals.","container-title":"Nature Energy","DOI":"10.1038/s41560-020-00685-6","ISSN":"2058-7546","language":"en","note":"publisher: Nature Publishing Group","page":"1-11","source":"www.nature.com","title":"Effects of technology complexity on the emergence and evolution of wind industry manufacturing locations along global value chains","author":[{"family":"Surana","given":"Kavita"},{"family":"Doblinger","given":"Claudia"},{"family":"Anadon","given":"Laura Diaz"},{"family":"Hultman","given":"Nathan"}],"issued":{"date-parts":[["2020",8,31]]}}},{"id":18358,"uris":["http://zotero.org/users/4632586/items/BXHPGLIP"],"uri":["http://zotero.org/users/4632586/items/BXHPGLIP"],"itemData":{"id":18358,"type":"article-journal","abstract":"The aim of this paper is to explore the influence of mobility on inventor productivity. Unlike most previous literature in this field, we separate the impact of firm mobility from geographical mobility. Our paper is also novel because of the long period of investigation. We report how the different forms of mobility, and their impacts, have changed over the period 1836–1975 using US patent data. Mobility is identified for serial inventors who change assignee and/or location over time. Firm mobility and geographical mobility increase throughout the period examined, with only temporary reversals around the Great Depression and Second World War. Comparisons across matched samples of mobile and immobile inventors reveal that firm mobility and spatial mobility raise the patent productivity of inventors, the former having the largest impact. Inventor productivity increases for up to 15 years following a mobility event, suggesting a process of adjustment after a move.","container-title":"Industry and Innovation","DOI":"10.1080/13662716.2020.1789451","ISSN":"1366-2716","issue":"0","note":"publisher: Routledge\n_eprint: https://doi.org/10.1080/13662716.2020.1789451","page":"1-27","source":"Taylor and Francis+NEJM","title":"Inventor mobility and productivity: a long-run perspective","title-short":"Inventor mobility and productivity","volume":"0","author":[{"family":"Wouden","given":"Frank","dropping-particle":"van der"},{"family":"Rigby","given":"David L."}],"issued":{"date-parts":[["2020",7,8]]}}}],"schema":"https://github.com/citation-style-language/schema/raw/master/csl-citation.json"} </w:instrText>
      </w:r>
      <w:r w:rsidR="00C43EEA">
        <w:rPr>
          <w:rFonts w:ascii="Acumin Pro Light" w:hAnsi="Acumin Pro Light" w:cs="Times"/>
          <w:color w:val="000000"/>
          <w:u w:color="0000E9"/>
        </w:rPr>
        <w:fldChar w:fldCharType="separate"/>
      </w:r>
      <w:r w:rsidR="00797AA6">
        <w:rPr>
          <w:rFonts w:ascii="Acumin Pro Light" w:hAnsi="Acumin Pro Light" w:cs="Times"/>
          <w:noProof/>
          <w:color w:val="000000"/>
          <w:u w:color="0000E9"/>
        </w:rPr>
        <w:t>(Apa et al., 2018; Balland et al., 2019; Boschma et al., 2014; Castaldi &amp; Los, 2017; Perruchas et al., 2020; Surana et al., 2020; Wouden &amp; Rigby, 2020)</w:t>
      </w:r>
      <w:r w:rsidR="00C43EEA">
        <w:rPr>
          <w:rFonts w:ascii="Acumin Pro Light" w:hAnsi="Acumin Pro Light" w:cs="Times"/>
          <w:color w:val="000000"/>
          <w:u w:color="0000E9"/>
        </w:rPr>
        <w:fldChar w:fldCharType="end"/>
      </w:r>
      <w:commentRangeEnd w:id="1"/>
      <w:r w:rsidR="00DC3054">
        <w:rPr>
          <w:rStyle w:val="CommentReference"/>
        </w:rPr>
        <w:commentReference w:id="1"/>
      </w:r>
      <w:r w:rsidR="00EE5194">
        <w:rPr>
          <w:rFonts w:ascii="Acumin Pro Light" w:hAnsi="Acumin Pro Light" w:cs="Times"/>
          <w:color w:val="000000"/>
          <w:u w:color="0000E9"/>
        </w:rPr>
        <w:t>.</w:t>
      </w:r>
      <w:r w:rsidR="00797AA6">
        <w:rPr>
          <w:rFonts w:ascii="Acumin Pro Light" w:hAnsi="Acumin Pro Light" w:cs="Times"/>
          <w:color w:val="000000"/>
          <w:u w:color="0000E9"/>
        </w:rPr>
        <w:t xml:space="preserve">  </w:t>
      </w:r>
    </w:p>
    <w:p w14:paraId="158E47B0" w14:textId="2AE565FA" w:rsidR="00141D80" w:rsidRDefault="00797AA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While quantitative measures of scientific research outputs alone may not be sufficient to when evaluating funding decisions, several recent works have derived actionable </w:t>
      </w:r>
      <w:r w:rsidR="00057896">
        <w:rPr>
          <w:rFonts w:ascii="Acumin Pro Light" w:hAnsi="Acumin Pro Light" w:cs="Times"/>
          <w:color w:val="000000"/>
          <w:u w:color="0000E9"/>
        </w:rPr>
        <w:t>findings</w:t>
      </w:r>
      <w:r>
        <w:rPr>
          <w:rFonts w:ascii="Acumin Pro Light" w:hAnsi="Acumin Pro Light" w:cs="Times"/>
          <w:color w:val="000000"/>
          <w:u w:color="0000E9"/>
        </w:rPr>
        <w:t xml:space="preserve"> from their analysis of grant proposals and funding programs.  For instance, Myers</w:t>
      </w:r>
      <w:r w:rsidR="00064977">
        <w:rPr>
          <w:rFonts w:ascii="Acumin Pro Light" w:hAnsi="Acumin Pro Light" w:cs="Times"/>
          <w:color w:val="000000"/>
          <w:u w:color="0000E9"/>
        </w:rPr>
        <w:t xml:space="preserve"> developed an econometric model for the costs of switching research topics given the probability of increased payout by winning an award from one of the National Institutes of Health’s targeted funding opportunities.  To build the model, Myers used text analytics to develop similarity measures between researcher’s prior published work and the text of the call for proposals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{"citationID":"9jEGspjt","properties":{"formattedCitation":"(Myers, 2020)","plainCitation":"(Myers, 2020)","noteIndex":0},"citationItems":[{"id":26243,"uris":["http://zotero.org/users/4632586/items/TR9JV9P3"],"uri":["http://zotero.org/users/4632586/items/TR9JV9P3"],"itemData":{"id":26243,"type":"article-journal","abstract":"This paper identifies the degree to which scientists are willing to change the direction of their work in exchange for resources. Data from the National Institutes of Health are used to estimate how scientists respond to targeted funding opportunities. Inducing a scientist to change their direction by a small amount—to work on marginally different topics—requires a substantial amount of funding in expectation. The switching costs of science are large. The productivity of grants is also estimated, and it appears the additional costs of targeted research may be more than offset by more productive scientists pursuing these grants. (JEL H51, I10, I23, O31, O33)","container-title":"American Economic Journal: Applied Economics","DOI":"10.1257/app.20180518","ISSN":"1945-7782, 1945-7790","issue":"4","journalAbbreviation":"American Economic Journal: Applied Economics","language":"en","page":"103-134","source":"DOI.org (Crossref)","title":"The Elasticity of Science","volume":"12","author":[{"family":"Myers","given":"Kyle"}],"issued":{"date-parts":[["2020",10,1]]}}}],"schema":"https://github.com/citation-style-language/schema/raw/master/csl-citation.json"}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(Myers, 2020)</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xml:space="preserve">.  Hoppe et. al (2019) recently used word2vec and other topic clustering techniques to evaluate how differences in topics proposed by African American / Black researchers versus White researchers, and to identify how topical differences emerged at particular stages of the application process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{"citationID":"lZctr20A","properties":{"formattedCitation":"(Hoppe et al., 2019)","plainCitation":"(Hoppe et al., 2019)","noteIndex":0},"citationItems":[{"id":22362,"uris":["http://zotero.org/users/4632586/items/FFAIACP5"],"uri":["http://zotero.org/users/4632586/items/FFAIACP5"],"itemData":{"id":22362,"type":"article-journal","abstract":"Despite efforts to promote diversity in the biomedical workforce, there remains a lower rate of funding of National Institutes of Health R01 applications submitted by African-American/black (AA/B) scientists relative to white scientists. To identify underlying causes of this funding gap, we analyzed six stages of the application process from 2011 to 2015 and found that disparate outcomes arise at three of the six: decision to discuss, impact score assignment, and a previously unstudied stage, topic choice. Notably, AA/B applicants tend to propose research on topics with lower award rates. These topics include research at the community and population level, as opposed to more fundamental and mechanistic investigations; the latter tend to have higher award rates. Topic choice alone accounts for over 20% of the funding gap after controlling for multiple variables, including the applicant’s prior achievements. Our findings can be used to inform interventions designed to close the funding gap.\nTopic choice is a previously unappreciated contributor to the lower rate of NIH awards to AA/B scientists.\nTopic choice is a previously unappreciated contributor to the lower rate of NIH awards to AA/B scientists.","container-title":"Science Advances","DOI":"10.1126/sciadv.aaw7238","ISSN":"2375-2548","issue":"10","language":"en","page":"eaaw7238","source":"advances.sciencemag.org","title":"Topic choice contributes to the lower rate of NIH awards to African-American/black scientists","volume":"5","author":[{"family":"Hoppe","given":"Travis A."},{"family":"Litovitz","given":"Aviva"},{"family":"Willis","given":"Kristine A."},{"family":"Meseroll","given":"Rebecca A."},{"family":"Perkins","given":"Matthew J."},{"family":"Hutchins","given":"B. Ian"},{"family":"Davis","given":"Alison F."},{"family":"Lauer","given":"Michael S."},{"family":"Valantine","given":"Hannah A."},{"family":"Anderson","given":"James M."},{"family":"Santangelo","given":"George M."}],"issued":{"date-parts":[["2019",10,1]]}}}],"schema":"https://github.com/citation-style-language/schema/raw/master/csl-citation.json"}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(Hoppe et al., 2019)</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In each of these cases, the findings can be applied in a monitoring and evaluation context to design more attractive and equitable funding opportunities and programs.</w:t>
      </w:r>
    </w:p>
    <w:p w14:paraId="210DEE5A" w14:textId="18B5E145" w:rsidR="00064977" w:rsidRDefault="00064977"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My work </w:t>
      </w:r>
      <w:r w:rsidR="00E3513E">
        <w:rPr>
          <w:rFonts w:ascii="Acumin Pro Light" w:hAnsi="Acumin Pro Light" w:cs="Times"/>
          <w:color w:val="000000"/>
          <w:u w:color="0000E9"/>
        </w:rPr>
        <w:t>intends to</w:t>
      </w:r>
      <w:r>
        <w:rPr>
          <w:rFonts w:ascii="Acumin Pro Light" w:hAnsi="Acumin Pro Light" w:cs="Times"/>
          <w:color w:val="000000"/>
          <w:u w:color="0000E9"/>
        </w:rPr>
        <w:t xml:space="preserve"> draw on and engage with scholars, analysts and funders for whom the work above is of interest.  While much has been done analyzing patent data, publications and citations as proxies for particular scientific</w:t>
      </w:r>
      <w:r w:rsidR="00FA3954">
        <w:rPr>
          <w:rFonts w:ascii="Acumin Pro Light" w:hAnsi="Acumin Pro Light" w:cs="Times"/>
          <w:color w:val="000000"/>
          <w:u w:color="0000E9"/>
        </w:rPr>
        <w:t xml:space="preserve"> outcomes or to develop regional comparisons</w:t>
      </w:r>
      <w:r>
        <w:rPr>
          <w:rFonts w:ascii="Acumin Pro Light" w:hAnsi="Acumin Pro Light" w:cs="Times"/>
          <w:color w:val="000000"/>
          <w:u w:color="0000E9"/>
        </w:rPr>
        <w:t xml:space="preserve">, </w:t>
      </w:r>
      <w:r w:rsidR="00FA3954">
        <w:rPr>
          <w:rFonts w:ascii="Acumin Pro Light" w:hAnsi="Acumin Pro Light" w:cs="Times"/>
          <w:color w:val="000000"/>
          <w:u w:color="0000E9"/>
        </w:rPr>
        <w:t xml:space="preserve">much </w:t>
      </w:r>
      <w:r>
        <w:rPr>
          <w:rFonts w:ascii="Acumin Pro Light" w:hAnsi="Acumin Pro Light" w:cs="Times"/>
          <w:color w:val="000000"/>
          <w:u w:color="0000E9"/>
        </w:rPr>
        <w:t>less</w:t>
      </w:r>
      <w:r w:rsidR="00FA3954">
        <w:rPr>
          <w:rFonts w:ascii="Acumin Pro Light" w:hAnsi="Acumin Pro Light" w:cs="Times"/>
          <w:color w:val="000000"/>
          <w:u w:color="0000E9"/>
        </w:rPr>
        <w:t xml:space="preserve"> work has been done to analyze publicly available grants data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{"citationID":"Sd0uFMoy","properties":{"formattedCitation":"(Kardes et al., 2014; Talley et al., 2011; Zhang et al., 2016)","plainCitation":"(Kardes et al., 2014; Talley et al., 2011; Zhang et al., 2016)","noteIndex":0},"citationItems":[{"id":24272,"uris":["http://zotero.org/users/4632586/items/C4W2IBP8"],"uri":["http://zotero.org/users/4632586/items/C4W2IBP8"],"itemData":{"id":24272,"type":"chapter","abstract":"Funding from the government agencies has been the driving force for the research and educational institutions particularly in the United States. The government funds billions of dollars every year to lead research initiatives that will shape the future. In this chapter, we analyze the funds distributed by the United States National Science Foundation (NSF), a major source of academic research funding, to understand the collaboration patterns among researchers and institutions. Using complex network analysis, we interpret the collaboration patterns at researcher, institution, and state levels by constructing the corresponding networks based on the number of grants collaborated at different time frames. Additionally, we analyze these networks for small, medium, and large projects in order to observe collaboration at different funding levels. We further analyze the directorates to identify the differences in collaboration trends between disciplines. Sample networks can be found at http://www.cse.unr.edu/~mgunes/ NSFCollaborationNetworks/.","collection-title":"Lecture Notes in Social Networks","container-title":"State of the Art Applications of Social Network Analysis","event-place":"Cham","ISBN":"978-3-319-05912-9","language":"en","note":"DOI: 10.1007/978-3-319-05912-9_8","page":"163-187","publisher":"Springer International Publishing","publisher-place":"Cham","source":"Springer Link","title":"Complex Network Analysis of Research Funding: A Case Study of NSF Grants","title-short":"Complex Network Analysis of Research Funding","URL":"https://doi.org/10.1007/978-3-319-05912-9_8","author":[{"family":"Kardes","given":"Hakan"},{"family":"Sevincer","given":"Abdullah"},{"family":"Gunes","given":"Mehmet Hadi"},{"family":"Yuksel","given":"Murat"}],"editor":[{"family":"Can","given":"Fazli"},{"family":"Özyer","given":"Tansel"},{"family":"Polat","given":"Faruk"}],"accessed":{"date-parts":[["2020",11,18]]},"issued":{"date-parts":[["2014"]]}}},{"id":4523,"uris":["http://zotero.org/users/4632586/items/NHPA6BDM"],"uri":["http://zotero.org/users/4632586/items/NHPA6BDM"],"itemData":{"id":4523,"type":"article-journal","container-title":"Nature Methods","DOI":"10.1038/nmeth.1619","ISSN":"1548-7105","issue":"6","journalAbbreviation":"Nat Methods","language":"en","page":"443-444","source":"www.nature.com","title":"Database of NIH grants using machine-learned categories and graphical clustering","volume":"8","author":[{"family":"Talley","given":"Edmund M."},{"family":"Newman","given":"David"},{"family":"Mimno","given":"David"},{"family":"Herr","given":"Bruce W."},{"family":"Wallach","given":"Hanna M."},{"family":"Burns","given":"Gully A. P. C."},{"family":"Leenders","given":"A. G. Miriam"},{"family":"McCallum","given":"Andrew"}],"issued":{"date-parts":[["2011",6]]}}},{"id":24269,"uris":["http://zotero.org/users/4632586/items/533CG7XT"],"uri":["http://zotero.org/users/4632586/items/533CG7XT"],"itemData":{"id":24269,"type":"article-journal","abstract":"The number and extent of current Science, Technology &amp; Innovation topics are changing all the time, and their induced accumulative innovation, or even disruptive revolution, will heavily inﬂuence the whole of society in the near future. By addressing and predicting these changes, this paper proposes an analytic method to (1) cluster associated terms and phrases to constitute meaningful technological topics and their interactions, and (2) identify changing topical emphases. Our results are carried forward to present mechanisms that forecast prospective developments using Technology Roadmapping, combining qualitative and quantitative methodologies. An empirical case study of Awards data from the United States National Science Foundation, Division of Computer and Communication Foundation, is performed to demonstrate the proposed method. The resulting knowledge may hold interest for R&amp;D management and science policy in practice.","container-title":"Technological Forecasting and Social Change","DOI":"10.1016/j.techfore.2016.01.015","ISSN":"00401625","journalAbbreviation":"Technological Forecasting and Social Change","language":"en","page":"179-191","source":"DOI.org (Crossref)","title":"Topic analysis and forecasting for science, technology and innovation: Methodology with a case study focusing on big data research","title-short":"Topic analysis and forecasting for science, technology and innovation","volume":"105","author":[{"family":"Zhang","given":"Yi"},{"family":"Zhang","given":"Guangquan"},{"family":"Chen","given":"Hongshu"},{"family":"Porter","given":"Alan L."},{"family":"Zhu","given":"Donghua"},{"family":"Lu","given":"Jie"}],"issued":{"date-parts":[["2016",4]]}}}],"schema":"https://github.com/citation-style-language/schema/raw/master/csl-citation.json"} </w:instrText>
      </w:r>
      <w:r w:rsidR="00FA3954">
        <w:rPr>
          <w:rFonts w:ascii="Acumin Pro Light" w:hAnsi="Acumin Pro Light" w:cs="Times"/>
          <w:color w:val="000000"/>
          <w:u w:color="0000E9"/>
        </w:rPr>
        <w:fldChar w:fldCharType="separate"/>
      </w:r>
      <w:r w:rsidR="00FA3954">
        <w:rPr>
          <w:rFonts w:ascii="Acumin Pro Light" w:hAnsi="Acumin Pro Light" w:cs="Times"/>
          <w:noProof/>
          <w:color w:val="000000"/>
          <w:u w:color="0000E9"/>
        </w:rPr>
        <w:t>(Kardes et al., 2014; Talley et al., 2011; Zhang et al., 2016)</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and to assess relationships between geographical specialization </w:t>
      </w:r>
      <w:r w:rsidR="00FA3954">
        <w:rPr>
          <w:rFonts w:ascii="Acumin Pro Light" w:hAnsi="Acumin Pro Light" w:cs="Times"/>
          <w:color w:val="000000"/>
          <w:u w:color="0000E9"/>
        </w:rPr>
        <w:lastRenderedPageBreak/>
        <w:t xml:space="preserve">and funding flows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{"citationID":"QHEaCagb","properties":{"formattedCitation":"(Chausse V\\uc0\\u225{}zquez de Parga, 2018)","plainCitation":"(Chausse Vázquez de Parga, 2018)","noteIndex":0},"citationItems":[{"id":24264,"uris":["http://zotero.org/users/4632586/items/P7NNEE3A"],"uri":["http://zotero.org/users/4632586/items/P7NNEE3A"],"itemData":{"id":24264,"type":"thesis","abstract":"The main purpose of this work is to analyze research trends using conference information. Through the analysis of the data, the study aims to identify topic-specific cities, the trend of global concentration in research and obtain significant information about the connection between cities. To properly perform the goals, meaningful parameters have been calculated and afterward, a geographical visualization of the results has been performed. The study is divided into three parts. The aim of the first part is to identify the degree of specialization of every city in the different research trends defining a topic vector using LDA. In the second part of the study, a similarity analysis is performed, obtaining compelling information about the connection between cities, and hence provides significant results as similar cities often share common interests, needs or services. Afterwards, a network analysis is performed and centrality measures are calculated. The third part consists of a temporal distribution of topics. In that way, it is possible to see how a specific topic evolves in time, which is essential to predict the direction of global innovative activities. Finally, an empirical study with European data is performed to show the usefulness of the proposed approach.","language":"eng","publisher":"Escola Tècnica Superior d’Enginyeria Industrial de Barcelona","source":"upcommons.upc.edu","title":"A geographical analysis of research trends applying text mining to conference data","URL":"https://upcommons.upc.edu/handle/2117/169067","author":[{"family":"Chausse Vázquez de Parga","given":"Irene"}],"accessed":{"date-parts":[["2020",11,18]]},"issued":{"date-parts":[["2018"]]}}}],"schema":"https://github.com/citation-style-language/schema/raw/master/csl-citation.json"} </w:instrText>
      </w:r>
      <w:r w:rsidR="00FA3954">
        <w:rPr>
          <w:rFonts w:ascii="Acumin Pro Light" w:hAnsi="Acumin Pro Light" w:cs="Times"/>
          <w:color w:val="000000"/>
          <w:u w:color="0000E9"/>
        </w:rPr>
        <w:fldChar w:fldCharType="separate"/>
      </w:r>
      <w:r w:rsidR="00FA3954" w:rsidRPr="00FA3954">
        <w:rPr>
          <w:rFonts w:ascii="Acumin Pro Light" w:hAnsi="Acumin Pro Light" w:cs="Times New Roman"/>
          <w:color w:val="000000"/>
        </w:rPr>
        <w:t>(Chausse Vázquez de Parga, 2018)</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This project adds to </w:t>
      </w:r>
      <w:r w:rsidR="00E3513E">
        <w:rPr>
          <w:rFonts w:ascii="Acumin Pro Light" w:hAnsi="Acumin Pro Light" w:cs="Times"/>
          <w:color w:val="000000"/>
          <w:u w:color="0000E9"/>
        </w:rPr>
        <w:t>those</w:t>
      </w:r>
      <w:r w:rsidR="00FA3954">
        <w:rPr>
          <w:rFonts w:ascii="Acumin Pro Light" w:hAnsi="Acumin Pro Light" w:cs="Times"/>
          <w:color w:val="000000"/>
          <w:u w:color="0000E9"/>
        </w:rPr>
        <w:t xml:space="preserve"> handful of efforts </w:t>
      </w:r>
      <w:r w:rsidR="00E3513E">
        <w:rPr>
          <w:rFonts w:ascii="Acumin Pro Light" w:hAnsi="Acumin Pro Light" w:cs="Times"/>
          <w:color w:val="000000"/>
          <w:u w:color="0000E9"/>
        </w:rPr>
        <w:t>that</w:t>
      </w:r>
      <w:r w:rsidR="00FA3954">
        <w:rPr>
          <w:rFonts w:ascii="Acumin Pro Light" w:hAnsi="Acumin Pro Light" w:cs="Times"/>
          <w:color w:val="000000"/>
          <w:u w:color="0000E9"/>
        </w:rPr>
        <w:t xml:space="preserve"> explicitly analyze funding data, usin</w:t>
      </w:r>
      <w:r w:rsidR="005A50AB">
        <w:rPr>
          <w:rFonts w:ascii="Acumin Pro Light" w:hAnsi="Acumin Pro Light" w:cs="Times"/>
          <w:color w:val="000000"/>
          <w:u w:color="0000E9"/>
        </w:rPr>
        <w:t xml:space="preserve">g techniques from text mining and linked data to enrich </w:t>
      </w:r>
      <w:r w:rsidR="00E414F0">
        <w:rPr>
          <w:rFonts w:ascii="Acumin Pro Light" w:hAnsi="Acumin Pro Light" w:cs="Times"/>
          <w:color w:val="000000"/>
          <w:u w:color="0000E9"/>
        </w:rPr>
        <w:t>data.  This work also takes</w:t>
      </w:r>
      <w:r w:rsidR="005A50AB">
        <w:rPr>
          <w:rFonts w:ascii="Acumin Pro Light" w:hAnsi="Acumin Pro Light" w:cs="Times"/>
          <w:color w:val="000000"/>
          <w:u w:color="0000E9"/>
        </w:rPr>
        <w:t xml:space="preserve"> inspiration from scholars in economic geography and spatial analysis by visualizing the data geographically alongside potentially related contextual indicators</w:t>
      </w:r>
      <w:r w:rsidR="00E414F0">
        <w:rPr>
          <w:rFonts w:ascii="Acumin Pro Light" w:hAnsi="Acumin Pro Light" w:cs="Times"/>
          <w:color w:val="000000"/>
          <w:u w:color="0000E9"/>
        </w:rPr>
        <w:t>.</w:t>
      </w:r>
    </w:p>
    <w:p w14:paraId="148FC1A0" w14:textId="5A73978C" w:rsidR="00057896" w:rsidRDefault="0005789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In my view, a data scientist can contribute to these issues by putting into code the diversity of perspectives and questions being posed to potentially related datasets.  </w:t>
      </w:r>
      <w:r w:rsidR="00130014">
        <w:rPr>
          <w:rFonts w:ascii="Acumin Pro Light" w:hAnsi="Acumin Pro Light" w:cs="Times"/>
          <w:color w:val="000000"/>
          <w:u w:color="0000E9"/>
        </w:rPr>
        <w:t>By doing so, the data scientist curates like a</w:t>
      </w:r>
      <w:r>
        <w:rPr>
          <w:rFonts w:ascii="Acumin Pro Light" w:hAnsi="Acumin Pro Light" w:cs="Times"/>
          <w:color w:val="000000"/>
          <w:u w:color="0000E9"/>
        </w:rPr>
        <w:t xml:space="preserve"> digital librarian, </w:t>
      </w:r>
      <w:r w:rsidR="00130014">
        <w:rPr>
          <w:rFonts w:ascii="Acumin Pro Light" w:hAnsi="Acumin Pro Light" w:cs="Times"/>
          <w:color w:val="000000"/>
          <w:u w:color="0000E9"/>
        </w:rPr>
        <w:t xml:space="preserve">prepares data </w:t>
      </w:r>
      <w:r w:rsidR="008E3607">
        <w:rPr>
          <w:rFonts w:ascii="Acumin Pro Light" w:hAnsi="Acumin Pro Light" w:cs="Times"/>
          <w:color w:val="000000"/>
          <w:u w:color="0000E9"/>
        </w:rPr>
        <w:t xml:space="preserve">for their own </w:t>
      </w:r>
      <w:r w:rsidR="00130014">
        <w:rPr>
          <w:rFonts w:ascii="Acumin Pro Light" w:hAnsi="Acumin Pro Light" w:cs="Times"/>
          <w:color w:val="000000"/>
          <w:u w:color="0000E9"/>
        </w:rPr>
        <w:t xml:space="preserve">analysis </w:t>
      </w:r>
      <w:r w:rsidR="008E3607">
        <w:rPr>
          <w:rFonts w:ascii="Acumin Pro Light" w:hAnsi="Acumin Pro Light" w:cs="Times"/>
          <w:color w:val="000000"/>
          <w:u w:color="0000E9"/>
        </w:rPr>
        <w:t>but also</w:t>
      </w:r>
      <w:r w:rsidR="00130014">
        <w:rPr>
          <w:rFonts w:ascii="Acumin Pro Light" w:hAnsi="Acumin Pro Light" w:cs="Times"/>
          <w:color w:val="000000"/>
          <w:u w:color="0000E9"/>
        </w:rPr>
        <w:t xml:space="preserve"> for </w:t>
      </w:r>
      <w:r w:rsidR="008E3607">
        <w:rPr>
          <w:rFonts w:ascii="Acumin Pro Light" w:hAnsi="Acumin Pro Light" w:cs="Times"/>
          <w:color w:val="000000"/>
          <w:u w:color="0000E9"/>
        </w:rPr>
        <w:t>analysis by other future</w:t>
      </w:r>
      <w:r>
        <w:rPr>
          <w:rFonts w:ascii="Acumin Pro Light" w:hAnsi="Acumin Pro Light" w:cs="Times"/>
          <w:color w:val="000000"/>
          <w:u w:color="0000E9"/>
        </w:rPr>
        <w:t xml:space="preserve"> analyst</w:t>
      </w:r>
      <w:r w:rsidR="00130014">
        <w:rPr>
          <w:rFonts w:ascii="Acumin Pro Light" w:hAnsi="Acumin Pro Light" w:cs="Times"/>
          <w:color w:val="000000"/>
          <w:u w:color="0000E9"/>
        </w:rPr>
        <w:t>s, and designs visualizations for other practitioners interested in these topics.  I hope to do a little bit of each by extending this work on a few different fronts, detailed in the methodology section below.</w:t>
      </w:r>
    </w:p>
    <w:p w14:paraId="1D0A25FD" w14:textId="384019C5" w:rsidR="005A50AB" w:rsidRPr="008E3607" w:rsidRDefault="005A50AB" w:rsidP="005A50AB">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Methods</w:t>
      </w:r>
    </w:p>
    <w:p w14:paraId="0E60E54F" w14:textId="355DD123" w:rsidR="00141D80" w:rsidRDefault="00141D80" w:rsidP="00141D80">
      <w:pPr>
        <w:autoSpaceDE w:val="0"/>
        <w:autoSpaceDN w:val="0"/>
        <w:adjustRightInd w:val="0"/>
        <w:rPr>
          <w:rFonts w:ascii="Acumin Pro Medium" w:hAnsi="Acumin Pro Medium" w:cs="Acumin Pro Medium"/>
          <w:color w:val="000000"/>
          <w:u w:color="0000E9"/>
        </w:rPr>
      </w:pPr>
    </w:p>
    <w:p w14:paraId="6B2D04A7" w14:textId="3FD6DEA5"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Getting the data</w:t>
      </w:r>
    </w:p>
    <w:p w14:paraId="238A636F" w14:textId="77777777" w:rsidR="00DC4396" w:rsidRDefault="00DC4396" w:rsidP="00141D80">
      <w:pPr>
        <w:autoSpaceDE w:val="0"/>
        <w:autoSpaceDN w:val="0"/>
        <w:adjustRightInd w:val="0"/>
        <w:rPr>
          <w:rFonts w:ascii="Acumin Pro Light" w:hAnsi="Acumin Pro Light" w:cs="Acumin Pro Medium"/>
          <w:color w:val="000000"/>
          <w:u w:color="0000E9"/>
        </w:rPr>
      </w:pPr>
    </w:p>
    <w:commentRangeStart w:id="2"/>
    <w:p w14:paraId="6580A12E" w14:textId="72D7AC19" w:rsidR="005A50AB" w:rsidRDefault="00B2648A" w:rsidP="00141D80">
      <w:pPr>
        <w:autoSpaceDE w:val="0"/>
        <w:autoSpaceDN w:val="0"/>
        <w:adjustRightInd w:val="0"/>
        <w:rPr>
          <w:rFonts w:ascii="Acumin Pro Light" w:hAnsi="Acumin Pro Light" w:cs="Acumin Pro Medium"/>
          <w:color w:val="000000"/>
          <w:u w:color="0000E9"/>
        </w:rPr>
      </w:pPr>
      <w:r>
        <w:fldChar w:fldCharType="begin"/>
      </w:r>
      <w:r>
        <w:instrText xml:space="preserve"> HYPERLINK "https://www.nsf.gov/awardsearch/download.jsp" </w:instrText>
      </w:r>
      <w:r>
        <w:fldChar w:fldCharType="separate"/>
      </w:r>
      <w:r w:rsidR="00DD67F8" w:rsidRPr="001929E0">
        <w:rPr>
          <w:rStyle w:val="Hyperlink"/>
          <w:rFonts w:ascii="Acumin Pro Light" w:hAnsi="Acumin Pro Light" w:cs="Acumin Pro Medium"/>
        </w:rPr>
        <w:t xml:space="preserve">NSF’s historic </w:t>
      </w:r>
      <w:r w:rsidR="00DC4396" w:rsidRPr="001929E0">
        <w:rPr>
          <w:rStyle w:val="Hyperlink"/>
          <w:rFonts w:ascii="Acumin Pro Light" w:hAnsi="Acumin Pro Light" w:cs="Acumin Pro Medium"/>
        </w:rPr>
        <w:t xml:space="preserve">to present </w:t>
      </w:r>
      <w:r w:rsidR="00DD67F8" w:rsidRPr="001929E0">
        <w:rPr>
          <w:rStyle w:val="Hyperlink"/>
          <w:rFonts w:ascii="Acumin Pro Light" w:hAnsi="Acumin Pro Light" w:cs="Acumin Pro Medium"/>
          <w:b/>
          <w:bCs/>
        </w:rPr>
        <w:t>awards data</w:t>
      </w:r>
      <w:r>
        <w:rPr>
          <w:rStyle w:val="Hyperlink"/>
          <w:rFonts w:ascii="Acumin Pro Light" w:hAnsi="Acumin Pro Light" w:cs="Acumin Pro Medium"/>
          <w:b/>
          <w:bCs/>
        </w:rPr>
        <w:fldChar w:fldCharType="end"/>
      </w:r>
      <w:r w:rsidR="00DD67F8">
        <w:rPr>
          <w:rFonts w:ascii="Acumin Pro Light" w:hAnsi="Acumin Pro Light" w:cs="Acumin Pro Medium"/>
          <w:color w:val="000000"/>
          <w:u w:color="0000E9"/>
        </w:rPr>
        <w:t xml:space="preserve"> is </w:t>
      </w:r>
      <w:r w:rsidR="001929E0">
        <w:rPr>
          <w:rFonts w:ascii="Acumin Pro Light" w:hAnsi="Acumin Pro Light" w:cs="Acumin Pro Medium"/>
          <w:color w:val="000000"/>
          <w:u w:color="0000E9"/>
        </w:rPr>
        <w:t xml:space="preserve">openly </w:t>
      </w:r>
      <w:r w:rsidR="00DD67F8">
        <w:rPr>
          <w:rFonts w:ascii="Acumin Pro Light" w:hAnsi="Acumin Pro Light" w:cs="Acumin Pro Medium"/>
          <w:color w:val="000000"/>
          <w:u w:color="0000E9"/>
        </w:rPr>
        <w:t>available at the grant level</w:t>
      </w:r>
      <w:r w:rsidR="00DC4396">
        <w:rPr>
          <w:rFonts w:ascii="Acumin Pro Light" w:hAnsi="Acumin Pro Light" w:cs="Acumin Pro Medium"/>
          <w:color w:val="000000"/>
          <w:u w:color="0000E9"/>
        </w:rPr>
        <w:t xml:space="preserve"> as XML files, and includes details such as the NSF directorate, division and program officer responsible for making the award, award title, abstract, principal investigator, recipient organization, award instrument (standard grant, continuing grant, fellowship, fixed price award, etc.), </w:t>
      </w:r>
      <w:commentRangeEnd w:id="2"/>
      <w:r w:rsidR="00CA52E1">
        <w:rPr>
          <w:rStyle w:val="CommentReference"/>
        </w:rPr>
        <w:commentReference w:id="2"/>
      </w:r>
      <w:r w:rsidR="00DC4396">
        <w:rPr>
          <w:rFonts w:ascii="Acumin Pro Light" w:hAnsi="Acumin Pro Light" w:cs="Acumin Pro Medium"/>
          <w:color w:val="000000"/>
          <w:u w:color="0000E9"/>
        </w:rPr>
        <w:t xml:space="preserve">and several administrative codes that add thematic or program-level details.  I modified </w:t>
      </w:r>
      <w:hyperlink r:id="rId14" w:history="1">
        <w:r w:rsidR="00DC4396" w:rsidRPr="001929E0">
          <w:rPr>
            <w:rStyle w:val="Hyperlink"/>
            <w:rFonts w:ascii="Acumin Pro Light" w:hAnsi="Acumin Pro Light" w:cs="Acumin Pro Medium"/>
          </w:rPr>
          <w:t xml:space="preserve">existing python scripts found on </w:t>
        </w:r>
        <w:proofErr w:type="spellStart"/>
        <w:r w:rsidR="00DC4396" w:rsidRPr="001929E0">
          <w:rPr>
            <w:rStyle w:val="Hyperlink"/>
            <w:rFonts w:ascii="Acumin Pro Light" w:hAnsi="Acumin Pro Light" w:cs="Acumin Pro Medium"/>
          </w:rPr>
          <w:t>Github</w:t>
        </w:r>
        <w:proofErr w:type="spellEnd"/>
      </w:hyperlink>
      <w:r w:rsidR="001929E0">
        <w:rPr>
          <w:rFonts w:ascii="Acumin Pro Light" w:hAnsi="Acumin Pro Light" w:cs="Acumin Pro Medium"/>
          <w:color w:val="000000"/>
          <w:u w:color="0000E9"/>
        </w:rPr>
        <w:t xml:space="preserve"> </w:t>
      </w:r>
      <w:r w:rsidR="001929E0" w:rsidRPr="003463B6">
        <w:rPr>
          <w:rFonts w:ascii="Acumin Pro Light" w:hAnsi="Acumin Pro Light" w:cs="Acumin Pro Medium"/>
          <w:color w:val="000000"/>
          <w:u w:color="0000E9"/>
        </w:rPr>
        <w:t>authored by University of Pennsylvania doctoral student</w:t>
      </w:r>
      <w:r w:rsidR="001929E0" w:rsidRPr="003463B6">
        <w:rPr>
          <w:rFonts w:ascii="Acumin Pro Light" w:hAnsi="Acumin Pro Light"/>
        </w:rPr>
        <w:t xml:space="preserve"> </w:t>
      </w:r>
      <w:r w:rsidR="003463B6" w:rsidRPr="003463B6">
        <w:rPr>
          <w:rFonts w:ascii="Acumin Pro Light" w:hAnsi="Acumin Pro Light"/>
        </w:rPr>
        <w:t xml:space="preserve">and science of science researcher </w:t>
      </w:r>
      <w:proofErr w:type="spellStart"/>
      <w:r w:rsidR="001929E0" w:rsidRPr="001929E0">
        <w:rPr>
          <w:rFonts w:ascii="Acumin Pro Light" w:hAnsi="Acumin Pro Light" w:cs="Acumin Pro Medium"/>
          <w:color w:val="000000"/>
          <w:u w:color="0000E9"/>
        </w:rPr>
        <w:t>Titipat</w:t>
      </w:r>
      <w:proofErr w:type="spellEnd"/>
      <w:r w:rsidR="001929E0" w:rsidRPr="001929E0">
        <w:rPr>
          <w:rFonts w:ascii="Acumin Pro Light" w:hAnsi="Acumin Pro Light" w:cs="Acumin Pro Medium"/>
          <w:color w:val="000000"/>
          <w:u w:color="0000E9"/>
        </w:rPr>
        <w:t xml:space="preserve"> </w:t>
      </w:r>
      <w:proofErr w:type="spellStart"/>
      <w:r w:rsidR="001929E0" w:rsidRPr="001929E0">
        <w:rPr>
          <w:rFonts w:ascii="Acumin Pro Light" w:hAnsi="Acumin Pro Light" w:cs="Acumin Pro Medium"/>
          <w:color w:val="000000"/>
          <w:u w:color="0000E9"/>
        </w:rPr>
        <w:t>Achakulvisut</w:t>
      </w:r>
      <w:proofErr w:type="spellEnd"/>
      <w:r w:rsidR="001929E0">
        <w:rPr>
          <w:rFonts w:ascii="Acumin Pro Light" w:hAnsi="Acumin Pro Light" w:cs="Acumin Pro Medium"/>
          <w:color w:val="000000"/>
          <w:u w:color="0000E9"/>
        </w:rPr>
        <w:t xml:space="preserve"> to parse the XML files into a single </w:t>
      </w:r>
      <w:proofErr w:type="spellStart"/>
      <w:r w:rsidR="001929E0">
        <w:rPr>
          <w:rFonts w:ascii="Acumin Pro Light" w:hAnsi="Acumin Pro Light" w:cs="Acumin Pro Medium"/>
          <w:color w:val="000000"/>
          <w:u w:color="0000E9"/>
        </w:rPr>
        <w:t>dataframe</w:t>
      </w:r>
      <w:proofErr w:type="spellEnd"/>
      <w:r w:rsidR="001929E0">
        <w:rPr>
          <w:rFonts w:ascii="Acumin Pro Light" w:hAnsi="Acumin Pro Light" w:cs="Acumin Pro Medium"/>
          <w:color w:val="000000"/>
          <w:u w:color="0000E9"/>
        </w:rPr>
        <w:t xml:space="preserve"> and</w:t>
      </w:r>
      <w:r w:rsidR="00DC4396">
        <w:rPr>
          <w:rFonts w:ascii="Acumin Pro Light" w:hAnsi="Acumin Pro Light" w:cs="Acumin Pro Medium"/>
          <w:color w:val="000000"/>
          <w:u w:color="0000E9"/>
        </w:rPr>
        <w:t xml:space="preserve"> ensure all relevant fields were present</w:t>
      </w:r>
      <w:r w:rsidR="001929E0">
        <w:rPr>
          <w:rFonts w:ascii="Acumin Pro Light" w:hAnsi="Acumin Pro Light" w:cs="Acumin Pro Medium"/>
          <w:color w:val="000000"/>
          <w:u w:color="0000E9"/>
        </w:rPr>
        <w:t>.</w:t>
      </w:r>
    </w:p>
    <w:p w14:paraId="5AFF75B3" w14:textId="364F4A13" w:rsidR="005543EB" w:rsidRDefault="005543EB" w:rsidP="00141D80">
      <w:pPr>
        <w:autoSpaceDE w:val="0"/>
        <w:autoSpaceDN w:val="0"/>
        <w:adjustRightInd w:val="0"/>
        <w:rPr>
          <w:rFonts w:ascii="Acumin Pro Light" w:hAnsi="Acumin Pro Light" w:cs="Acumin Pro Medium"/>
          <w:color w:val="000000"/>
          <w:u w:color="0000E9"/>
        </w:rPr>
      </w:pPr>
    </w:p>
    <w:p w14:paraId="23044CA3" w14:textId="77777777" w:rsidR="005543EB" w:rsidRDefault="005543EB" w:rsidP="00141D80">
      <w:pPr>
        <w:autoSpaceDE w:val="0"/>
        <w:autoSpaceDN w:val="0"/>
        <w:adjustRightInd w:val="0"/>
        <w:rPr>
          <w:rFonts w:ascii="Acumin Pro Light" w:hAnsi="Acumin Pro Light" w:cs="Acumin Pro Medium"/>
          <w:color w:val="000000"/>
          <w:u w:color="0000E9"/>
        </w:rPr>
      </w:pPr>
      <w:r w:rsidRPr="0005141D">
        <w:rPr>
          <w:rFonts w:ascii="Acumin Pro Light" w:hAnsi="Acumin Pro Light" w:cs="Acumin Pro Medium"/>
          <w:b/>
          <w:bCs/>
          <w:color w:val="000000"/>
          <w:u w:color="0000E9"/>
        </w:rPr>
        <w:t>Other data sources</w:t>
      </w:r>
      <w:r>
        <w:rPr>
          <w:rFonts w:ascii="Acumin Pro Light" w:hAnsi="Acumin Pro Light" w:cs="Acumin Pro Medium"/>
          <w:color w:val="000000"/>
          <w:u w:color="0000E9"/>
        </w:rPr>
        <w:t xml:space="preserve"> include:</w:t>
      </w:r>
    </w:p>
    <w:p w14:paraId="0906A906" w14:textId="76C0C40F" w:rsidR="00DC4396"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Census.gov</w:t>
      </w:r>
      <w:r w:rsidRPr="005543EB">
        <w:rPr>
          <w:rFonts w:ascii="Acumin Pro Light" w:hAnsi="Acumin Pro Light" w:cs="Acumin Pro Medium"/>
          <w:color w:val="000000"/>
          <w:u w:color="0000E9"/>
        </w:rPr>
        <w:t xml:space="preserve"> shapefiles for county and 116</w:t>
      </w:r>
      <w:r w:rsidRPr="005543EB">
        <w:rPr>
          <w:rFonts w:ascii="Acumin Pro Light" w:hAnsi="Acumin Pro Light" w:cs="Acumin Pro Medium"/>
          <w:color w:val="000000"/>
          <w:u w:color="0000E9"/>
          <w:vertAlign w:val="superscript"/>
        </w:rPr>
        <w:t>th</w:t>
      </w:r>
      <w:r w:rsidRPr="005543EB">
        <w:rPr>
          <w:rFonts w:ascii="Acumin Pro Light" w:hAnsi="Acumin Pro Light" w:cs="Acumin Pro Medium"/>
          <w:color w:val="000000"/>
          <w:u w:color="0000E9"/>
        </w:rPr>
        <w:t xml:space="preserve"> Congress congressional district</w:t>
      </w:r>
    </w:p>
    <w:p w14:paraId="5C2E69C2" w14:textId="00DB4745" w:rsidR="005543EB" w:rsidRDefault="00F923F3" w:rsidP="00141D80">
      <w:pPr>
        <w:pStyle w:val="ListParagraph"/>
        <w:numPr>
          <w:ilvl w:val="0"/>
          <w:numId w:val="5"/>
        </w:numPr>
        <w:autoSpaceDE w:val="0"/>
        <w:autoSpaceDN w:val="0"/>
        <w:adjustRightInd w:val="0"/>
        <w:rPr>
          <w:rFonts w:ascii="Acumin Pro Light" w:hAnsi="Acumin Pro Light" w:cs="Acumin Pro Medium"/>
          <w:color w:val="000000"/>
          <w:u w:color="0000E9"/>
        </w:rPr>
      </w:pPr>
      <w:hyperlink r:id="rId15" w:history="1">
        <w:r w:rsidR="005543EB" w:rsidRPr="003463B6">
          <w:rPr>
            <w:rStyle w:val="Hyperlink"/>
            <w:rFonts w:ascii="Acumin Pro Light" w:hAnsi="Acumin Pro Light" w:cs="Acumin Pro Medium"/>
          </w:rPr>
          <w:t xml:space="preserve">ProPublica </w:t>
        </w:r>
        <w:r w:rsidR="003463B6" w:rsidRPr="003463B6">
          <w:rPr>
            <w:rStyle w:val="Hyperlink"/>
            <w:rFonts w:ascii="Acumin Pro Light" w:hAnsi="Acumin Pro Light" w:cs="Acumin Pro Medium"/>
          </w:rPr>
          <w:t xml:space="preserve">Congress </w:t>
        </w:r>
        <w:r w:rsidR="005543EB" w:rsidRPr="003463B6">
          <w:rPr>
            <w:rStyle w:val="Hyperlink"/>
            <w:rFonts w:ascii="Acumin Pro Light" w:hAnsi="Acumin Pro Light" w:cs="Acumin Pro Medium"/>
          </w:rPr>
          <w:t>API</w:t>
        </w:r>
      </w:hyperlink>
      <w:r w:rsidR="005543EB">
        <w:rPr>
          <w:rFonts w:ascii="Acumin Pro Light" w:hAnsi="Acumin Pro Light" w:cs="Acumin Pro Medium"/>
          <w:color w:val="000000"/>
          <w:u w:color="0000E9"/>
        </w:rPr>
        <w:t xml:space="preserve"> to obtain senator and representative information for each district</w:t>
      </w:r>
    </w:p>
    <w:p w14:paraId="69209EEB" w14:textId="1F735D35" w:rsidR="005543EB"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2018 American Community Survey</w:t>
      </w:r>
      <w:r>
        <w:rPr>
          <w:rFonts w:ascii="Acumin Pro Light" w:hAnsi="Acumin Pro Light" w:cs="Acumin Pro Medium"/>
          <w:color w:val="000000"/>
          <w:u w:color="0000E9"/>
        </w:rPr>
        <w:t xml:space="preserve"> 1-year estimate data </w:t>
      </w:r>
      <w:r w:rsidR="0073295F">
        <w:rPr>
          <w:rFonts w:ascii="Acumin Pro Light" w:hAnsi="Acumin Pro Light" w:cs="Acumin Pro Medium"/>
          <w:color w:val="000000"/>
          <w:u w:color="0000E9"/>
        </w:rPr>
        <w:t xml:space="preserve">at the congressional district level </w:t>
      </w:r>
      <w:r>
        <w:rPr>
          <w:rFonts w:ascii="Acumin Pro Light" w:hAnsi="Acumin Pro Light" w:cs="Acumin Pro Medium"/>
          <w:color w:val="000000"/>
          <w:u w:color="0000E9"/>
        </w:rPr>
        <w:t>for:</w:t>
      </w:r>
    </w:p>
    <w:p w14:paraId="54829626" w14:textId="62598DB7" w:rsidR="005543EB" w:rsidRDefault="005543EB"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Geographical mobility in the past year</w:t>
      </w:r>
    </w:p>
    <w:p w14:paraId="209E9979" w14:textId="14DE9936" w:rsidR="0073295F" w:rsidRDefault="0073295F"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Industry for the civilian employed population aged 16 and older</w:t>
      </w:r>
    </w:p>
    <w:p w14:paraId="3AA8651E" w14:textId="77777777" w:rsidR="0073295F" w:rsidRPr="005543EB" w:rsidRDefault="0073295F" w:rsidP="0073295F">
      <w:pPr>
        <w:pStyle w:val="ListParagraph"/>
        <w:autoSpaceDE w:val="0"/>
        <w:autoSpaceDN w:val="0"/>
        <w:adjustRightInd w:val="0"/>
        <w:ind w:left="1440"/>
        <w:rPr>
          <w:rFonts w:ascii="Acumin Pro Light" w:hAnsi="Acumin Pro Light" w:cs="Acumin Pro Medium"/>
          <w:color w:val="000000"/>
          <w:u w:color="0000E9"/>
        </w:rPr>
      </w:pPr>
    </w:p>
    <w:p w14:paraId="0C1CC116" w14:textId="6FA5DFF4"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Cleaning</w:t>
      </w:r>
      <w:r w:rsidR="0073295F" w:rsidRPr="008E3607">
        <w:rPr>
          <w:rFonts w:ascii="Acumin Pro Medium" w:hAnsi="Acumin Pro Medium" w:cs="Acumin Pro Medium"/>
          <w:b/>
          <w:bCs/>
          <w:color w:val="000000"/>
          <w:u w:color="0000E9"/>
        </w:rPr>
        <w:t xml:space="preserve"> and</w:t>
      </w:r>
      <w:r w:rsidR="00CD2BFD"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processing the awards</w:t>
      </w:r>
      <w:r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text data</w:t>
      </w:r>
    </w:p>
    <w:p w14:paraId="06DADC55" w14:textId="15435BC2" w:rsidR="00DC4396" w:rsidRDefault="00DC4396" w:rsidP="00141D80">
      <w:pPr>
        <w:autoSpaceDE w:val="0"/>
        <w:autoSpaceDN w:val="0"/>
        <w:adjustRightInd w:val="0"/>
        <w:rPr>
          <w:rFonts w:ascii="Acumin Pro Medium" w:hAnsi="Acumin Pro Medium" w:cs="Acumin Pro Medium"/>
          <w:i/>
          <w:iCs/>
          <w:color w:val="000000"/>
          <w:u w:color="0000E9"/>
        </w:rPr>
      </w:pPr>
    </w:p>
    <w:p w14:paraId="19C0482D" w14:textId="77777777" w:rsidR="0073295F"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Directorate and division names were cleaned for parity, taking liberties except where potential program name changes signaled historical transitions.  While “program reference codes” and “program element codes” offer some additional details about thematic or strategic aspects of the grants, they are messy and administratively opaque.  Codes were cleaned for parity using the alphanumeric identifiers affixed to them.  If the taxonomic logic behind these codes was more transparent, thematic analysis could likely happen with less emphasis on text mining methods.</w:t>
      </w:r>
      <w:r w:rsidR="0073295F">
        <w:rPr>
          <w:rFonts w:ascii="Acumin Pro Light" w:hAnsi="Acumin Pro Light" w:cs="Acumin Pro Medium"/>
          <w:color w:val="000000"/>
          <w:u w:color="0000E9"/>
        </w:rPr>
        <w:t xml:space="preserve">  </w:t>
      </w:r>
    </w:p>
    <w:p w14:paraId="3C701F4E" w14:textId="77777777" w:rsidR="0073295F" w:rsidRDefault="0073295F" w:rsidP="00141D80">
      <w:pPr>
        <w:autoSpaceDE w:val="0"/>
        <w:autoSpaceDN w:val="0"/>
        <w:adjustRightInd w:val="0"/>
        <w:rPr>
          <w:rFonts w:ascii="Acumin Pro Light" w:hAnsi="Acumin Pro Light" w:cs="Acumin Pro Medium"/>
          <w:color w:val="000000"/>
          <w:u w:color="0000E9"/>
        </w:rPr>
      </w:pPr>
    </w:p>
    <w:p w14:paraId="5423E1C4" w14:textId="434A5AB6" w:rsidR="00DC4396"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identify grants belonging to the SBIR/STTR program, I queried text from the program codes, grant title and abstract fields.  This program was chosen for its relevance to broader issues in science, technology and innovation policy studies.  It is also an interesting subset of the entire collection, as it is one of the few NSF programs where the grantees are not typically colleges or universities.  The period of 2014 to 2018 was selected because it reflects the last full strategy period, and it may be worthwhile in the future to ground the analysis by comparing localization and </w:t>
      </w:r>
      <w:r w:rsidR="00251EEE">
        <w:rPr>
          <w:rFonts w:ascii="Acumin Pro Light" w:hAnsi="Acumin Pro Light" w:cs="Acumin Pro Medium"/>
          <w:color w:val="000000"/>
          <w:u w:color="0000E9"/>
        </w:rPr>
        <w:t>topical trends by</w:t>
      </w:r>
      <w:r>
        <w:rPr>
          <w:rFonts w:ascii="Acumin Pro Light" w:hAnsi="Acumin Pro Light" w:cs="Acumin Pro Medium"/>
          <w:color w:val="000000"/>
          <w:u w:color="0000E9"/>
        </w:rPr>
        <w:t xml:space="preserve"> strategy period</w:t>
      </w:r>
      <w:r w:rsidR="00251EEE">
        <w:rPr>
          <w:rFonts w:ascii="Acumin Pro Light" w:hAnsi="Acumin Pro Light" w:cs="Acumin Pro Medium"/>
          <w:color w:val="000000"/>
          <w:u w:color="0000E9"/>
        </w:rPr>
        <w:t>.</w:t>
      </w:r>
    </w:p>
    <w:p w14:paraId="618E2C21" w14:textId="263FC655" w:rsidR="00DC4396" w:rsidRDefault="00DC4396" w:rsidP="00141D80">
      <w:pPr>
        <w:autoSpaceDE w:val="0"/>
        <w:autoSpaceDN w:val="0"/>
        <w:adjustRightInd w:val="0"/>
        <w:rPr>
          <w:rFonts w:ascii="Acumin Pro Light" w:hAnsi="Acumin Pro Light" w:cs="Acumin Pro Medium"/>
          <w:color w:val="000000"/>
          <w:u w:color="0000E9"/>
        </w:rPr>
      </w:pPr>
    </w:p>
    <w:p w14:paraId="58E18A70" w14:textId="646C6370" w:rsidR="00405088"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clean and pre-process the text from grant title and abstracts, I relied on the </w:t>
      </w:r>
      <w:hyperlink r:id="rId16" w:history="1">
        <w:proofErr w:type="spellStart"/>
        <w:r w:rsidRPr="001929E0">
          <w:rPr>
            <w:rStyle w:val="Hyperlink"/>
            <w:rFonts w:ascii="Acumin Pro Light" w:hAnsi="Acumin Pro Light" w:cs="Acumin Pro Medium"/>
          </w:rPr>
          <w:t>NLPre</w:t>
        </w:r>
        <w:proofErr w:type="spellEnd"/>
        <w:r w:rsidRPr="001929E0">
          <w:rPr>
            <w:rStyle w:val="Hyperlink"/>
            <w:rFonts w:ascii="Acumin Pro Light" w:hAnsi="Acumin Pro Light" w:cs="Acumin Pro Medium"/>
          </w:rPr>
          <w:t xml:space="preserve"> pipeline made publicly available </w:t>
        </w:r>
        <w:r w:rsidR="00057A2F" w:rsidRPr="001929E0">
          <w:rPr>
            <w:rStyle w:val="Hyperlink"/>
            <w:rFonts w:ascii="Acumin Pro Light" w:hAnsi="Acumin Pro Light" w:cs="Acumin Pro Medium"/>
          </w:rPr>
          <w:t xml:space="preserve">on </w:t>
        </w:r>
        <w:proofErr w:type="spellStart"/>
        <w:r w:rsidR="00057A2F" w:rsidRPr="001929E0">
          <w:rPr>
            <w:rStyle w:val="Hyperlink"/>
            <w:rFonts w:ascii="Acumin Pro Light" w:hAnsi="Acumin Pro Light" w:cs="Acumin Pro Medium"/>
          </w:rPr>
          <w:t>Github</w:t>
        </w:r>
        <w:proofErr w:type="spellEnd"/>
      </w:hyperlink>
      <w:r w:rsidR="00057A2F">
        <w:rPr>
          <w:rFonts w:ascii="Acumin Pro Light" w:hAnsi="Acumin Pro Light" w:cs="Acumin Pro Medium"/>
          <w:color w:val="000000"/>
          <w:u w:color="0000E9"/>
        </w:rPr>
        <w:t xml:space="preserve"> </w:t>
      </w:r>
      <w:r>
        <w:rPr>
          <w:rFonts w:ascii="Acumin Pro Light" w:hAnsi="Acumin Pro Light" w:cs="Acumin Pro Medium"/>
          <w:color w:val="000000"/>
          <w:u w:color="0000E9"/>
        </w:rPr>
        <w:t>by the NIH Office of Portfolio Analysis team.  The pipeline does standard text cleaning</w:t>
      </w:r>
      <w:r w:rsidR="00057A2F">
        <w:rPr>
          <w:rFonts w:ascii="Acumin Pro Light" w:hAnsi="Acumin Pro Light" w:cs="Acumin Pro Medium"/>
          <w:color w:val="000000"/>
          <w:u w:color="0000E9"/>
        </w:rPr>
        <w:t xml:space="preserve">, </w:t>
      </w:r>
      <w:proofErr w:type="spellStart"/>
      <w:r w:rsidR="00057A2F">
        <w:rPr>
          <w:rFonts w:ascii="Acumin Pro Light" w:hAnsi="Acumin Pro Light" w:cs="Acumin Pro Medium"/>
          <w:color w:val="000000"/>
          <w:u w:color="0000E9"/>
        </w:rPr>
        <w:t>stopword</w:t>
      </w:r>
      <w:proofErr w:type="spellEnd"/>
      <w:r w:rsidR="00057A2F">
        <w:rPr>
          <w:rFonts w:ascii="Acumin Pro Light" w:hAnsi="Acumin Pro Light" w:cs="Acumin Pro Medium"/>
          <w:color w:val="000000"/>
          <w:u w:color="0000E9"/>
        </w:rPr>
        <w:t xml:space="preserve"> removal </w:t>
      </w:r>
      <w:r>
        <w:rPr>
          <w:rFonts w:ascii="Acumin Pro Light" w:hAnsi="Acumin Pro Light" w:cs="Acumin Pro Medium"/>
          <w:color w:val="000000"/>
          <w:u w:color="0000E9"/>
        </w:rPr>
        <w:t xml:space="preserve">and tokenization, but also expands and logs abbreviations and marks terms in the text that </w:t>
      </w:r>
      <w:r w:rsidR="00405088">
        <w:rPr>
          <w:rFonts w:ascii="Acumin Pro Light" w:hAnsi="Acumin Pro Light" w:cs="Acumin Pro Medium"/>
          <w:color w:val="000000"/>
          <w:u w:color="0000E9"/>
        </w:rPr>
        <w:t xml:space="preserve">also appear in the </w:t>
      </w:r>
      <w:hyperlink r:id="rId17" w:history="1">
        <w:r w:rsidR="00405088" w:rsidRPr="001929E0">
          <w:rPr>
            <w:rStyle w:val="Hyperlink"/>
            <w:rFonts w:ascii="Acumin Pro Light" w:hAnsi="Acumin Pro Light" w:cs="Acumin Pro Medium"/>
          </w:rPr>
          <w:t>National Library of Medicine’s Medical Subject Headings (</w:t>
        </w:r>
        <w:proofErr w:type="spellStart"/>
        <w:r w:rsidR="00405088" w:rsidRPr="001929E0">
          <w:rPr>
            <w:rStyle w:val="Hyperlink"/>
            <w:rFonts w:ascii="Acumin Pro Light" w:hAnsi="Acumin Pro Light" w:cs="Acumin Pro Medium"/>
          </w:rPr>
          <w:t>MeSH</w:t>
        </w:r>
        <w:proofErr w:type="spellEnd"/>
        <w:r w:rsidR="00405088" w:rsidRPr="001929E0">
          <w:rPr>
            <w:rStyle w:val="Hyperlink"/>
            <w:rFonts w:ascii="Acumin Pro Light" w:hAnsi="Acumin Pro Light" w:cs="Acumin Pro Medium"/>
          </w:rPr>
          <w:t xml:space="preserve">). </w:t>
        </w:r>
      </w:hyperlink>
      <w:r w:rsidR="00405088">
        <w:rPr>
          <w:rFonts w:ascii="Acumin Pro Light" w:hAnsi="Acumin Pro Light" w:cs="Acumin Pro Medium"/>
          <w:color w:val="000000"/>
          <w:u w:color="0000E9"/>
        </w:rPr>
        <w:t xml:space="preserve"> </w:t>
      </w:r>
      <w:r w:rsidR="00057A2F">
        <w:rPr>
          <w:rFonts w:ascii="Acumin Pro Light" w:hAnsi="Acumin Pro Light" w:cs="Acumin Pro Medium"/>
          <w:color w:val="000000"/>
          <w:u w:color="0000E9"/>
        </w:rPr>
        <w:t>While unsupervised text mining techniques are useful for their ability to reveal frequently used terms and phrases, relying on dictionary</w:t>
      </w:r>
      <w:r w:rsidR="001929E0">
        <w:rPr>
          <w:rFonts w:ascii="Acumin Pro Light" w:hAnsi="Acumin Pro Light" w:cs="Acumin Pro Medium"/>
          <w:color w:val="000000"/>
          <w:u w:color="0000E9"/>
        </w:rPr>
        <w:t>-</w:t>
      </w:r>
      <w:r w:rsidR="00057A2F">
        <w:rPr>
          <w:rFonts w:ascii="Acumin Pro Light" w:hAnsi="Acumin Pro Light" w:cs="Acumin Pro Medium"/>
          <w:color w:val="000000"/>
          <w:u w:color="0000E9"/>
        </w:rPr>
        <w:t xml:space="preserve">based methods of extraction </w:t>
      </w:r>
      <w:r w:rsidR="001929E0">
        <w:rPr>
          <w:rFonts w:ascii="Acumin Pro Light" w:hAnsi="Acumin Pro Light" w:cs="Acumin Pro Medium"/>
          <w:color w:val="000000"/>
          <w:u w:color="0000E9"/>
        </w:rPr>
        <w:t>can be</w:t>
      </w:r>
      <w:r w:rsidR="00057A2F">
        <w:rPr>
          <w:rFonts w:ascii="Acumin Pro Light" w:hAnsi="Acumin Pro Light" w:cs="Acumin Pro Medium"/>
          <w:color w:val="000000"/>
          <w:u w:color="0000E9"/>
        </w:rPr>
        <w:t xml:space="preserve"> advantageous to the extent it enables inter-operability and cross-platform comparisons.  </w:t>
      </w:r>
      <w:r w:rsidR="00405088">
        <w:rPr>
          <w:rFonts w:ascii="Acumin Pro Light" w:hAnsi="Acumin Pro Light" w:cs="Acumin Pro Medium"/>
          <w:color w:val="000000"/>
          <w:u w:color="0000E9"/>
        </w:rPr>
        <w:t xml:space="preserve">In the future I would like to utilize other taxonomies, ontologies and RDFs to enhance term extraction and create linkages to additional descriptive information and related resources.  </w:t>
      </w:r>
      <w:r w:rsidR="00CE52CD">
        <w:rPr>
          <w:rFonts w:ascii="Acumin Pro Light" w:hAnsi="Acumin Pro Light" w:cs="Acumin Pro Medium"/>
          <w:color w:val="000000"/>
          <w:u w:color="0000E9"/>
        </w:rPr>
        <w:t>Choice of sources may depend on the subset of grants to be studied, but could possibly include</w:t>
      </w:r>
      <w:r w:rsidR="00405088">
        <w:rPr>
          <w:rFonts w:ascii="Acumin Pro Light" w:hAnsi="Acumin Pro Light" w:cs="Acumin Pro Medium"/>
          <w:color w:val="000000"/>
          <w:u w:color="0000E9"/>
        </w:rPr>
        <w:t xml:space="preserve">: </w:t>
      </w:r>
    </w:p>
    <w:p w14:paraId="20F0C19F" w14:textId="77777777" w:rsidR="00405088" w:rsidRDefault="00405088" w:rsidP="00141D80">
      <w:pPr>
        <w:autoSpaceDE w:val="0"/>
        <w:autoSpaceDN w:val="0"/>
        <w:adjustRightInd w:val="0"/>
        <w:rPr>
          <w:rFonts w:ascii="Acumin Pro Light" w:hAnsi="Acumin Pro Light" w:cs="Acumin Pro Medium"/>
          <w:color w:val="000000"/>
          <w:u w:color="0000E9"/>
        </w:rPr>
      </w:pPr>
    </w:p>
    <w:p w14:paraId="791805E2" w14:textId="77777777" w:rsidR="00405088" w:rsidRDefault="00405088" w:rsidP="00141D80">
      <w:pPr>
        <w:pStyle w:val="ListParagraph"/>
        <w:numPr>
          <w:ilvl w:val="0"/>
          <w:numId w:val="3"/>
        </w:numPr>
        <w:autoSpaceDE w:val="0"/>
        <w:autoSpaceDN w:val="0"/>
        <w:adjustRightInd w:val="0"/>
        <w:rPr>
          <w:rFonts w:ascii="Acumin Pro Light" w:hAnsi="Acumin Pro Light" w:cs="Acumin Pro Medium"/>
          <w:color w:val="000000"/>
          <w:u w:color="0000E9"/>
        </w:rPr>
        <w:sectPr w:rsidR="00405088" w:rsidSect="00D879E8">
          <w:footerReference w:type="even" r:id="rId18"/>
          <w:footerReference w:type="default" r:id="rId19"/>
          <w:pgSz w:w="12240" w:h="15840"/>
          <w:pgMar w:top="1440" w:right="1440" w:bottom="1440" w:left="1440" w:header="720" w:footer="720" w:gutter="0"/>
          <w:cols w:space="720"/>
          <w:docGrid w:linePitch="360"/>
        </w:sectPr>
      </w:pPr>
    </w:p>
    <w:p w14:paraId="78D364CF" w14:textId="7BC99EDF" w:rsidR="00405088" w:rsidRPr="00763FCF" w:rsidRDefault="00F923F3"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20" w:history="1">
        <w:r w:rsidR="00A90B28" w:rsidRPr="00763FCF">
          <w:rPr>
            <w:rStyle w:val="Hyperlink"/>
            <w:rFonts w:ascii="Acumin Pro Light" w:hAnsi="Acumin Pro Light" w:cs="Acumin Pro Medium"/>
          </w:rPr>
          <w:t>GESIS Thesaurus for the Social Sciences</w:t>
        </w:r>
      </w:hyperlink>
    </w:p>
    <w:p w14:paraId="38D4BB14" w14:textId="601403D4" w:rsidR="00405088" w:rsidRPr="00763FCF" w:rsidRDefault="00F923F3"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21" w:history="1">
        <w:r w:rsidR="00405088" w:rsidRPr="00763FCF">
          <w:rPr>
            <w:rStyle w:val="Hyperlink"/>
            <w:rFonts w:ascii="Acumin Pro Light" w:hAnsi="Acumin Pro Light" w:cs="Acumin Pro Medium"/>
          </w:rPr>
          <w:t>American Economic Association’s Journal of Economic Literature (JEL) subject codes</w:t>
        </w:r>
      </w:hyperlink>
    </w:p>
    <w:p w14:paraId="08260836" w14:textId="1B5344BD" w:rsidR="00763FCF" w:rsidRPr="00763FCF" w:rsidRDefault="00A90B28"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European </w:t>
      </w:r>
      <w:proofErr w:type="spellStart"/>
      <w:r w:rsidRPr="00763FCF">
        <w:rPr>
          <w:rFonts w:ascii="Acumin Pro Light" w:hAnsi="Acumin Pro Light" w:cs="Acumin Pro Medium"/>
          <w:color w:val="000000"/>
          <w:u w:color="0000E9"/>
        </w:rPr>
        <w:t>Comission’s</w:t>
      </w:r>
      <w:proofErr w:type="spellEnd"/>
      <w:r w:rsidRPr="00763FCF">
        <w:rPr>
          <w:rFonts w:ascii="Acumin Pro Light" w:hAnsi="Acumin Pro Light" w:cs="Acumin Pro Medium"/>
          <w:color w:val="000000"/>
          <w:u w:color="0000E9"/>
        </w:rPr>
        <w:t xml:space="preserve"> </w:t>
      </w:r>
      <w:hyperlink r:id="rId22" w:history="1">
        <w:proofErr w:type="spellStart"/>
        <w:r w:rsidRPr="00763FCF">
          <w:rPr>
            <w:rStyle w:val="Hyperlink"/>
            <w:rFonts w:ascii="Acumin Pro Light" w:hAnsi="Acumin Pro Light" w:cs="Acumin Pro Medium"/>
          </w:rPr>
          <w:t>EuroVoc</w:t>
        </w:r>
        <w:proofErr w:type="spellEnd"/>
      </w:hyperlink>
      <w:r w:rsidR="00405088" w:rsidRPr="00763FCF">
        <w:rPr>
          <w:rFonts w:ascii="Acumin Pro Light" w:hAnsi="Acumin Pro Light" w:cs="Acumin Pro Medium"/>
          <w:color w:val="000000"/>
          <w:u w:color="0000E9"/>
        </w:rPr>
        <w:t xml:space="preserve"> and </w:t>
      </w:r>
      <w:hyperlink r:id="rId23" w:history="1">
        <w:proofErr w:type="spellStart"/>
        <w:r w:rsidR="00405088" w:rsidRPr="00763FCF">
          <w:rPr>
            <w:rStyle w:val="Hyperlink"/>
            <w:rFonts w:ascii="Acumin Pro Light" w:hAnsi="Acumin Pro Light" w:cs="Acumin Pro Medium"/>
          </w:rPr>
          <w:t>EuroSci</w:t>
        </w:r>
        <w:proofErr w:type="spellEnd"/>
      </w:hyperlink>
      <w:r w:rsidR="00405088" w:rsidRPr="00763FCF">
        <w:rPr>
          <w:rFonts w:ascii="Acumin Pro Light" w:hAnsi="Acumin Pro Light" w:cs="Acumin Pro Medium"/>
          <w:color w:val="000000"/>
          <w:u w:color="0000E9"/>
        </w:rPr>
        <w:t xml:space="preserve"> vocabularies</w:t>
      </w:r>
    </w:p>
    <w:p w14:paraId="108895A5" w14:textId="01B1E1FF" w:rsidR="00405088"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UN’s </w:t>
      </w:r>
      <w:hyperlink r:id="rId24" w:history="1">
        <w:proofErr w:type="spellStart"/>
        <w:r w:rsidR="00405088" w:rsidRPr="00763FCF">
          <w:rPr>
            <w:rStyle w:val="Hyperlink"/>
            <w:rFonts w:ascii="Acumin Pro Light" w:hAnsi="Acumin Pro Light" w:cs="Acumin Pro Medium"/>
          </w:rPr>
          <w:t>AgroVoc</w:t>
        </w:r>
        <w:proofErr w:type="spellEnd"/>
      </w:hyperlink>
      <w:r w:rsidR="00405088" w:rsidRPr="00763FCF">
        <w:rPr>
          <w:rFonts w:ascii="Acumin Pro Light" w:hAnsi="Acumin Pro Light" w:cs="Acumin Pro Medium"/>
          <w:color w:val="000000"/>
          <w:u w:color="0000E9"/>
        </w:rPr>
        <w:t xml:space="preserve"> agricultural and food sciences vocabulary</w:t>
      </w:r>
    </w:p>
    <w:p w14:paraId="3649CE48" w14:textId="30314986" w:rsidR="00141D80" w:rsidRPr="00763FCF" w:rsidRDefault="00763FCF" w:rsidP="00763FCF">
      <w:pPr>
        <w:pStyle w:val="ListParagraph"/>
        <w:numPr>
          <w:ilvl w:val="0"/>
          <w:numId w:val="9"/>
        </w:numPr>
        <w:autoSpaceDE w:val="0"/>
        <w:autoSpaceDN w:val="0"/>
        <w:adjustRightInd w:val="0"/>
        <w:rPr>
          <w:rFonts w:ascii="Acumin Pro Light" w:hAnsi="Acumin Pro Light"/>
          <w:noProof/>
        </w:rPr>
      </w:pPr>
      <w:r>
        <w:rPr>
          <w:rFonts w:ascii="Acumin Pro Light" w:hAnsi="Acumin Pro Light" w:cs="Acumin Pro Medium"/>
          <w:color w:val="000000"/>
          <w:u w:color="0000E9"/>
        </w:rPr>
        <w:t xml:space="preserve">The UN’s </w:t>
      </w:r>
      <w:hyperlink r:id="rId25" w:anchor="/" w:history="1">
        <w:r w:rsidRPr="00763FCF">
          <w:rPr>
            <w:rStyle w:val="Hyperlink"/>
            <w:rFonts w:ascii="Acumin Pro Light" w:hAnsi="Acumin Pro Light" w:cs="Acumin Pro Medium"/>
          </w:rPr>
          <w:t xml:space="preserve">linked-data </w:t>
        </w:r>
        <w:r w:rsidR="00405088" w:rsidRPr="00763FCF">
          <w:rPr>
            <w:rStyle w:val="Hyperlink"/>
            <w:rFonts w:ascii="Acumin Pro Light" w:hAnsi="Acumin Pro Light" w:cs="Acumin Pro Medium"/>
          </w:rPr>
          <w:t>Sustainable Development Goals taxonomy</w:t>
        </w:r>
      </w:hyperlink>
    </w:p>
    <w:p w14:paraId="7ACF0284" w14:textId="7DAA1CE2" w:rsidR="00763FCF"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sectPr w:rsidR="00763FCF" w:rsidRPr="00763FCF" w:rsidSect="00763FCF">
          <w:type w:val="continuous"/>
          <w:pgSz w:w="12240" w:h="15840"/>
          <w:pgMar w:top="1440" w:right="1440" w:bottom="1440" w:left="1440" w:header="720" w:footer="720" w:gutter="0"/>
          <w:cols w:space="720"/>
          <w:docGrid w:linePitch="360"/>
        </w:sectPr>
      </w:pPr>
      <w:r w:rsidRPr="00763FCF">
        <w:rPr>
          <w:rFonts w:ascii="Acumin Pro Light" w:hAnsi="Acumin Pro Light" w:cs="Acumin Pro Medium"/>
          <w:color w:val="000000"/>
          <w:u w:color="0000E9"/>
        </w:rPr>
        <w:t xml:space="preserve">The European Institute for Gender Equality’s </w:t>
      </w:r>
      <w:hyperlink r:id="rId26" w:history="1">
        <w:r w:rsidRPr="00763FCF">
          <w:rPr>
            <w:rStyle w:val="Hyperlink"/>
            <w:rFonts w:ascii="Acumin Pro Light" w:hAnsi="Acumin Pro Light" w:cs="Acumin Pro Medium"/>
          </w:rPr>
          <w:t>Gender Equality Thesaurus</w:t>
        </w:r>
      </w:hyperlink>
      <w:r w:rsidRPr="00763FCF">
        <w:rPr>
          <w:rFonts w:ascii="Acumin Pro Light" w:hAnsi="Acumin Pro Light" w:cs="Acumin Pro Medium"/>
          <w:color w:val="000000"/>
          <w:u w:color="0000E9"/>
        </w:rPr>
        <w:t xml:space="preserve"> </w:t>
      </w:r>
    </w:p>
    <w:p w14:paraId="7C0764D7" w14:textId="0EF978E8" w:rsidR="00763FCF" w:rsidRDefault="00763FCF" w:rsidP="00405088">
      <w:pPr>
        <w:autoSpaceDE w:val="0"/>
        <w:autoSpaceDN w:val="0"/>
        <w:adjustRightInd w:val="0"/>
        <w:rPr>
          <w:noProof/>
        </w:rPr>
        <w:sectPr w:rsidR="00763FCF" w:rsidSect="00405088">
          <w:type w:val="continuous"/>
          <w:pgSz w:w="12240" w:h="15840"/>
          <w:pgMar w:top="1440" w:right="1440" w:bottom="1440" w:left="1440" w:header="720" w:footer="720" w:gutter="0"/>
          <w:cols w:num="2" w:space="720"/>
          <w:docGrid w:linePitch="360"/>
        </w:sectPr>
      </w:pPr>
    </w:p>
    <w:p w14:paraId="28F057C6" w14:textId="66795C3D" w:rsidR="00141D80" w:rsidRDefault="00057A2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Using the processed grant text, I used three different techniques for finding keywords and phrases: TF-IDF, the RAKE algorithm, and </w:t>
      </w:r>
      <w:proofErr w:type="spellStart"/>
      <w:r>
        <w:rPr>
          <w:rFonts w:ascii="Acumin Pro Light" w:hAnsi="Acumin Pro Light" w:cs="Acumin Pro Medium"/>
          <w:color w:val="000000"/>
          <w:u w:color="0000E9"/>
        </w:rPr>
        <w:t>textrank</w:t>
      </w:r>
      <w:proofErr w:type="spellEnd"/>
      <w:r>
        <w:rPr>
          <w:rFonts w:ascii="Acumin Pro Light" w:hAnsi="Acumin Pro Light" w:cs="Acumin Pro Medium"/>
          <w:color w:val="000000"/>
          <w:u w:color="0000E9"/>
        </w:rPr>
        <w:t xml:space="preserve">.  In this context, TF-IDF is useful because it takes into account corpus-level document frequency measures in order to uncover the frequent keywords that appear in a particular award and infrequently across the corpus.  The RAKE algorithm is suitable for finding variable length </w:t>
      </w:r>
      <w:proofErr w:type="gramStart"/>
      <w:r w:rsidR="005543EB">
        <w:rPr>
          <w:rFonts w:ascii="Acumin Pro Light" w:hAnsi="Acumin Pro Light" w:cs="Acumin Pro Medium"/>
          <w:color w:val="000000"/>
          <w:u w:color="0000E9"/>
        </w:rPr>
        <w:t>phrases, and</w:t>
      </w:r>
      <w:proofErr w:type="gramEnd"/>
      <w:r w:rsidR="005543EB">
        <w:rPr>
          <w:rFonts w:ascii="Acumin Pro Light" w:hAnsi="Acumin Pro Light" w:cs="Acumin Pro Medium"/>
          <w:color w:val="000000"/>
          <w:u w:color="0000E9"/>
        </w:rPr>
        <w:t xml:space="preserve"> uses co-occurrence frequency and degree measures for finding optimal phrases.  </w:t>
      </w:r>
      <w:proofErr w:type="spellStart"/>
      <w:r w:rsidR="005543EB">
        <w:rPr>
          <w:rFonts w:ascii="Acumin Pro Light" w:hAnsi="Acumin Pro Light" w:cs="Acumin Pro Medium"/>
          <w:color w:val="000000"/>
          <w:u w:color="0000E9"/>
        </w:rPr>
        <w:t>Textrank</w:t>
      </w:r>
      <w:proofErr w:type="spellEnd"/>
      <w:r w:rsidR="005543EB">
        <w:rPr>
          <w:rFonts w:ascii="Acumin Pro Light" w:hAnsi="Acumin Pro Light" w:cs="Acumin Pro Medium"/>
          <w:color w:val="000000"/>
          <w:u w:color="0000E9"/>
        </w:rPr>
        <w:t xml:space="preserve"> operates at the document level only, and, like RAKE, evaluates optimal keywords and phrases by ranking them within a network representation of the document.  The outputs of all three methods were compared and merged so as to keep a limited number of unique phrases and/or the longest phrase derived from the most frequent unigrams.  </w:t>
      </w:r>
    </w:p>
    <w:p w14:paraId="732E05A1" w14:textId="77777777" w:rsidR="009252ED" w:rsidRDefault="009252ED" w:rsidP="00141D80">
      <w:pPr>
        <w:autoSpaceDE w:val="0"/>
        <w:autoSpaceDN w:val="0"/>
        <w:adjustRightInd w:val="0"/>
        <w:rPr>
          <w:rFonts w:ascii="Acumin Pro Light" w:hAnsi="Acumin Pro Light" w:cs="Acumin Pro Medium"/>
          <w:color w:val="000000"/>
          <w:u w:color="0000E9"/>
        </w:rPr>
      </w:pPr>
    </w:p>
    <w:p w14:paraId="552BD149" w14:textId="05A056C9" w:rsidR="0073295F" w:rsidRPr="0005141D" w:rsidRDefault="0073295F"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t>Georeferencing and spatial cluster analysis</w:t>
      </w:r>
    </w:p>
    <w:p w14:paraId="221BB9D9" w14:textId="77777777" w:rsidR="0073295F" w:rsidRDefault="0073295F" w:rsidP="00141D80">
      <w:pPr>
        <w:autoSpaceDE w:val="0"/>
        <w:autoSpaceDN w:val="0"/>
        <w:adjustRightInd w:val="0"/>
        <w:rPr>
          <w:rFonts w:ascii="Acumin Pro Light" w:hAnsi="Acumin Pro Light" w:cs="Acumin Pro Medium"/>
          <w:color w:val="000000"/>
          <w:u w:color="0000E9"/>
        </w:rPr>
      </w:pPr>
    </w:p>
    <w:p w14:paraId="438422B1" w14:textId="513D0749" w:rsidR="00141D80" w:rsidRDefault="005543EB" w:rsidP="00141D80">
      <w:pPr>
        <w:autoSpaceDE w:val="0"/>
        <w:autoSpaceDN w:val="0"/>
        <w:adjustRightInd w:val="0"/>
        <w:rPr>
          <w:rFonts w:ascii="Acumin Pro Medium" w:hAnsi="Acumin Pro Medium" w:cs="Acumin Pro Medium"/>
          <w:color w:val="000000"/>
          <w:u w:color="0000E9"/>
        </w:rPr>
      </w:pPr>
      <w:r>
        <w:rPr>
          <w:rFonts w:ascii="Acumin Pro Light" w:hAnsi="Acumin Pro Light" w:cs="Acumin Pro Medium"/>
          <w:color w:val="000000"/>
          <w:u w:color="0000E9"/>
        </w:rPr>
        <w:t xml:space="preserve">The awards were georeferenced using the Geocod.io web service, using the recipient address in order to obtain latitude and longitude estimates.  Using the latitude and longitude estimates, the data was merged with various shapefiles using </w:t>
      </w:r>
      <w:proofErr w:type="spellStart"/>
      <w:r>
        <w:rPr>
          <w:rFonts w:ascii="Acumin Pro Light" w:hAnsi="Acumin Pro Light" w:cs="Acumin Pro Medium"/>
          <w:color w:val="000000"/>
          <w:u w:color="0000E9"/>
        </w:rPr>
        <w:t>qGIS</w:t>
      </w:r>
      <w:proofErr w:type="spellEnd"/>
      <w:r>
        <w:rPr>
          <w:rFonts w:ascii="Acumin Pro Light" w:hAnsi="Acumin Pro Light" w:cs="Acumin Pro Medium"/>
          <w:color w:val="000000"/>
          <w:u w:color="0000E9"/>
        </w:rPr>
        <w:t xml:space="preserve"> so that the awards data could also </w:t>
      </w:r>
      <w:r>
        <w:rPr>
          <w:rFonts w:ascii="Acumin Pro Light" w:hAnsi="Acumin Pro Light" w:cs="Acumin Pro Medium"/>
          <w:color w:val="000000"/>
          <w:u w:color="0000E9"/>
        </w:rPr>
        <w:lastRenderedPageBreak/>
        <w:t>include county level and congressional district level identifiers</w:t>
      </w:r>
      <w:r w:rsidR="0073295F">
        <w:rPr>
          <w:rFonts w:ascii="Acumin Pro Light" w:hAnsi="Acumin Pro Light" w:cs="Acumin Pro Medium"/>
          <w:color w:val="000000"/>
          <w:u w:color="0000E9"/>
        </w:rPr>
        <w:t xml:space="preserve"> and be joined up with the ProPublic</w:t>
      </w:r>
      <w:r w:rsidR="00384EF5">
        <w:rPr>
          <w:rFonts w:ascii="Acumin Pro Light" w:hAnsi="Acumin Pro Light" w:cs="Acumin Pro Medium"/>
          <w:color w:val="000000"/>
          <w:u w:color="0000E9"/>
        </w:rPr>
        <w:t>a</w:t>
      </w:r>
      <w:r w:rsidR="0073295F">
        <w:rPr>
          <w:rFonts w:ascii="Acumin Pro Light" w:hAnsi="Acumin Pro Light" w:cs="Acumin Pro Medium"/>
          <w:color w:val="000000"/>
          <w:u w:color="0000E9"/>
        </w:rPr>
        <w:t xml:space="preserve"> congressional district details and ACS survey data.</w:t>
      </w:r>
    </w:p>
    <w:p w14:paraId="1A3514AA" w14:textId="7B59B83F" w:rsidR="0073295F" w:rsidRPr="0073295F" w:rsidRDefault="0073295F" w:rsidP="00141D80">
      <w:pPr>
        <w:autoSpaceDE w:val="0"/>
        <w:autoSpaceDN w:val="0"/>
        <w:adjustRightInd w:val="0"/>
        <w:rPr>
          <w:rFonts w:ascii="Acumin Pro Light" w:hAnsi="Acumin Pro Light" w:cs="Acumin Pro Medium"/>
          <w:color w:val="000000"/>
          <w:u w:color="0000E9"/>
        </w:rPr>
      </w:pPr>
    </w:p>
    <w:p w14:paraId="3F33BD4A" w14:textId="6EF7007C" w:rsidR="00141D80"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Congressional districts were chosen as the unit of analysis based on conversation with grant makers who fund social sciences and humanities research, who expressed the potential utility of presenting the information to </w:t>
      </w:r>
      <w:r w:rsidR="00182C61">
        <w:rPr>
          <w:rFonts w:ascii="Acumin Pro Light" w:hAnsi="Acumin Pro Light" w:cs="Acumin Pro Medium"/>
          <w:color w:val="000000"/>
          <w:u w:color="0000E9"/>
        </w:rPr>
        <w:t xml:space="preserve">policy analysts and policy makers interested in understanding the publicly funded research activity in their district.  This choice also has a benefit when conducting spatial cluster analysis that congressional districts are administrative boundaries whose populations are all comparable – each reflects an area of roughly 700,000 persons.  This may help to mitigate the visual distortion in choropleths where area and population can be confounded.  </w:t>
      </w:r>
    </w:p>
    <w:p w14:paraId="14DA957A" w14:textId="77777777" w:rsidR="00E3513E" w:rsidRDefault="00E3513E" w:rsidP="00141D80">
      <w:pPr>
        <w:autoSpaceDE w:val="0"/>
        <w:autoSpaceDN w:val="0"/>
        <w:adjustRightInd w:val="0"/>
        <w:rPr>
          <w:rFonts w:ascii="Acumin Pro Light" w:hAnsi="Acumin Pro Light" w:cs="Acumin Pro Medium"/>
          <w:color w:val="000000"/>
          <w:u w:color="0000E9"/>
        </w:rPr>
      </w:pPr>
    </w:p>
    <w:p w14:paraId="5AC5F053" w14:textId="479ADC90" w:rsidR="009122E8" w:rsidRDefault="00182C61"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For the ACS data, each industry and type of migration to a district (from the same county, from another county in the state, from out of state, from abroad) was transformed into a percentage of the total population before being mapped.  Using a series of spatial data analysis packages in R, I generated a Queen’s continuity matrix and performed a series of Univariate Local Moran’s I tests to evaluate whether there were significant high or low valued clusters where particular migration patterns were similar in 2018 or where a similar distribution of worker specialization is observed.  </w:t>
      </w:r>
    </w:p>
    <w:p w14:paraId="1B0C4985" w14:textId="416D388D" w:rsidR="009252ED" w:rsidRDefault="009252ED" w:rsidP="00141D80">
      <w:pPr>
        <w:autoSpaceDE w:val="0"/>
        <w:autoSpaceDN w:val="0"/>
        <w:adjustRightInd w:val="0"/>
        <w:rPr>
          <w:rFonts w:ascii="Acumin Pro Light" w:hAnsi="Acumin Pro Light" w:cs="Acumin Pro Medium"/>
          <w:color w:val="000000"/>
          <w:u w:color="0000E9"/>
        </w:rPr>
      </w:pPr>
    </w:p>
    <w:p w14:paraId="788DEDCD" w14:textId="1F89B8FE" w:rsidR="00CE503B" w:rsidRDefault="009252ED" w:rsidP="00CE503B">
      <w:pPr>
        <w:autoSpaceDE w:val="0"/>
        <w:autoSpaceDN w:val="0"/>
        <w:adjustRightInd w:val="0"/>
        <w:rPr>
          <w:rFonts w:ascii="Acumin Pro Light" w:hAnsi="Acumin Pro Light" w:cs="Acumin Pro Medium"/>
          <w:color w:val="000000"/>
          <w:u w:color="0000E9"/>
        </w:rPr>
      </w:pPr>
      <w:r w:rsidRPr="009306CD">
        <w:rPr>
          <w:rFonts w:ascii="Acumin Pro Light" w:hAnsi="Acumin Pro Light" w:cs="Acumin Pro Medium"/>
          <w:color w:val="000000"/>
          <w:highlight w:val="yellow"/>
          <w:u w:color="0000E9"/>
        </w:rPr>
        <w:t xml:space="preserve">The choice to include industry and migration statistics specifically was influenced by work on R&amp;D knowledge spillovers </w:t>
      </w:r>
      <w:r w:rsidR="004D2173" w:rsidRPr="009306CD">
        <w:rPr>
          <w:rFonts w:ascii="Acumin Pro Light" w:hAnsi="Acumin Pro Light" w:cs="Acumin Pro Medium"/>
          <w:color w:val="000000"/>
          <w:highlight w:val="yellow"/>
          <w:u w:color="0000E9"/>
        </w:rPr>
        <w:t xml:space="preserve">that examine how proximity of innovative firms effects the overall spatial distribution of innovative activity and its associated economic effects </w:t>
      </w:r>
      <w:commentRangeStart w:id="3"/>
      <w:r w:rsidR="004D2173" w:rsidRPr="009306CD">
        <w:rPr>
          <w:rFonts w:ascii="Acumin Pro Light" w:hAnsi="Acumin Pro Light" w:cs="Acumin Pro Medium"/>
          <w:color w:val="000000"/>
          <w:highlight w:val="yellow"/>
          <w:u w:color="0000E9"/>
        </w:rPr>
        <w:fldChar w:fldCharType="begin"/>
      </w:r>
      <w:r w:rsidR="004D2173" w:rsidRPr="009306CD">
        <w:rPr>
          <w:rFonts w:ascii="Acumin Pro Light" w:hAnsi="Acumin Pro Light" w:cs="Acumin Pro Medium"/>
          <w:color w:val="000000"/>
          <w:highlight w:val="yellow"/>
          <w:u w:color="0000E9"/>
        </w:rPr>
        <w:instrText xml:space="preserve"> ADDIN ZOTERO_ITEM CSL_CITATION {"citationID":"BmgSjyad","properties":{"formattedCitation":"(Anselin et al., 2000; Bonaccorsi &amp; Daraio, 2005; Jaffe et al., 1993; Wallsten, 2001)","plainCitation":"(Anselin et al., 2000; Bonaccorsi &amp; Daraio, 2005; Jaffe et al., 1993; Wallsten, 2001)","noteIndex":0},"citationItems":[{"id":18097,"uris":["http://zotero.org/users/4632586/items/C8CE9CTA"],"uri":["http://zotero.org/users/4632586/items/C8CE9CTA"],"itemData":{"id":18097,"type":"article-journal","abstract":"Using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18246,"uris":["http://zotero.org/users/4632586/items/QU36EI5S"],"uri":["http://zotero.org/users/4632586/items/QU36EI5S"],"itemData":{"id":18246,"type":"article-journal","abstract":"The paper assesses the empirical foundation of two largely held assumptions in science policy making, namely scale and agglomeration effects. According to the former effect, scientific production may be subject to increasing returns to scale, defined at the level of administrative units, such as institutes or departments. A rationale for concentrating resources on larger units clearly follows from this argument. According to the latter, scientific production may be positively affected by external economies at the geographical level, so that concentrating institutes in the same area may improve scientific spillover, linkages and collaborations.  Taken together, these arguments have implicitly or explicitly legitimated policies aimed at consolidating institutes in public sector research and at creating large physical facilities in a small number of cities. The paper is based on the analysis of two large databases, built by the authors from data on the activity of the Italian National Research Council in all scientific fields and of the French INSERM in biomedical research. Evidence from the two institutions is that the two effects do not receive empirical support. The implications for policy making and for the theory of scientific production are discussed.","container-title":"Scientometrics","DOI":"10.1007/s11192-005-0205-3","ISSN":"1588-2861","issue":"1","journalAbbreviation":"Scientometrics","language":"en","page":"87-120","source":"Springer Link","title":"Exploring size and agglomeration effects on public research productivity","volume":"63","author":[{"family":"Bonaccorsi","given":"Andrea"},{"family":"Daraio","given":"Cinzia"}],"issued":{"date-parts":[["2005",3,1]]}}},{"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18084,"uris":["http://zotero.org/users/4632586/items/YPMX3UGX"],"uri":["http://zotero.org/users/4632586/items/YPMX3UGX"],"itemData":{"id":18084,"type":"article-journal","abstract":"Most research on economic geography focuses on large geographic areas, such as nations and states. I use a geographic information system and a firm-level dataset to explore agglomeration and spillovers at the firm level over discrete distances. I calculate the distance between each firm-pair to explore co-location, and use these calculations to devise a test of spillovers: is participation in the Small Business Innovation Research (SBIR) program, which provides R&amp;D grants to small firms, a function of whether nearby firms win SBIR grants? I find that the number of other SBIR firms within a fraction of a mile predicts whether a firm wins awards, even controlling for regional, firm, and industry characteristics.","container-title":"Regional Science and Urban Economics","DOI":"10.1016/S0166-0462(00)00074-0","ISSN":"0166-0462","issue":"5","journalAbbreviation":"Regional Science and Urban Economics","language":"en","page":"571-599","source":"ScienceDirect","title":"An empirical test of geographic knowledge spillovers using geographic information systems and firm-level data","volume":"31","author":[{"family":"Wallsten","given":"Scott J"}],"issued":{"date-parts":[["2001",9,1]]}}}],"schema":"https://github.com/citation-style-language/schema/raw/master/csl-citation.json"} </w:instrText>
      </w:r>
      <w:r w:rsidR="004D2173" w:rsidRPr="009306CD">
        <w:rPr>
          <w:rFonts w:ascii="Acumin Pro Light" w:hAnsi="Acumin Pro Light" w:cs="Acumin Pro Medium"/>
          <w:color w:val="000000"/>
          <w:highlight w:val="yellow"/>
          <w:u w:color="0000E9"/>
        </w:rPr>
        <w:fldChar w:fldCharType="separate"/>
      </w:r>
      <w:r w:rsidR="004D2173" w:rsidRPr="009306CD">
        <w:rPr>
          <w:rFonts w:ascii="Acumin Pro Light" w:hAnsi="Acumin Pro Light" w:cs="Acumin Pro Medium"/>
          <w:noProof/>
          <w:color w:val="000000"/>
          <w:highlight w:val="yellow"/>
          <w:u w:color="0000E9"/>
        </w:rPr>
        <w:t>(Anselin et al., 2000; Bonaccorsi &amp; Daraio, 2005; Jaffe et al., 1993; Wallsten, 2001)</w:t>
      </w:r>
      <w:r w:rsidR="004D2173" w:rsidRPr="009306CD">
        <w:rPr>
          <w:rFonts w:ascii="Acumin Pro Light" w:hAnsi="Acumin Pro Light" w:cs="Acumin Pro Medium"/>
          <w:color w:val="000000"/>
          <w:highlight w:val="yellow"/>
          <w:u w:color="0000E9"/>
        </w:rPr>
        <w:fldChar w:fldCharType="end"/>
      </w:r>
      <w:commentRangeEnd w:id="3"/>
      <w:r w:rsidR="004D2173" w:rsidRPr="009306CD">
        <w:rPr>
          <w:rStyle w:val="CommentReference"/>
          <w:highlight w:val="yellow"/>
        </w:rPr>
        <w:commentReference w:id="3"/>
      </w:r>
      <w:r w:rsidR="004D2173" w:rsidRPr="009306CD">
        <w:rPr>
          <w:rFonts w:ascii="Acumin Pro Light" w:hAnsi="Acumin Pro Light" w:cs="Acumin Pro Medium"/>
          <w:color w:val="000000"/>
          <w:highlight w:val="yellow"/>
          <w:u w:color="0000E9"/>
        </w:rPr>
        <w:t xml:space="preserve">.  While Jaffe and </w:t>
      </w:r>
      <w:proofErr w:type="spellStart"/>
      <w:r w:rsidR="004D2173" w:rsidRPr="009306CD">
        <w:rPr>
          <w:rFonts w:ascii="Acumin Pro Light" w:hAnsi="Acumin Pro Light" w:cs="Acumin Pro Medium"/>
          <w:color w:val="000000"/>
          <w:highlight w:val="yellow"/>
          <w:u w:color="0000E9"/>
        </w:rPr>
        <w:t>Wallsten</w:t>
      </w:r>
      <w:proofErr w:type="spellEnd"/>
      <w:r w:rsidR="004D2173" w:rsidRPr="009306CD">
        <w:rPr>
          <w:rFonts w:ascii="Acumin Pro Light" w:hAnsi="Acumin Pro Light" w:cs="Acumin Pro Medium"/>
          <w:color w:val="000000"/>
          <w:highlight w:val="yellow"/>
          <w:u w:color="0000E9"/>
        </w:rPr>
        <w:t xml:space="preserve"> emphasized, in part, how the tacit</w:t>
      </w:r>
      <w:r w:rsidR="00CE503B" w:rsidRPr="009306CD">
        <w:rPr>
          <w:rFonts w:ascii="Acumin Pro Light" w:hAnsi="Acumin Pro Light" w:cs="Acumin Pro Medium"/>
          <w:color w:val="000000"/>
          <w:highlight w:val="yellow"/>
          <w:u w:color="0000E9"/>
        </w:rPr>
        <w:t xml:space="preserve">, social and non-codified </w:t>
      </w:r>
      <w:r w:rsidR="004D2173" w:rsidRPr="009306CD">
        <w:rPr>
          <w:rFonts w:ascii="Acumin Pro Light" w:hAnsi="Acumin Pro Light" w:cs="Acumin Pro Medium"/>
          <w:color w:val="000000"/>
          <w:highlight w:val="yellow"/>
          <w:u w:color="0000E9"/>
        </w:rPr>
        <w:t xml:space="preserve">dimensions of knowledge sharing may thought of as the reason why like-minded researchers would tend to cluster, others have avoided such theories in favor of </w:t>
      </w:r>
      <w:r w:rsidR="00CE503B" w:rsidRPr="009306CD">
        <w:rPr>
          <w:rFonts w:ascii="Acumin Pro Light" w:hAnsi="Acumin Pro Light" w:cs="Acumin Pro Medium"/>
          <w:color w:val="000000"/>
          <w:highlight w:val="yellow"/>
          <w:u w:color="0000E9"/>
        </w:rPr>
        <w:t>more political-economic theories dealing with labor market localization or even research subcontracting arrangements between universities and other firms</w:t>
      </w:r>
      <w:r w:rsidR="004D2173" w:rsidRPr="009306CD">
        <w:rPr>
          <w:rFonts w:ascii="Acumin Pro Light" w:hAnsi="Acumin Pro Light" w:cs="Acumin Pro Medium"/>
          <w:color w:val="000000"/>
          <w:highlight w:val="yellow"/>
          <w:u w:color="0000E9"/>
        </w:rPr>
        <w:t xml:space="preserve">.  </w:t>
      </w:r>
      <w:proofErr w:type="spellStart"/>
      <w:r w:rsidR="004D2173" w:rsidRPr="009306CD">
        <w:rPr>
          <w:rFonts w:ascii="Acumin Pro Light" w:hAnsi="Acumin Pro Light" w:cs="Acumin Pro Medium"/>
          <w:color w:val="000000"/>
          <w:highlight w:val="yellow"/>
          <w:u w:color="0000E9"/>
        </w:rPr>
        <w:t>Breschi</w:t>
      </w:r>
      <w:proofErr w:type="spellEnd"/>
      <w:r w:rsidR="004D2173" w:rsidRPr="009306CD">
        <w:rPr>
          <w:rFonts w:ascii="Acumin Pro Light" w:hAnsi="Acumin Pro Light" w:cs="Acumin Pro Medium"/>
          <w:color w:val="000000"/>
          <w:highlight w:val="yellow"/>
          <w:u w:color="0000E9"/>
        </w:rPr>
        <w:t xml:space="preserve"> and Francesco (2001)</w:t>
      </w:r>
      <w:r w:rsidR="00CE503B" w:rsidRPr="009306CD">
        <w:rPr>
          <w:rFonts w:ascii="Acumin Pro Light" w:hAnsi="Acumin Pro Light" w:cs="Acumin Pro Medium"/>
          <w:color w:val="000000"/>
          <w:highlight w:val="yellow"/>
          <w:u w:color="0000E9"/>
        </w:rPr>
        <w:t>, for instance,</w:t>
      </w:r>
      <w:r w:rsidR="004D2173" w:rsidRPr="009306CD">
        <w:rPr>
          <w:rFonts w:ascii="Acumin Pro Light" w:hAnsi="Acumin Pro Light" w:cs="Acumin Pro Medium"/>
          <w:color w:val="000000"/>
          <w:highlight w:val="yellow"/>
          <w:u w:color="0000E9"/>
        </w:rPr>
        <w:t xml:space="preserve"> warned that spillovers </w:t>
      </w:r>
      <w:r w:rsidR="00CE503B" w:rsidRPr="009306CD">
        <w:rPr>
          <w:rFonts w:ascii="Acumin Pro Light" w:hAnsi="Acumin Pro Light" w:cs="Acumin Pro Medium"/>
          <w:color w:val="000000"/>
          <w:highlight w:val="yellow"/>
          <w:u w:color="0000E9"/>
        </w:rPr>
        <w:t xml:space="preserve">of </w:t>
      </w:r>
      <w:r w:rsidR="00CE503B" w:rsidRPr="009306CD">
        <w:rPr>
          <w:rFonts w:ascii="Acumin Pro Light" w:hAnsi="Acumin Pro Light" w:cs="Acumin Pro Medium"/>
          <w:i/>
          <w:iCs/>
          <w:color w:val="000000"/>
          <w:highlight w:val="yellow"/>
          <w:u w:color="0000E9"/>
        </w:rPr>
        <w:t xml:space="preserve">knowledge </w:t>
      </w:r>
      <w:r w:rsidR="004D2173" w:rsidRPr="009306CD">
        <w:rPr>
          <w:rFonts w:ascii="Acumin Pro Light" w:hAnsi="Acumin Pro Light" w:cs="Acumin Pro Medium"/>
          <w:color w:val="000000"/>
          <w:highlight w:val="yellow"/>
          <w:u w:color="0000E9"/>
        </w:rPr>
        <w:t xml:space="preserve">may not </w:t>
      </w:r>
      <w:r w:rsidR="00CE503B" w:rsidRPr="009306CD">
        <w:rPr>
          <w:rFonts w:ascii="Acumin Pro Light" w:hAnsi="Acumin Pro Light" w:cs="Acumin Pro Medium"/>
          <w:color w:val="000000"/>
          <w:highlight w:val="yellow"/>
          <w:u w:color="0000E9"/>
        </w:rPr>
        <w:t>be unique simply because “knowledge” is supposedly a unique kind of product or service that depends on social transmission and collaboration, stating: “we suggest that spatial proximity of innovators, when found to be significant, may not depend upon any intrinsic feature of knowledge, such as its “</w:t>
      </w:r>
      <w:proofErr w:type="spellStart"/>
      <w:r w:rsidR="00CE503B" w:rsidRPr="009306CD">
        <w:rPr>
          <w:rFonts w:ascii="Acumin Pro Light" w:hAnsi="Acumin Pro Light" w:cs="Acumin Pro Medium"/>
          <w:color w:val="000000"/>
          <w:highlight w:val="yellow"/>
          <w:u w:color="0000E9"/>
        </w:rPr>
        <w:t>tacitness</w:t>
      </w:r>
      <w:proofErr w:type="spellEnd"/>
      <w:r w:rsidR="00CE503B" w:rsidRPr="009306CD">
        <w:rPr>
          <w:rFonts w:ascii="Acumin Pro Light" w:hAnsi="Acumin Pro Light" w:cs="Acumin Pro Medium"/>
          <w:color w:val="000000"/>
          <w:highlight w:val="yellow"/>
          <w:u w:color="0000E9"/>
        </w:rPr>
        <w:t xml:space="preserve">” or “codification”, but on a much more complex interplay between those characteristics, the </w:t>
      </w:r>
      <w:proofErr w:type="spellStart"/>
      <w:r w:rsidR="00CE503B" w:rsidRPr="009306CD">
        <w:rPr>
          <w:rFonts w:ascii="Acumin Pro Light" w:hAnsi="Acumin Pro Light" w:cs="Acumin Pro Medium"/>
          <w:color w:val="000000"/>
          <w:highlight w:val="yellow"/>
          <w:u w:color="0000E9"/>
        </w:rPr>
        <w:t>labour</w:t>
      </w:r>
      <w:proofErr w:type="spellEnd"/>
      <w:r w:rsidR="00CE503B" w:rsidRPr="009306CD">
        <w:rPr>
          <w:rFonts w:ascii="Acumin Pro Light" w:hAnsi="Acumin Pro Light" w:cs="Acumin Pro Medium"/>
          <w:color w:val="000000"/>
          <w:highlight w:val="yellow"/>
          <w:u w:color="0000E9"/>
        </w:rPr>
        <w:t xml:space="preserve"> market for scientists and technologists” (3).  Following th</w:t>
      </w:r>
      <w:r w:rsidR="002A753F" w:rsidRPr="009306CD">
        <w:rPr>
          <w:rFonts w:ascii="Acumin Pro Light" w:hAnsi="Acumin Pro Light" w:cs="Acumin Pro Medium"/>
          <w:color w:val="000000"/>
          <w:highlight w:val="yellow"/>
          <w:u w:color="0000E9"/>
        </w:rPr>
        <w:t>ose whose work remarks on the localization of specific</w:t>
      </w:r>
      <w:r w:rsidR="00CE503B" w:rsidRPr="009306CD">
        <w:rPr>
          <w:rFonts w:ascii="Acumin Pro Light" w:hAnsi="Acumin Pro Light" w:cs="Acumin Pro Medium"/>
          <w:color w:val="000000"/>
          <w:highlight w:val="yellow"/>
          <w:u w:color="0000E9"/>
        </w:rPr>
        <w:t xml:space="preserve"> industries </w:t>
      </w:r>
      <w:r w:rsidR="002A753F" w:rsidRPr="009306CD">
        <w:rPr>
          <w:rFonts w:ascii="Acumin Pro Light" w:hAnsi="Acumin Pro Light" w:cs="Acumin Pro Medium"/>
          <w:color w:val="000000"/>
          <w:highlight w:val="yellow"/>
          <w:u w:color="0000E9"/>
        </w:rPr>
        <w:t>and meanwhile</w:t>
      </w:r>
      <w:r w:rsidR="00CE503B" w:rsidRPr="009306CD">
        <w:rPr>
          <w:rFonts w:ascii="Acumin Pro Light" w:hAnsi="Acumin Pro Light" w:cs="Acumin Pro Medium"/>
          <w:color w:val="000000"/>
          <w:highlight w:val="yellow"/>
          <w:u w:color="0000E9"/>
        </w:rPr>
        <w:t xml:space="preserve"> also </w:t>
      </w:r>
      <w:r w:rsidR="002A753F" w:rsidRPr="009306CD">
        <w:rPr>
          <w:rFonts w:ascii="Acumin Pro Light" w:hAnsi="Acumin Pro Light" w:cs="Acumin Pro Medium"/>
          <w:color w:val="000000"/>
          <w:highlight w:val="yellow"/>
          <w:u w:color="0000E9"/>
        </w:rPr>
        <w:t>aim to disaggregate findings of innovation spillovers or localizations</w:t>
      </w:r>
      <w:r w:rsidR="00CE503B" w:rsidRPr="009306CD">
        <w:rPr>
          <w:rFonts w:ascii="Acumin Pro Light" w:hAnsi="Acumin Pro Light" w:cs="Acumin Pro Medium"/>
          <w:color w:val="000000"/>
          <w:highlight w:val="yellow"/>
          <w:u w:color="0000E9"/>
        </w:rPr>
        <w:t xml:space="preserve"> </w:t>
      </w:r>
      <w:r w:rsidR="002A753F" w:rsidRPr="009306CD">
        <w:rPr>
          <w:rFonts w:ascii="Acumin Pro Light" w:hAnsi="Acumin Pro Light" w:cs="Acumin Pro Medium"/>
          <w:color w:val="000000"/>
          <w:highlight w:val="yellow"/>
          <w:u w:color="0000E9"/>
        </w:rPr>
        <w:t xml:space="preserve">across </w:t>
      </w:r>
      <w:r w:rsidR="002A753F" w:rsidRPr="009306CD">
        <w:rPr>
          <w:rFonts w:ascii="Acumin Pro Light" w:hAnsi="Acumin Pro Light" w:cs="Acumin Pro Medium"/>
          <w:i/>
          <w:iCs/>
          <w:color w:val="000000"/>
          <w:highlight w:val="yellow"/>
          <w:u w:color="0000E9"/>
        </w:rPr>
        <w:t xml:space="preserve">specific </w:t>
      </w:r>
      <w:r w:rsidR="002A753F" w:rsidRPr="009306CD">
        <w:rPr>
          <w:rFonts w:ascii="Acumin Pro Light" w:hAnsi="Acumin Pro Light" w:cs="Acumin Pro Medium"/>
          <w:color w:val="000000"/>
          <w:highlight w:val="yellow"/>
          <w:u w:color="0000E9"/>
        </w:rPr>
        <w:t xml:space="preserve">types </w:t>
      </w:r>
      <w:commentRangeStart w:id="4"/>
      <w:r w:rsidR="002A753F" w:rsidRPr="009306CD">
        <w:rPr>
          <w:rFonts w:ascii="Acumin Pro Light" w:hAnsi="Acumin Pro Light" w:cs="Acumin Pro Medium"/>
          <w:color w:val="000000"/>
          <w:highlight w:val="yellow"/>
          <w:u w:color="0000E9"/>
        </w:rPr>
        <w:t>of activities</w:t>
      </w:r>
      <w:commentRangeEnd w:id="4"/>
      <w:r w:rsidR="002A753F" w:rsidRPr="009306CD">
        <w:rPr>
          <w:rStyle w:val="CommentReference"/>
          <w:highlight w:val="yellow"/>
        </w:rPr>
        <w:commentReference w:id="4"/>
      </w:r>
      <w:r w:rsidR="002A753F" w:rsidRPr="009306CD">
        <w:rPr>
          <w:rFonts w:ascii="Acumin Pro Light" w:hAnsi="Acumin Pro Light" w:cs="Acumin Pro Medium"/>
          <w:color w:val="000000"/>
          <w:highlight w:val="yellow"/>
          <w:u w:color="0000E9"/>
        </w:rPr>
        <w:t xml:space="preserve">. </w:t>
      </w:r>
      <w:r w:rsidR="00CE503B" w:rsidRPr="009306CD">
        <w:rPr>
          <w:rFonts w:ascii="Acumin Pro Light" w:hAnsi="Acumin Pro Light" w:cs="Acumin Pro Medium"/>
          <w:color w:val="000000"/>
          <w:highlight w:val="yellow"/>
          <w:u w:color="0000E9"/>
        </w:rPr>
        <w:fldChar w:fldCharType="begin"/>
      </w:r>
      <w:r w:rsidR="00CE503B" w:rsidRPr="009306CD">
        <w:rPr>
          <w:rFonts w:ascii="Acumin Pro Light" w:hAnsi="Acumin Pro Light" w:cs="Acumin Pro Medium"/>
          <w:color w:val="000000"/>
          <w:highlight w:val="yellow"/>
          <w:u w:color="0000E9"/>
        </w:rPr>
        <w:instrText xml:space="preserve"> ADDIN ZOTERO_ITEM CSL_CITATION {"citationID":"K2NhlOCm","properties":{"formattedCitation":"(Anselin et al., 2000; Audretsch &amp; Feldman, 1996; Boschma et al., 2014)","plainCitation":"(Anselin et al., 2000; Audretsch &amp; Feldman, 1996; Boschma et al., 2014)","noteIndex":0},"citationItems":[{"id":18097,"uris":["http://zotero.org/users/4632586/items/C8CE9CTA"],"uri":["http://zotero.org/users/4632586/items/C8CE9CTA"],"itemData":{"id":18097,"type":"article-journal","abstract":"Using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17239,"uris":["http://zotero.org/users/4632586/items/2L33A4A9"],"uri":["http://zotero.org/users/4632586/items/2L33A4A9"],"itemData":{"id":17239,"type":"article-journal","archive":"JSTOR","container-title":"The American Economic Review","ISSN":"0002-8282","issue":"3","note":"publisher: American Economic Association","page":"630-640","source":"JSTOR","title":"R&amp;D Spillovers and the Geography of Innovation and Production","volume":"86","author":[{"family":"Audretsch","given":"David B."},{"family":"Feldman","given":"Maryann P."}],"issued":{"date-parts":[["1996"]]}}},{"id":18294,"uris":["http://zotero.org/users/4632586/items/NPRB9T43"],"uri":["http://zotero.org/users/4632586/items/NPRB9T43"],"itemData":{"id":18294,"type":"article-journal","container-title":"Industrial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F."}],"issued":{"date-parts":[["2014"]]}}}],"schema":"https://github.com/citation-style-language/schema/raw/master/csl-citation.json"} </w:instrText>
      </w:r>
      <w:r w:rsidR="00CE503B" w:rsidRPr="009306CD">
        <w:rPr>
          <w:rFonts w:ascii="Acumin Pro Light" w:hAnsi="Acumin Pro Light" w:cs="Acumin Pro Medium"/>
          <w:color w:val="000000"/>
          <w:highlight w:val="yellow"/>
          <w:u w:color="0000E9"/>
        </w:rPr>
        <w:fldChar w:fldCharType="separate"/>
      </w:r>
      <w:r w:rsidR="00CE503B" w:rsidRPr="009306CD">
        <w:rPr>
          <w:rFonts w:ascii="Acumin Pro Light" w:hAnsi="Acumin Pro Light" w:cs="Acumin Pro Medium"/>
          <w:noProof/>
          <w:color w:val="000000"/>
          <w:highlight w:val="yellow"/>
          <w:u w:color="0000E9"/>
        </w:rPr>
        <w:t>(Anselin et al., 2000; Audretsch &amp; Feldman, 1996; Boschma et al., 2014)</w:t>
      </w:r>
      <w:r w:rsidR="00CE503B" w:rsidRPr="009306CD">
        <w:rPr>
          <w:rFonts w:ascii="Acumin Pro Light" w:hAnsi="Acumin Pro Light" w:cs="Acumin Pro Medium"/>
          <w:color w:val="000000"/>
          <w:highlight w:val="yellow"/>
          <w:u w:color="0000E9"/>
        </w:rPr>
        <w:fldChar w:fldCharType="end"/>
      </w:r>
      <w:r w:rsidR="002A753F" w:rsidRPr="009306CD">
        <w:rPr>
          <w:rFonts w:ascii="Acumin Pro Light" w:hAnsi="Acumin Pro Light" w:cs="Acumin Pro Medium"/>
          <w:color w:val="000000"/>
          <w:highlight w:val="yellow"/>
          <w:u w:color="0000E9"/>
        </w:rPr>
        <w:t>.  Identifying spatial clusters where employment in specific industries tends to be highest is a good first step for guiding inquiry into how labor market features affect the kinds of innovative activities that come out of particular regions.</w:t>
      </w:r>
    </w:p>
    <w:p w14:paraId="018AA7AB" w14:textId="52A15B3D" w:rsidR="008E3607" w:rsidRDefault="008E3607" w:rsidP="00CE503B">
      <w:pPr>
        <w:autoSpaceDE w:val="0"/>
        <w:autoSpaceDN w:val="0"/>
        <w:adjustRightInd w:val="0"/>
        <w:rPr>
          <w:rFonts w:ascii="Acumin Pro Light" w:hAnsi="Acumin Pro Light" w:cs="Acumin Pro Medium"/>
          <w:color w:val="000000"/>
          <w:u w:color="0000E9"/>
        </w:rPr>
      </w:pPr>
    </w:p>
    <w:p w14:paraId="1336220F" w14:textId="1EC54655" w:rsidR="008E3607" w:rsidRDefault="008E3607" w:rsidP="00CE503B">
      <w:pPr>
        <w:autoSpaceDE w:val="0"/>
        <w:autoSpaceDN w:val="0"/>
        <w:adjustRightInd w:val="0"/>
        <w:rPr>
          <w:rFonts w:ascii="Acumin Pro Light" w:hAnsi="Acumin Pro Light" w:cs="Acumin Pro Medium"/>
          <w:color w:val="000000"/>
          <w:u w:color="0000E9"/>
        </w:rPr>
      </w:pPr>
    </w:p>
    <w:p w14:paraId="1127FD27" w14:textId="77777777" w:rsidR="008E3607" w:rsidRPr="004D2173" w:rsidRDefault="008E3607" w:rsidP="00CE503B">
      <w:pPr>
        <w:autoSpaceDE w:val="0"/>
        <w:autoSpaceDN w:val="0"/>
        <w:adjustRightInd w:val="0"/>
        <w:rPr>
          <w:rFonts w:ascii="Acumin Pro Light" w:hAnsi="Acumin Pro Light" w:cs="Acumin Pro Medium"/>
          <w:color w:val="000000"/>
          <w:u w:color="0000E9"/>
        </w:rPr>
      </w:pPr>
    </w:p>
    <w:p w14:paraId="2F1EF0ED" w14:textId="510D7728" w:rsidR="009122E8" w:rsidRDefault="009122E8" w:rsidP="00141D80">
      <w:pPr>
        <w:autoSpaceDE w:val="0"/>
        <w:autoSpaceDN w:val="0"/>
        <w:adjustRightInd w:val="0"/>
        <w:rPr>
          <w:rFonts w:ascii="Acumin Pro Light" w:hAnsi="Acumin Pro Light" w:cs="Acumin Pro Medium"/>
          <w:color w:val="000000"/>
          <w:u w:color="0000E9"/>
        </w:rPr>
      </w:pPr>
    </w:p>
    <w:p w14:paraId="0CA1292E" w14:textId="6FC5A315" w:rsidR="009122E8" w:rsidRPr="0005141D" w:rsidRDefault="009122E8"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lastRenderedPageBreak/>
        <w:t>Analytics</w:t>
      </w:r>
      <w:r w:rsidR="00244F73" w:rsidRPr="0005141D">
        <w:rPr>
          <w:rFonts w:ascii="Acumin Pro Light" w:hAnsi="Acumin Pro Light" w:cs="Acumin Pro Medium"/>
          <w:b/>
          <w:bCs/>
          <w:color w:val="000000"/>
          <w:u w:color="0000E9"/>
        </w:rPr>
        <w:t xml:space="preserve"> and </w:t>
      </w:r>
      <w:r w:rsidRPr="0005141D">
        <w:rPr>
          <w:rFonts w:ascii="Acumin Pro Light" w:hAnsi="Acumin Pro Light" w:cs="Acumin Pro Medium"/>
          <w:b/>
          <w:bCs/>
          <w:color w:val="000000"/>
          <w:u w:color="0000E9"/>
        </w:rPr>
        <w:t>visualization choices</w:t>
      </w:r>
      <w:r w:rsidR="0005141D">
        <w:rPr>
          <w:rFonts w:ascii="Acumin Pro Light" w:hAnsi="Acumin Pro Light" w:cs="Acumin Pro Medium"/>
          <w:b/>
          <w:bCs/>
          <w:color w:val="000000"/>
          <w:u w:color="0000E9"/>
        </w:rPr>
        <w:t xml:space="preserve"> + </w:t>
      </w:r>
      <w:r w:rsidR="00244F73" w:rsidRPr="0005141D">
        <w:rPr>
          <w:rFonts w:ascii="Acumin Pro Light" w:hAnsi="Acumin Pro Light" w:cs="Acumin Pro Medium"/>
          <w:b/>
          <w:bCs/>
          <w:color w:val="000000"/>
          <w:u w:color="0000E9"/>
        </w:rPr>
        <w:t xml:space="preserve">directions for </w:t>
      </w:r>
      <w:r w:rsidRPr="0005141D">
        <w:rPr>
          <w:rFonts w:ascii="Acumin Pro Light" w:hAnsi="Acumin Pro Light" w:cs="Acumin Pro Medium"/>
          <w:b/>
          <w:bCs/>
          <w:color w:val="000000"/>
          <w:u w:color="0000E9"/>
        </w:rPr>
        <w:t>future work</w:t>
      </w:r>
    </w:p>
    <w:p w14:paraId="548543A5" w14:textId="77777777" w:rsidR="009122E8" w:rsidRDefault="009122E8" w:rsidP="00141D80">
      <w:pPr>
        <w:autoSpaceDE w:val="0"/>
        <w:autoSpaceDN w:val="0"/>
        <w:adjustRightInd w:val="0"/>
        <w:rPr>
          <w:rFonts w:ascii="Acumin Pro Light" w:hAnsi="Acumin Pro Light" w:cs="Acumin Pro Medium"/>
          <w:color w:val="000000"/>
          <w:u w:color="0000E9"/>
        </w:rPr>
      </w:pPr>
    </w:p>
    <w:p w14:paraId="625B3559" w14:textId="72641EAB" w:rsidR="008652EA" w:rsidRDefault="008652EA"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The visualization is built using Leaflet and Shiny in RStudio.  </w:t>
      </w:r>
      <w:r w:rsidR="0013350E">
        <w:rPr>
          <w:rFonts w:ascii="Acumin Pro Light" w:hAnsi="Acumin Pro Light" w:cs="Acumin Pro Medium"/>
          <w:color w:val="000000"/>
          <w:u w:color="0000E9"/>
        </w:rPr>
        <w:t xml:space="preserve">By default, the map is shaded to reflect the SBIR program funding for the full 2014 to 2018 period across districts.  The user can change the date range and the color scale and legend will dynamically change.  </w:t>
      </w:r>
      <w:r>
        <w:rPr>
          <w:rFonts w:ascii="Acumin Pro Light" w:hAnsi="Acumin Pro Light" w:cs="Acumin Pro Medium"/>
          <w:color w:val="000000"/>
          <w:u w:color="0000E9"/>
        </w:rPr>
        <w:t>Awards are clustered and become district as the user zooms in, at which point they can click to see award details.  Clicking the district offers a summary of the area’s total SBIR funding for the selected time period, as well as the other NSF funds received in that same period.  The popup for the district also includes a summary of how the district compares to others across industries and for migration patterns.  These summaries reflect the top five industries by ranked percentage.  The relatively constant population between districts makes this measure a fair one for judging what industries are most prevalent in a given district.</w:t>
      </w:r>
    </w:p>
    <w:p w14:paraId="5C01847E" w14:textId="4144C737" w:rsidR="008652EA" w:rsidRDefault="008652EA" w:rsidP="00141D80">
      <w:pPr>
        <w:autoSpaceDE w:val="0"/>
        <w:autoSpaceDN w:val="0"/>
        <w:adjustRightInd w:val="0"/>
        <w:rPr>
          <w:rFonts w:ascii="Acumin Pro Light" w:hAnsi="Acumin Pro Light" w:cs="Acumin Pro Medium"/>
          <w:color w:val="000000"/>
          <w:u w:color="0000E9"/>
        </w:rPr>
      </w:pPr>
    </w:p>
    <w:p w14:paraId="456509D9" w14:textId="38146A34" w:rsidR="00244F73" w:rsidRPr="009306CD" w:rsidRDefault="008652EA" w:rsidP="00141D80">
      <w:p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Spatial clusters are visible on the map, and the user can select which clusters they’d like to be highlighted from the dropdown list.  The user can also switch from seeing the districts shaded by SBIR funding to a view where districts are shaded by the contextual variable’s values.  Additional analysis is needed to fully explore whether topics different between clusters.  However, I believe these non-intuitive clusters provide interesting units of spatial analyses where areas can be demarcated not be compass regions but by areas of common industrial activity.  </w:t>
      </w:r>
      <w:r w:rsidR="00244F73" w:rsidRPr="009306CD">
        <w:rPr>
          <w:rFonts w:ascii="Acumin Pro Light" w:hAnsi="Acumin Pro Light" w:cs="Acumin Pro Medium"/>
          <w:color w:val="000000"/>
          <w:highlight w:val="yellow"/>
          <w:u w:color="0000E9"/>
        </w:rPr>
        <w:t xml:space="preserve">Questions to </w:t>
      </w:r>
      <w:r w:rsidR="00F53CB3" w:rsidRPr="009306CD">
        <w:rPr>
          <w:rFonts w:ascii="Acumin Pro Light" w:hAnsi="Acumin Pro Light" w:cs="Acumin Pro Medium"/>
          <w:b/>
          <w:bCs/>
          <w:color w:val="000000"/>
          <w:highlight w:val="yellow"/>
          <w:u w:color="0000E9"/>
        </w:rPr>
        <w:t>analyze, explore</w:t>
      </w:r>
      <w:commentRangeStart w:id="5"/>
      <w:r w:rsidR="00F53CB3" w:rsidRPr="009306CD">
        <w:rPr>
          <w:rFonts w:ascii="Acumin Pro Light" w:hAnsi="Acumin Pro Light" w:cs="Acumin Pro Medium"/>
          <w:color w:val="000000"/>
          <w:highlight w:val="yellow"/>
          <w:u w:color="0000E9"/>
        </w:rPr>
        <w:t xml:space="preserve"> and </w:t>
      </w:r>
      <w:r w:rsidR="00F53CB3" w:rsidRPr="009306CD">
        <w:rPr>
          <w:rFonts w:ascii="Acumin Pro Light" w:hAnsi="Acumin Pro Light" w:cs="Acumin Pro Medium"/>
          <w:b/>
          <w:bCs/>
          <w:color w:val="000000"/>
          <w:highlight w:val="yellow"/>
          <w:u w:color="0000E9"/>
        </w:rPr>
        <w:t>foreground</w:t>
      </w:r>
      <w:r w:rsidR="00F53CB3" w:rsidRPr="009306CD">
        <w:rPr>
          <w:rFonts w:ascii="Acumin Pro Light" w:hAnsi="Acumin Pro Light" w:cs="Acumin Pro Medium"/>
          <w:color w:val="000000"/>
          <w:highlight w:val="yellow"/>
          <w:u w:color="0000E9"/>
        </w:rPr>
        <w:t xml:space="preserve"> </w:t>
      </w:r>
      <w:commentRangeEnd w:id="5"/>
      <w:r w:rsidR="00F53CB3" w:rsidRPr="009306CD">
        <w:rPr>
          <w:rStyle w:val="CommentReference"/>
          <w:highlight w:val="yellow"/>
        </w:rPr>
        <w:commentReference w:id="5"/>
      </w:r>
      <w:r w:rsidR="00F53CB3" w:rsidRPr="009306CD">
        <w:rPr>
          <w:rFonts w:ascii="Acumin Pro Light" w:hAnsi="Acumin Pro Light" w:cs="Acumin Pro Medium"/>
          <w:color w:val="000000"/>
          <w:highlight w:val="yellow"/>
          <w:u w:color="0000E9"/>
        </w:rPr>
        <w:t>may</w:t>
      </w:r>
      <w:r w:rsidR="00244F73" w:rsidRPr="009306CD">
        <w:rPr>
          <w:rFonts w:ascii="Acumin Pro Light" w:hAnsi="Acumin Pro Light" w:cs="Acumin Pro Medium"/>
          <w:color w:val="000000"/>
          <w:highlight w:val="yellow"/>
          <w:u w:color="0000E9"/>
        </w:rPr>
        <w:t xml:space="preserve"> include: </w:t>
      </w:r>
    </w:p>
    <w:p w14:paraId="4BB45EC8" w14:textId="77777777" w:rsidR="00244F73" w:rsidRPr="009306CD" w:rsidRDefault="00244F73" w:rsidP="00141D80">
      <w:pPr>
        <w:autoSpaceDE w:val="0"/>
        <w:autoSpaceDN w:val="0"/>
        <w:adjustRightInd w:val="0"/>
        <w:rPr>
          <w:rFonts w:ascii="Acumin Pro Light" w:hAnsi="Acumin Pro Light" w:cs="Acumin Pro Medium"/>
          <w:color w:val="000000"/>
          <w:highlight w:val="yellow"/>
          <w:u w:color="0000E9"/>
        </w:rPr>
      </w:pPr>
    </w:p>
    <w:p w14:paraId="7ED15667" w14:textId="257FA2B6" w:rsidR="000253F8" w:rsidRPr="009306CD" w:rsidRDefault="000253F8" w:rsidP="000253F8">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In what industrial sectors do SBIR-recipient dense regions tend to specialize?</w:t>
      </w:r>
    </w:p>
    <w:p w14:paraId="2C91EDAB" w14:textId="07DECA6B"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Rank Statistics</w:t>
      </w:r>
      <w:r w:rsidRPr="009306CD">
        <w:rPr>
          <w:rFonts w:ascii="Acumin Pro Light" w:hAnsi="Acumin Pro Light" w:cs="Acumin Pro Medium"/>
          <w:color w:val="000000"/>
          <w:highlight w:val="yellow"/>
          <w:u w:color="0000E9"/>
        </w:rPr>
        <w:t xml:space="preserve"> -- Are SBIR-recipient dense regions </w:t>
      </w:r>
      <w:r w:rsidRPr="009306CD">
        <w:rPr>
          <w:rFonts w:ascii="Acumin Pro Light" w:hAnsi="Acumin Pro Light" w:cs="Acumin Pro Medium"/>
          <w:b/>
          <w:bCs/>
          <w:color w:val="000000"/>
          <w:highlight w:val="yellow"/>
          <w:u w:color="0000E9"/>
        </w:rPr>
        <w:t>ranking</w:t>
      </w:r>
      <w:r w:rsidRPr="009306CD">
        <w:rPr>
          <w:rFonts w:ascii="Acumin Pro Light" w:hAnsi="Acumin Pro Light" w:cs="Acumin Pro Medium"/>
          <w:color w:val="000000"/>
          <w:highlight w:val="yellow"/>
          <w:u w:color="0000E9"/>
        </w:rPr>
        <w:t xml:space="preserve"> more highly in some industries versus other? </w:t>
      </w:r>
    </w:p>
    <w:p w14:paraId="09082206" w14:textId="479D4EF9" w:rsidR="00E3513E" w:rsidRPr="009306CD" w:rsidRDefault="00E3513E"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the SBIR dense regions more or less similar to each other</w:t>
      </w:r>
      <w:r w:rsidR="001B47DC" w:rsidRPr="009306CD">
        <w:rPr>
          <w:rFonts w:ascii="Acumin Pro Light" w:hAnsi="Acumin Pro Light" w:cs="Acumin Pro Medium"/>
          <w:color w:val="000000"/>
          <w:highlight w:val="yellow"/>
          <w:u w:color="0000E9"/>
        </w:rPr>
        <w:t xml:space="preserve"> with regard to industrial profiles?</w:t>
      </w:r>
    </w:p>
    <w:p w14:paraId="175F938D" w14:textId="0BA0493E"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 xml:space="preserve">Clustering </w:t>
      </w:r>
      <w:r w:rsidRPr="009306CD">
        <w:rPr>
          <w:rFonts w:ascii="Acumin Pro Light" w:hAnsi="Acumin Pro Light" w:cs="Acumin Pro Medium"/>
          <w:color w:val="000000"/>
          <w:highlight w:val="yellow"/>
          <w:u w:color="0000E9"/>
        </w:rPr>
        <w:t>districts based on similarity scores computed on % population across the 16 sectors</w:t>
      </w:r>
    </w:p>
    <w:p w14:paraId="1F268972" w14:textId="42BB994D" w:rsidR="001B47DC" w:rsidRPr="009306CD" w:rsidRDefault="001B47DC"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Visualization:</w:t>
      </w:r>
      <w:r w:rsidRPr="009306CD">
        <w:rPr>
          <w:rFonts w:ascii="Acumin Pro Light" w:hAnsi="Acumin Pro Light" w:cs="Acumin Pro Medium"/>
          <w:color w:val="000000"/>
          <w:highlight w:val="yellow"/>
          <w:u w:color="0000E9"/>
        </w:rPr>
        <w:t xml:space="preserve"> </w:t>
      </w:r>
      <w:proofErr w:type="spellStart"/>
      <w:r w:rsidRPr="009306CD">
        <w:rPr>
          <w:rFonts w:ascii="Acumin Pro Light" w:hAnsi="Acumin Pro Light" w:cs="Acumin Pro Medium"/>
          <w:b/>
          <w:bCs/>
          <w:color w:val="000000"/>
          <w:highlight w:val="yellow"/>
          <w:u w:color="0000E9"/>
        </w:rPr>
        <w:t>tSNE</w:t>
      </w:r>
      <w:proofErr w:type="spellEnd"/>
      <w:r w:rsidRPr="009306CD">
        <w:rPr>
          <w:rFonts w:ascii="Acumin Pro Light" w:hAnsi="Acumin Pro Light" w:cs="Acumin Pro Medium"/>
          <w:b/>
          <w:bCs/>
          <w:color w:val="000000"/>
          <w:highlight w:val="yellow"/>
          <w:u w:color="0000E9"/>
        </w:rPr>
        <w:t xml:space="preserve"> scatter plot</w:t>
      </w:r>
      <w:r w:rsidR="00335CF4" w:rsidRPr="009306CD">
        <w:rPr>
          <w:rFonts w:ascii="Acumin Pro Light" w:hAnsi="Acumin Pro Light" w:cs="Acumin Pro Medium"/>
          <w:b/>
          <w:bCs/>
          <w:color w:val="000000"/>
          <w:highlight w:val="yellow"/>
          <w:u w:color="0000E9"/>
        </w:rPr>
        <w:t xml:space="preserve"> </w:t>
      </w:r>
      <w:r w:rsidR="00335CF4" w:rsidRPr="009306CD">
        <w:rPr>
          <w:rFonts w:ascii="Acumin Pro Light" w:hAnsi="Acumin Pro Light" w:cs="Acumin Pro Medium"/>
          <w:color w:val="000000"/>
          <w:highlight w:val="yellow"/>
          <w:u w:color="0000E9"/>
        </w:rPr>
        <w:t>(w districts as dots, filterable on region/state/district, shape as region, color as cluster);</w:t>
      </w:r>
      <w:r w:rsidRPr="009306CD">
        <w:rPr>
          <w:rFonts w:ascii="Acumin Pro Light" w:hAnsi="Acumin Pro Light" w:cs="Acumin Pro Medium"/>
          <w:b/>
          <w:bCs/>
          <w:color w:val="000000"/>
          <w:highlight w:val="yellow"/>
          <w:u w:color="0000E9"/>
        </w:rPr>
        <w:t xml:space="preserve"> </w:t>
      </w:r>
      <w:r w:rsidR="0038340E" w:rsidRPr="009306CD">
        <w:rPr>
          <w:rFonts w:ascii="Acumin Pro Light" w:hAnsi="Acumin Pro Light" w:cs="Acumin Pro Medium"/>
          <w:b/>
          <w:bCs/>
          <w:color w:val="000000"/>
          <w:highlight w:val="yellow"/>
          <w:u w:color="0000E9"/>
        </w:rPr>
        <w:t>(radial</w:t>
      </w:r>
      <w:r w:rsidR="00E414F0" w:rsidRPr="009306CD">
        <w:rPr>
          <w:rFonts w:ascii="Acumin Pro Light" w:hAnsi="Acumin Pro Light" w:cs="Acumin Pro Medium"/>
          <w:b/>
          <w:bCs/>
          <w:color w:val="000000"/>
          <w:highlight w:val="yellow"/>
          <w:u w:color="0000E9"/>
        </w:rPr>
        <w:t xml:space="preserve"> charts/parallel coordinates plot)</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(w/ years as opaque layers, animate or user-select year layers</w:t>
      </w:r>
      <w:r w:rsidR="00335CF4" w:rsidRPr="009306CD">
        <w:rPr>
          <w:rFonts w:ascii="Acumin Pro Light" w:hAnsi="Acumin Pro Light" w:cs="Acumin Pro Medium"/>
          <w:color w:val="000000"/>
          <w:highlight w:val="yellow"/>
          <w:u w:color="0000E9"/>
        </w:rPr>
        <w:t>, plot area as raw pct working pop, or as heat-mapped above/below average</w:t>
      </w:r>
      <w:r w:rsidR="0038340E" w:rsidRPr="009306CD">
        <w:rPr>
          <w:rFonts w:ascii="Acumin Pro Light" w:hAnsi="Acumin Pro Light" w:cs="Acumin Pro Medium"/>
          <w:color w:val="000000"/>
          <w:highlight w:val="yellow"/>
          <w:u w:color="0000E9"/>
        </w:rPr>
        <w:t>; radial helps by making industry a position on the circle, whereas it may be too many colors on a steam or bar graph</w:t>
      </w:r>
      <w:r w:rsidRPr="009306CD">
        <w:rPr>
          <w:rFonts w:ascii="Acumin Pro Light" w:hAnsi="Acumin Pro Light" w:cs="Acumin Pro Medium"/>
          <w:color w:val="000000"/>
          <w:highlight w:val="yellow"/>
          <w:u w:color="0000E9"/>
        </w:rPr>
        <w:t>)</w:t>
      </w:r>
      <w:r w:rsidR="00335CF4" w:rsidRPr="009306CD">
        <w:rPr>
          <w:rFonts w:ascii="Acumin Pro Light" w:hAnsi="Acumin Pro Light" w:cs="Acumin Pro Medium"/>
          <w:color w:val="000000"/>
          <w:highlight w:val="yellow"/>
          <w:u w:color="0000E9"/>
        </w:rPr>
        <w:t xml:space="preserve"> </w:t>
      </w:r>
    </w:p>
    <w:p w14:paraId="442ADE54" w14:textId="38D83319"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Are regions with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or less similar</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color w:val="000000"/>
          <w:highlight w:val="yellow"/>
          <w:u w:color="0000E9"/>
        </w:rPr>
        <w:t xml:space="preserve"> industrial profiles being funded to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00126392" w:rsidRPr="009306CD">
        <w:rPr>
          <w:rFonts w:ascii="Acumin Pro Light" w:hAnsi="Acumin Pro Light" w:cs="Acumin Pro Medium"/>
          <w:i/>
          <w:iCs/>
          <w:color w:val="000000"/>
          <w:highlight w:val="yellow"/>
          <w:u w:color="0000E9"/>
        </w:rPr>
        <w:t>”</w:t>
      </w:r>
      <w:r w:rsidRPr="009306CD">
        <w:rPr>
          <w:rFonts w:ascii="Acumin Pro Light" w:hAnsi="Acumin Pro Light" w:cs="Acumin Pro Medium"/>
          <w:color w:val="000000"/>
          <w:highlight w:val="yellow"/>
          <w:u w:color="0000E9"/>
        </w:rPr>
        <w:t xml:space="preserve"> research? </w:t>
      </w:r>
    </w:p>
    <w:p w14:paraId="163AA0FE" w14:textId="592D0D7D" w:rsidR="00E3513E"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Use above clustering results, </w:t>
      </w:r>
      <w:r w:rsidRPr="009306CD">
        <w:rPr>
          <w:rFonts w:ascii="Acumin Pro Light" w:hAnsi="Acumin Pro Light" w:cs="Acumin Pro Medium"/>
          <w:color w:val="000000"/>
          <w:highlight w:val="yellow"/>
          <w:u w:color="0000E9"/>
        </w:rPr>
        <w:t xml:space="preserve">then compare directorate/division level funding breakdown and the intra-directorate </w:t>
      </w:r>
      <w:r w:rsidRPr="009306CD">
        <w:rPr>
          <w:rFonts w:ascii="Acumin Pro Light" w:hAnsi="Acumin Pro Light" w:cs="Acumin Pro Medium"/>
          <w:b/>
          <w:bCs/>
          <w:color w:val="000000"/>
          <w:highlight w:val="yellow"/>
          <w:u w:color="0000E9"/>
        </w:rPr>
        <w:t xml:space="preserve">linguistic similarity scores </w:t>
      </w:r>
      <w:r w:rsidRPr="009306CD">
        <w:rPr>
          <w:rFonts w:ascii="Acumin Pro Light" w:hAnsi="Acumin Pro Light" w:cs="Acumin Pro Medium"/>
          <w:color w:val="000000"/>
          <w:highlight w:val="yellow"/>
          <w:u w:color="0000E9"/>
        </w:rPr>
        <w:t>of grants using word2vec/doc2vec</w:t>
      </w:r>
    </w:p>
    <w:p w14:paraId="306B5239" w14:textId="248843F9" w:rsidR="00126392" w:rsidRPr="009306CD" w:rsidRDefault="0012639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 xml:space="preserve">Technique: </w:t>
      </w:r>
      <w:r w:rsidRPr="009306CD">
        <w:rPr>
          <w:rFonts w:ascii="Acumin Pro Light" w:hAnsi="Acumin Pro Light" w:cs="Acumin Pro Medium"/>
          <w:color w:val="000000"/>
          <w:highlight w:val="yellow"/>
          <w:u w:color="0000E9"/>
        </w:rPr>
        <w:t>Identify which linked data vocabulary terms are present, examine by industrial occupation cluster, see whether there are any patterns</w:t>
      </w:r>
    </w:p>
    <w:p w14:paraId="492F6C30" w14:textId="677BACBD" w:rsidR="00E3513E" w:rsidRPr="009306CD" w:rsidRDefault="008652EA"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How do</w:t>
      </w:r>
      <w:r w:rsidR="00126392" w:rsidRPr="009306CD">
        <w:rPr>
          <w:rFonts w:ascii="Acumin Pro Light" w:hAnsi="Acumin Pro Light" w:cs="Acumin Pro Medium"/>
          <w:color w:val="000000"/>
          <w:highlight w:val="yellow"/>
          <w:u w:color="0000E9"/>
        </w:rPr>
        <w:t xml:space="preserve">/can </w:t>
      </w:r>
      <w:r w:rsidRPr="009306CD">
        <w:rPr>
          <w:rFonts w:ascii="Acumin Pro Light" w:hAnsi="Acumin Pro Light" w:cs="Acumin Pro Medium"/>
          <w:color w:val="000000"/>
          <w:highlight w:val="yellow"/>
          <w:u w:color="0000E9"/>
        </w:rPr>
        <w:t xml:space="preserve">these small businesses take advantage of the environmental, social and policy landscape of their region?  </w:t>
      </w:r>
    </w:p>
    <w:p w14:paraId="6AD359F8" w14:textId="22BE2884"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Qualitative (policy analysis) </w:t>
      </w:r>
    </w:p>
    <w:p w14:paraId="74250BE5" w14:textId="03C8C3A3" w:rsidR="00AA5525" w:rsidRPr="009306CD" w:rsidRDefault="00AA5525"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lastRenderedPageBreak/>
        <w:t>Technique:</w:t>
      </w:r>
      <w:r w:rsidRPr="009306CD">
        <w:rPr>
          <w:rFonts w:ascii="Acumin Pro Light" w:hAnsi="Acumin Pro Light" w:cs="Acumin Pro Medium"/>
          <w:color w:val="000000"/>
          <w:highlight w:val="yellow"/>
          <w:u w:color="0000E9"/>
        </w:rPr>
        <w:t xml:space="preserve"> Use </w:t>
      </w:r>
      <w:proofErr w:type="spellStart"/>
      <w:r w:rsidRPr="009306CD">
        <w:rPr>
          <w:rFonts w:ascii="Acumin Pro Light" w:hAnsi="Acumin Pro Light" w:cs="Acumin Pro Medium"/>
          <w:color w:val="000000"/>
          <w:highlight w:val="yellow"/>
          <w:u w:color="0000E9"/>
        </w:rPr>
        <w:t>OpenStates</w:t>
      </w:r>
      <w:proofErr w:type="spellEnd"/>
      <w:r w:rsidRPr="009306CD">
        <w:rPr>
          <w:rFonts w:ascii="Acumin Pro Light" w:hAnsi="Acumin Pro Light" w:cs="Acumin Pro Medium"/>
          <w:color w:val="000000"/>
          <w:highlight w:val="yellow"/>
          <w:u w:color="0000E9"/>
        </w:rPr>
        <w:t xml:space="preserve"> API to find state-level legislation with subject areas related to either </w:t>
      </w:r>
      <w:proofErr w:type="spellStart"/>
      <w:r w:rsidRPr="009306CD">
        <w:rPr>
          <w:rFonts w:ascii="Acumin Pro Light" w:hAnsi="Acumin Pro Light" w:cs="Acumin Pro Medium"/>
          <w:color w:val="000000"/>
          <w:highlight w:val="yellow"/>
          <w:u w:color="0000E9"/>
        </w:rPr>
        <w:t>STEM+</w:t>
      </w:r>
      <w:commentRangeStart w:id="6"/>
      <w:r w:rsidRPr="009306CD">
        <w:rPr>
          <w:rFonts w:ascii="Acumin Pro Light" w:hAnsi="Acumin Pro Light" w:cs="Acumin Pro Medium"/>
          <w:color w:val="000000"/>
          <w:highlight w:val="yellow"/>
          <w:u w:color="0000E9"/>
        </w:rPr>
        <w:t>innovation</w:t>
      </w:r>
      <w:proofErr w:type="spellEnd"/>
      <w:r w:rsidRPr="009306CD">
        <w:rPr>
          <w:rFonts w:ascii="Acumin Pro Light" w:hAnsi="Acumin Pro Light" w:cs="Acumin Pro Medium"/>
          <w:color w:val="000000"/>
          <w:highlight w:val="yellow"/>
          <w:u w:color="0000E9"/>
        </w:rPr>
        <w:t xml:space="preserve"> policy OR the subject area(s) </w:t>
      </w:r>
      <w:commentRangeEnd w:id="6"/>
      <w:r w:rsidR="00487027" w:rsidRPr="009306CD">
        <w:rPr>
          <w:rStyle w:val="CommentReference"/>
          <w:highlight w:val="yellow"/>
        </w:rPr>
        <w:commentReference w:id="6"/>
      </w:r>
      <w:r w:rsidRPr="009306CD">
        <w:rPr>
          <w:rFonts w:ascii="Acumin Pro Light" w:hAnsi="Acumin Pro Light" w:cs="Acumin Pro Medium"/>
          <w:color w:val="000000"/>
          <w:highlight w:val="yellow"/>
          <w:u w:color="0000E9"/>
        </w:rPr>
        <w:t>related to the keywords or program codes</w:t>
      </w:r>
    </w:p>
    <w:p w14:paraId="518A2285" w14:textId="1390313D" w:rsidR="00244F73" w:rsidRPr="009306CD" w:rsidRDefault="00244F73"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regions receiving more SBIR funding experiencing migration in or out?</w:t>
      </w:r>
      <w:r w:rsidR="001B47DC" w:rsidRPr="009306CD">
        <w:rPr>
          <w:rFonts w:ascii="Acumin Pro Light" w:hAnsi="Acumin Pro Light" w:cs="Acumin Pro Medium"/>
          <w:color w:val="000000"/>
          <w:highlight w:val="yellow"/>
          <w:u w:color="0000E9"/>
        </w:rPr>
        <w:t xml:space="preserve"> Is this the same or different for NSF funding across all programs?</w:t>
      </w:r>
    </w:p>
    <w:p w14:paraId="22313170" w14:textId="5843692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Hypothesis testing, regression</w:t>
      </w:r>
    </w:p>
    <w:p w14:paraId="0ACE9E78" w14:textId="1F62D376" w:rsidR="000253F8" w:rsidRPr="009306CD" w:rsidRDefault="000253F8"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Do SBIR grants </w:t>
      </w:r>
      <w:r w:rsidR="008A0372" w:rsidRPr="009306CD">
        <w:rPr>
          <w:rFonts w:ascii="Acumin Pro Light" w:hAnsi="Acumin Pro Light" w:cs="Acumin Pro Medium"/>
          <w:color w:val="000000"/>
          <w:highlight w:val="yellow"/>
          <w:u w:color="0000E9"/>
        </w:rPr>
        <w:t xml:space="preserve">patterns </w:t>
      </w:r>
      <w:r w:rsidRPr="009306CD">
        <w:rPr>
          <w:rFonts w:ascii="Acumin Pro Light" w:hAnsi="Acumin Pro Light" w:cs="Acumin Pro Medium"/>
          <w:color w:val="000000"/>
          <w:highlight w:val="yellow"/>
          <w:u w:color="0000E9"/>
        </w:rPr>
        <w:t xml:space="preserve">coincide or differ from the funding patterns of other programs? </w:t>
      </w:r>
      <w:r w:rsidR="001B47DC" w:rsidRPr="009306CD">
        <w:rPr>
          <w:rFonts w:ascii="Acumin Pro Light" w:hAnsi="Acumin Pro Light" w:cs="Acumin Pro Medium"/>
          <w:color w:val="000000"/>
          <w:highlight w:val="yellow"/>
          <w:u w:color="0000E9"/>
        </w:rPr>
        <w:t xml:space="preserve"> Does SBIR follow the overall funding distribution? Do SBIR grantees spread out or cluster near areas where funding is already high, take advantage of knowledge spillovers?</w:t>
      </w:r>
      <w:r w:rsidR="00126392" w:rsidRPr="009306CD">
        <w:rPr>
          <w:rFonts w:ascii="Acumin Pro Light" w:hAnsi="Acumin Pro Light" w:cs="Acumin Pro Medium"/>
          <w:color w:val="000000"/>
          <w:highlight w:val="yellow"/>
          <w:u w:color="0000E9"/>
        </w:rPr>
        <w:t xml:space="preserve">  </w:t>
      </w:r>
    </w:p>
    <w:p w14:paraId="25703772" w14:textId="6026B86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Descriptive stats, breakdown of directorate/division funding data</w:t>
      </w:r>
      <w:r w:rsidR="001B47DC" w:rsidRPr="009306CD">
        <w:rPr>
          <w:rFonts w:ascii="Acumin Pro Light" w:hAnsi="Acumin Pro Light" w:cs="Acumin Pro Medium"/>
          <w:color w:val="000000"/>
          <w:highlight w:val="yellow"/>
          <w:u w:color="0000E9"/>
        </w:rPr>
        <w:t>, aggregation of funding, number of unique grants, number of unique grantees spatially aggregated</w:t>
      </w:r>
      <w:r w:rsidR="00126392" w:rsidRPr="009306CD">
        <w:rPr>
          <w:rFonts w:ascii="Acumin Pro Light" w:hAnsi="Acumin Pro Light" w:cs="Acumin Pro Medium"/>
          <w:color w:val="000000"/>
          <w:highlight w:val="yellow"/>
          <w:u w:color="0000E9"/>
        </w:rPr>
        <w:t xml:space="preserve"> (perhaps at smaller unit level like county)</w:t>
      </w:r>
    </w:p>
    <w:p w14:paraId="5C8B1041" w14:textId="325DB056"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color w:val="000000"/>
          <w:highlight w:val="yellow"/>
          <w:u w:color="0000E9"/>
        </w:rPr>
        <w:t xml:space="preserve">Do regions experiencing more migration to/from each also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Pr="009306CD">
        <w:rPr>
          <w:rFonts w:ascii="Acumin Pro Light" w:hAnsi="Acumin Pro Light" w:cs="Acumin Pro Medium"/>
          <w:color w:val="000000"/>
          <w:highlight w:val="yellow"/>
          <w:u w:color="0000E9"/>
        </w:rPr>
        <w:t xml:space="preserve"> </w:t>
      </w:r>
      <w:proofErr w:type="gramStart"/>
      <w:r w:rsidR="00126392"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color w:val="000000"/>
          <w:highlight w:val="yellow"/>
          <w:u w:color="0000E9"/>
        </w:rPr>
        <w:t>NSF</w:t>
      </w:r>
      <w:proofErr w:type="gramEnd"/>
      <w:r w:rsidRPr="009306CD">
        <w:rPr>
          <w:rFonts w:ascii="Acumin Pro Light" w:hAnsi="Acumin Pro Light" w:cs="Acumin Pro Medium"/>
          <w:color w:val="000000"/>
          <w:highlight w:val="yellow"/>
          <w:u w:color="0000E9"/>
        </w:rPr>
        <w:t xml:space="preserve"> funded science?</w:t>
      </w:r>
      <w:r w:rsidR="00B0412F" w:rsidRPr="009306CD">
        <w:rPr>
          <w:rFonts w:ascii="Acumin Pro Light" w:hAnsi="Acumin Pro Light" w:cs="Acumin Pro Medium"/>
          <w:color w:val="000000"/>
          <w:highlight w:val="yellow"/>
          <w:u w:color="0000E9"/>
        </w:rPr>
        <w:t xml:space="preserve">  </w:t>
      </w:r>
      <w:commentRangeStart w:id="7"/>
      <w:r w:rsidR="00B0412F" w:rsidRPr="009306CD">
        <w:rPr>
          <w:rFonts w:ascii="Acumin Pro Light" w:hAnsi="Acumin Pro Light" w:cs="Acumin Pro Medium"/>
          <w:color w:val="000000"/>
          <w:highlight w:val="yellow"/>
          <w:u w:color="0000E9"/>
        </w:rPr>
        <w:t xml:space="preserve">In what districts was it more or less common for there to be funded PIs migrating between the two areas? </w:t>
      </w:r>
      <w:commentRangeEnd w:id="7"/>
      <w:r w:rsidR="00B0412F" w:rsidRPr="009306CD">
        <w:rPr>
          <w:rStyle w:val="CommentReference"/>
          <w:highlight w:val="yellow"/>
        </w:rPr>
        <w:commentReference w:id="7"/>
      </w:r>
    </w:p>
    <w:p w14:paraId="4EF97C2F" w14:textId="210241EA"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Use ACS migration data, compare intra-directorate similarity scores using doc2vec, regress similarity on migration</w:t>
      </w:r>
    </w:p>
    <w:p w14:paraId="6EA783F3" w14:textId="6295F080"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w:t>
      </w:r>
      <w:r w:rsidRPr="009306CD">
        <w:rPr>
          <w:rFonts w:ascii="Acumin Pro Light" w:hAnsi="Acumin Pro Light" w:cs="Acumin Pro Medium"/>
          <w:color w:val="000000"/>
          <w:highlight w:val="yellow"/>
          <w:u w:color="0000E9"/>
        </w:rPr>
        <w:t xml:space="preserve"> Identify PIs in grants data who are listed as affiliated with more than one institution over time period t0-t1, are regions with PIs in common producing more similar intra-directorate?  Are regions with PI migration likely to have more similar industrial profiles?</w:t>
      </w:r>
    </w:p>
    <w:p w14:paraId="462EE696" w14:textId="77777777" w:rsidR="0013350E" w:rsidRDefault="0013350E" w:rsidP="00141D80">
      <w:pPr>
        <w:autoSpaceDE w:val="0"/>
        <w:autoSpaceDN w:val="0"/>
        <w:adjustRightInd w:val="0"/>
        <w:rPr>
          <w:rFonts w:ascii="Acumin Pro Light" w:hAnsi="Acumin Pro Light" w:cs="Acumin Pro Medium"/>
          <w:color w:val="000000"/>
          <w:u w:color="0000E9"/>
        </w:rPr>
      </w:pPr>
    </w:p>
    <w:p w14:paraId="20D7DC96" w14:textId="112E213E" w:rsidR="001E0111" w:rsidRDefault="008652EA" w:rsidP="00624D9C">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Future work may include breaking down the total NSF funding by division or </w:t>
      </w:r>
      <w:proofErr w:type="gramStart"/>
      <w:r>
        <w:rPr>
          <w:rFonts w:ascii="Acumin Pro Light" w:hAnsi="Acumin Pro Light" w:cs="Acumin Pro Medium"/>
          <w:color w:val="000000"/>
          <w:u w:color="0000E9"/>
        </w:rPr>
        <w:t>directorate, and</w:t>
      </w:r>
      <w:proofErr w:type="gramEnd"/>
      <w:r>
        <w:rPr>
          <w:rFonts w:ascii="Acumin Pro Light" w:hAnsi="Acumin Pro Light" w:cs="Acumin Pro Medium"/>
          <w:color w:val="000000"/>
          <w:u w:color="0000E9"/>
        </w:rPr>
        <w:t xml:space="preserve"> aggregating the keyword data at the district level.  The former task would be relatively straightforward and involve creating a panel with an additional chart, while the latter requires further processing of keywords data to allow for dynamic filtering at the date and district level.</w:t>
      </w:r>
      <w:r w:rsidR="000E00BF">
        <w:rPr>
          <w:rFonts w:ascii="Acumin Pro Light" w:hAnsi="Acumin Pro Light" w:cs="Acumin Pro Medium"/>
          <w:color w:val="000000"/>
          <w:u w:color="0000E9"/>
        </w:rPr>
        <w:t xml:space="preserve">  Producing district-level keyword trends data would be advantageous toward building additional functionality whereby a funder or policy maker could use the web-app to find their district, select the date range and quickly obtain a printout with funding details.</w:t>
      </w:r>
    </w:p>
    <w:p w14:paraId="5E12820E" w14:textId="77777777" w:rsidR="00E414F0" w:rsidRDefault="00E414F0" w:rsidP="00624D9C">
      <w:pPr>
        <w:autoSpaceDE w:val="0"/>
        <w:autoSpaceDN w:val="0"/>
        <w:adjustRightInd w:val="0"/>
        <w:rPr>
          <w:rFonts w:ascii="Acumin Pro Medium" w:hAnsi="Acumin Pro Medium" w:cs="Acumin Pro Medium"/>
          <w:color w:val="000000"/>
          <w:sz w:val="28"/>
          <w:szCs w:val="28"/>
        </w:rPr>
      </w:pPr>
    </w:p>
    <w:p w14:paraId="3BB66CA2" w14:textId="3D46BECD" w:rsidR="001929E0" w:rsidRPr="008E3607" w:rsidRDefault="00C14D2A" w:rsidP="00624D9C">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Datasets, Scripts, APIs</w:t>
      </w:r>
    </w:p>
    <w:p w14:paraId="68179AC9" w14:textId="77777777" w:rsidR="0005141D" w:rsidRPr="003463B6" w:rsidRDefault="0005141D" w:rsidP="00624D9C">
      <w:pPr>
        <w:autoSpaceDE w:val="0"/>
        <w:autoSpaceDN w:val="0"/>
        <w:adjustRightInd w:val="0"/>
        <w:rPr>
          <w:rFonts w:ascii="Acumin Pro Medium" w:hAnsi="Acumin Pro Medium" w:cs="Acumin Pro Medium"/>
          <w:color w:val="000000"/>
          <w:sz w:val="28"/>
          <w:szCs w:val="28"/>
        </w:rPr>
      </w:pPr>
    </w:p>
    <w:p w14:paraId="1E1A9002" w14:textId="27A879A0" w:rsidR="003A1C22" w:rsidRDefault="003A1C22" w:rsidP="0005141D">
      <w:pPr>
        <w:pStyle w:val="Bibliography"/>
        <w:spacing w:line="240" w:lineRule="auto"/>
        <w:rPr>
          <w:rFonts w:ascii="Acumin Pro Light" w:hAnsi="Acumin Pro Light" w:cs="Acumin Pro Medium"/>
          <w:color w:val="000000"/>
          <w:u w:color="0000E9"/>
        </w:rPr>
      </w:pPr>
      <w:proofErr w:type="spellStart"/>
      <w:r w:rsidRPr="003463B6">
        <w:rPr>
          <w:rFonts w:ascii="Acumin Pro Light" w:hAnsi="Acumin Pro Light" w:cs="Acumin Pro Medium"/>
          <w:color w:val="000000"/>
          <w:u w:color="0000E9"/>
        </w:rPr>
        <w:t>Achakulvisut</w:t>
      </w:r>
      <w:proofErr w:type="spellEnd"/>
      <w:r w:rsidRPr="003463B6">
        <w:rPr>
          <w:rFonts w:ascii="Acumin Pro Light" w:hAnsi="Acumin Pro Light" w:cs="Acumin Pro Medium"/>
          <w:color w:val="000000"/>
          <w:u w:color="0000E9"/>
        </w:rPr>
        <w:t>, T</w:t>
      </w:r>
      <w:r w:rsidR="003463B6" w:rsidRPr="003463B6">
        <w:rPr>
          <w:rFonts w:ascii="Acumin Pro Light" w:hAnsi="Acumin Pro Light" w:cs="Acumin Pro Medium"/>
          <w:color w:val="000000"/>
          <w:u w:color="0000E9"/>
        </w:rPr>
        <w:t xml:space="preserve">., </w:t>
      </w:r>
      <w:proofErr w:type="spellStart"/>
      <w:r w:rsidR="003463B6" w:rsidRPr="003463B6">
        <w:rPr>
          <w:rFonts w:ascii="Acumin Pro Light" w:hAnsi="Acumin Pro Light" w:cs="Acumin Pro Medium"/>
          <w:color w:val="000000"/>
          <w:u w:color="0000E9"/>
        </w:rPr>
        <w:t>Ruangrong</w:t>
      </w:r>
      <w:proofErr w:type="spellEnd"/>
      <w:r w:rsidR="003463B6" w:rsidRPr="003463B6">
        <w:rPr>
          <w:rFonts w:ascii="Acumin Pro Light" w:hAnsi="Acumin Pro Light" w:cs="Acumin Pro Medium"/>
          <w:color w:val="000000"/>
          <w:u w:color="0000E9"/>
        </w:rPr>
        <w:t xml:space="preserve">, T., Acuna, D. (2018). Grant database: downloader, preprocessor, parser and </w:t>
      </w:r>
      <w:proofErr w:type="spellStart"/>
      <w:r w:rsidR="003463B6" w:rsidRPr="003463B6">
        <w:rPr>
          <w:rFonts w:ascii="Acumin Pro Light" w:hAnsi="Acumin Pro Light" w:cs="Acumin Pro Medium"/>
          <w:color w:val="000000"/>
          <w:u w:color="0000E9"/>
        </w:rPr>
        <w:t>deduper</w:t>
      </w:r>
      <w:proofErr w:type="spellEnd"/>
      <w:r w:rsidR="003463B6" w:rsidRPr="003463B6">
        <w:rPr>
          <w:rFonts w:ascii="Acumin Pro Light" w:hAnsi="Acumin Pro Light" w:cs="Acumin Pro Medium"/>
          <w:color w:val="000000"/>
          <w:u w:color="0000E9"/>
        </w:rPr>
        <w:t xml:space="preserve"> for NIH and NSF grants. GitHub Repository, </w:t>
      </w:r>
      <w:hyperlink r:id="rId27" w:history="1">
        <w:r w:rsidR="00C14D2A" w:rsidRPr="00075C07">
          <w:rPr>
            <w:rStyle w:val="Hyperlink"/>
            <w:rFonts w:ascii="Acumin Pro Light" w:hAnsi="Acumin Pro Light" w:cs="Acumin Pro Medium"/>
          </w:rPr>
          <w:t>https://github.com/titipata/grant_database</w:t>
        </w:r>
      </w:hyperlink>
    </w:p>
    <w:p w14:paraId="010F4546" w14:textId="054EBEC7" w:rsidR="00C14D2A" w:rsidRDefault="00C14D2A" w:rsidP="00C14D2A"/>
    <w:p w14:paraId="58EF70AD" w14:textId="77777777" w:rsidR="00C14D2A" w:rsidRDefault="00C14D2A" w:rsidP="00C14D2A">
      <w:pPr>
        <w:rPr>
          <w:rFonts w:ascii="Acumin Pro Light" w:hAnsi="Acumin Pro Light"/>
        </w:rPr>
      </w:pPr>
      <w:r w:rsidRPr="003A1C22">
        <w:rPr>
          <w:rFonts w:ascii="Acumin Pro Light" w:hAnsi="Acumin Pro Light"/>
        </w:rPr>
        <w:t xml:space="preserve">Hoppe, T.A., Baker, </w:t>
      </w:r>
      <w:r>
        <w:rPr>
          <w:rFonts w:ascii="Acumin Pro Light" w:hAnsi="Acumin Pro Light"/>
        </w:rPr>
        <w:t>H</w:t>
      </w:r>
      <w:r w:rsidRPr="003A1C22">
        <w:rPr>
          <w:rFonts w:ascii="Acumin Pro Light" w:hAnsi="Acumin Pro Light"/>
        </w:rPr>
        <w:t>. (2019)</w:t>
      </w:r>
      <w:r>
        <w:rPr>
          <w:rFonts w:ascii="Acumin Pro Light" w:hAnsi="Acumin Pro Light"/>
        </w:rPr>
        <w:t>.</w:t>
      </w:r>
      <w:r w:rsidRPr="003A1C22">
        <w:rPr>
          <w:rFonts w:ascii="Acumin Pro Light" w:hAnsi="Acumin Pro Light"/>
        </w:rPr>
        <w:t xml:space="preserve"> Natural Language Preprocessing (</w:t>
      </w:r>
      <w:proofErr w:type="spellStart"/>
      <w:r w:rsidRPr="003A1C22">
        <w:rPr>
          <w:rFonts w:ascii="Acumin Pro Light" w:hAnsi="Acumin Pro Light"/>
        </w:rPr>
        <w:t>NLPre</w:t>
      </w:r>
      <w:proofErr w:type="spellEnd"/>
      <w:r w:rsidRPr="003A1C22">
        <w:rPr>
          <w:rFonts w:ascii="Acumin Pro Light" w:hAnsi="Acumin Pro Light"/>
        </w:rPr>
        <w:t xml:space="preserve">), </w:t>
      </w:r>
    </w:p>
    <w:p w14:paraId="74C284D8" w14:textId="6322A194" w:rsidR="00C14D2A" w:rsidRDefault="00C14D2A" w:rsidP="00C14D2A">
      <w:pPr>
        <w:ind w:firstLine="720"/>
        <w:rPr>
          <w:rFonts w:ascii="Acumin Pro Light" w:hAnsi="Acumin Pro Light"/>
        </w:rPr>
      </w:pPr>
      <w:r w:rsidRPr="003A1C22">
        <w:rPr>
          <w:rFonts w:ascii="Acumin Pro Light" w:hAnsi="Acumin Pro Light"/>
        </w:rPr>
        <w:t>GitHub</w:t>
      </w:r>
      <w:r>
        <w:rPr>
          <w:rFonts w:ascii="Acumin Pro Light" w:hAnsi="Acumin Pro Light"/>
        </w:rPr>
        <w:t xml:space="preserve"> </w:t>
      </w:r>
      <w:r w:rsidRPr="003A1C22">
        <w:rPr>
          <w:rFonts w:ascii="Acumin Pro Light" w:hAnsi="Acumin Pro Light"/>
        </w:rPr>
        <w:t xml:space="preserve">Repository, </w:t>
      </w:r>
      <w:hyperlink r:id="rId28" w:history="1">
        <w:r w:rsidRPr="00075C07">
          <w:rPr>
            <w:rStyle w:val="Hyperlink"/>
            <w:rFonts w:ascii="Acumin Pro Light" w:hAnsi="Acumin Pro Light"/>
          </w:rPr>
          <w:t>https://github.com/NIHOPA/NLPre</w:t>
        </w:r>
      </w:hyperlink>
    </w:p>
    <w:p w14:paraId="5C59835B" w14:textId="7111140B" w:rsidR="00C14D2A" w:rsidRDefault="00C14D2A" w:rsidP="00C14D2A">
      <w:pPr>
        <w:rPr>
          <w:rFonts w:ascii="Acumin Pro Light" w:hAnsi="Acumin Pro Light"/>
        </w:rPr>
      </w:pPr>
    </w:p>
    <w:p w14:paraId="373AEFF8" w14:textId="175D7F63" w:rsidR="00C14D2A" w:rsidRDefault="00C14D2A" w:rsidP="00C14D2A">
      <w:pPr>
        <w:ind w:left="720" w:hanging="720"/>
        <w:rPr>
          <w:rFonts w:ascii="Acumin Pro Light" w:hAnsi="Acumin Pro Light"/>
        </w:rPr>
      </w:pPr>
      <w:r>
        <w:rPr>
          <w:rFonts w:ascii="Acumin Pro Light" w:hAnsi="Acumin Pro Light"/>
        </w:rPr>
        <w:t xml:space="preserve">National Science Foundation. (2020). Awards Database.  Retrieved from </w:t>
      </w:r>
      <w:hyperlink r:id="rId29" w:history="1">
        <w:r w:rsidRPr="00075C07">
          <w:rPr>
            <w:rStyle w:val="Hyperlink"/>
            <w:rFonts w:ascii="Acumin Pro Light" w:hAnsi="Acumin Pro Light"/>
          </w:rPr>
          <w:t>https://www.nsf.gov/awardsearch/download.jsp</w:t>
        </w:r>
      </w:hyperlink>
    </w:p>
    <w:p w14:paraId="7A78D582" w14:textId="77777777" w:rsidR="00C14D2A" w:rsidRPr="003A1C22" w:rsidRDefault="00C14D2A" w:rsidP="00C14D2A">
      <w:pPr>
        <w:rPr>
          <w:rFonts w:ascii="Acumin Pro Light" w:hAnsi="Acumin Pro Light"/>
        </w:rPr>
      </w:pPr>
    </w:p>
    <w:p w14:paraId="0F860E25" w14:textId="40010D24" w:rsidR="00C14D2A" w:rsidRDefault="00C14D2A" w:rsidP="00C14D2A">
      <w:pPr>
        <w:pStyle w:val="Bibliography"/>
        <w:spacing w:line="240" w:lineRule="auto"/>
        <w:rPr>
          <w:rFonts w:ascii="Acumin Pro Light" w:hAnsi="Acumin Pro Light"/>
          <w:color w:val="000000"/>
        </w:rPr>
      </w:pPr>
      <w:r>
        <w:rPr>
          <w:rFonts w:ascii="Acumin Pro Light" w:hAnsi="Acumin Pro Light"/>
          <w:color w:val="000000"/>
        </w:rPr>
        <w:lastRenderedPageBreak/>
        <w:t xml:space="preserve">ProPublica. (2020). ProPublica Congress API. </w:t>
      </w:r>
      <w:hyperlink r:id="rId30" w:history="1">
        <w:r w:rsidRPr="00075C07">
          <w:rPr>
            <w:rStyle w:val="Hyperlink"/>
            <w:rFonts w:ascii="Acumin Pro Light" w:hAnsi="Acumin Pro Light"/>
          </w:rPr>
          <w:t>https://projects.propublica.org/api-docs/congress-api/</w:t>
        </w:r>
      </w:hyperlink>
    </w:p>
    <w:p w14:paraId="0361F706" w14:textId="77777777" w:rsidR="00C14D2A" w:rsidRPr="00C14D2A" w:rsidRDefault="00C14D2A" w:rsidP="00C14D2A"/>
    <w:p w14:paraId="0022F67C" w14:textId="3ACCE31E" w:rsidR="00C14D2A" w:rsidRPr="00345C03" w:rsidRDefault="00C14D2A" w:rsidP="00C14D2A">
      <w:pPr>
        <w:ind w:left="720" w:hanging="720"/>
        <w:rPr>
          <w:rFonts w:ascii="Acumin Pro Light" w:eastAsia="Times New Roman" w:hAnsi="Acumin Pro Light" w:cs="Arial"/>
          <w:color w:val="000000" w:themeColor="text1"/>
          <w:spacing w:val="6"/>
          <w:shd w:val="clear" w:color="auto" w:fill="FFFFFF"/>
        </w:rPr>
      </w:pPr>
      <w:r w:rsidRPr="003463B6">
        <w:rPr>
          <w:rFonts w:ascii="Acumin Pro Light" w:eastAsia="Times New Roman" w:hAnsi="Acumin Pro Light" w:cs="Arial"/>
          <w:color w:val="000000" w:themeColor="text1"/>
          <w:spacing w:val="6"/>
          <w:shd w:val="clear" w:color="auto" w:fill="FFFFFF"/>
        </w:rPr>
        <w:t>U.S. Census Bureau</w:t>
      </w:r>
      <w:r>
        <w:rPr>
          <w:rFonts w:ascii="Acumin Pro Light" w:eastAsia="Times New Roman" w:hAnsi="Acumin Pro Light" w:cs="Arial"/>
          <w:color w:val="000000" w:themeColor="text1"/>
          <w:spacing w:val="6"/>
          <w:shd w:val="clear" w:color="auto" w:fill="FFFFFF"/>
        </w:rPr>
        <w:t>.</w:t>
      </w:r>
      <w:r w:rsidRPr="003463B6">
        <w:rPr>
          <w:rFonts w:ascii="Acumin Pro Light" w:eastAsia="Times New Roman" w:hAnsi="Acumin Pro Light" w:cs="Arial"/>
          <w:color w:val="000000" w:themeColor="text1"/>
          <w:spacing w:val="6"/>
          <w:shd w:val="clear" w:color="auto" w:fill="FFFFFF"/>
        </w:rPr>
        <w:t xml:space="preserve"> (</w:t>
      </w:r>
      <w:r w:rsidRPr="00345C03">
        <w:rPr>
          <w:rFonts w:ascii="Acumin Pro Light" w:eastAsia="Times New Roman" w:hAnsi="Acumin Pro Light" w:cs="Arial"/>
          <w:color w:val="000000" w:themeColor="text1"/>
          <w:spacing w:val="6"/>
          <w:shd w:val="clear" w:color="auto" w:fill="FFFFFF"/>
        </w:rPr>
        <w:t>2018</w:t>
      </w:r>
      <w:r w:rsidRPr="003463B6">
        <w:rPr>
          <w:rFonts w:ascii="Acumin Pro Light" w:eastAsia="Times New Roman" w:hAnsi="Acumin Pro Light" w:cs="Arial"/>
          <w:color w:val="000000" w:themeColor="text1"/>
          <w:spacing w:val="6"/>
          <w:shd w:val="clear" w:color="auto" w:fill="FFFFFF"/>
        </w:rPr>
        <w:t>). </w:t>
      </w:r>
      <w:r w:rsidRPr="00C14D2A">
        <w:rPr>
          <w:rFonts w:ascii="Acumin Pro Light" w:eastAsia="Times New Roman" w:hAnsi="Acumin Pro Light" w:cs="Times New Roman"/>
          <w:i/>
          <w:iCs/>
          <w:color w:val="000000" w:themeColor="text1"/>
          <w:shd w:val="clear" w:color="auto" w:fill="FFFFFF"/>
        </w:rPr>
        <w:t>Geographical mobility in the past year by age for current residence in the United States</w:t>
      </w:r>
      <w:r w:rsidRPr="00345C03">
        <w:rPr>
          <w:rFonts w:ascii="Acumin Pro Light" w:eastAsia="Times New Roman" w:hAnsi="Acumin Pro Light" w:cs="Times New Roman"/>
          <w:color w:val="000000" w:themeColor="text1"/>
          <w:shd w:val="clear" w:color="auto" w:fill="FFFFFF"/>
        </w:rPr>
        <w:t>.</w:t>
      </w:r>
      <w:r w:rsidRPr="00345C03">
        <w:rPr>
          <w:rFonts w:ascii="Acumin Pro Light" w:eastAsia="Times New Roman" w:hAnsi="Acumin Pro Light" w:cs="Times New Roman"/>
          <w:color w:val="000000" w:themeColor="text1"/>
        </w:rPr>
        <w:t xml:space="preserve"> </w:t>
      </w:r>
      <w:r w:rsidRPr="003463B6">
        <w:rPr>
          <w:rFonts w:ascii="Acumin Pro Light" w:eastAsia="Times New Roman" w:hAnsi="Acumin Pro Light" w:cs="Arial"/>
          <w:color w:val="000000" w:themeColor="text1"/>
          <w:spacing w:val="6"/>
          <w:shd w:val="clear" w:color="auto" w:fill="FFFFFF"/>
        </w:rPr>
        <w:t>Retrieved from</w:t>
      </w:r>
      <w:r w:rsidRPr="00345C03">
        <w:rPr>
          <w:rFonts w:ascii="Acumin Pro Light" w:eastAsia="Times New Roman" w:hAnsi="Acumin Pro Light" w:cs="Arial"/>
          <w:color w:val="000000" w:themeColor="text1"/>
          <w:spacing w:val="6"/>
          <w:shd w:val="clear" w:color="auto" w:fill="FFFFFF"/>
        </w:rPr>
        <w:t xml:space="preserve"> </w:t>
      </w:r>
      <w:hyperlink r:id="rId31" w:history="1">
        <w:r w:rsidRPr="00075C07">
          <w:rPr>
            <w:rStyle w:val="Hyperlink"/>
            <w:rFonts w:ascii="Acumin Pro Light" w:eastAsia="Times New Roman" w:hAnsi="Acumin Pro Light" w:cs="Arial"/>
            <w:spacing w:val="6"/>
            <w:shd w:val="clear" w:color="auto" w:fill="FFFFFF"/>
          </w:rPr>
          <w:t>https://data.census.gov/cedsci/table?q=ACSDT1Y2019.B07001&amp;tid=ACSDT1Y2019.B07001&amp;hidePreview=true</w:t>
        </w:r>
      </w:hyperlink>
      <w:r>
        <w:rPr>
          <w:rFonts w:ascii="Acumin Pro Light" w:eastAsia="Times New Roman" w:hAnsi="Acumin Pro Light" w:cs="Arial"/>
          <w:color w:val="000000" w:themeColor="text1"/>
          <w:spacing w:val="6"/>
          <w:shd w:val="clear" w:color="auto" w:fill="FFFFFF"/>
        </w:rPr>
        <w:t xml:space="preserve"> </w:t>
      </w:r>
    </w:p>
    <w:p w14:paraId="5856A1F3" w14:textId="77777777" w:rsidR="00C14D2A" w:rsidRPr="00345C03" w:rsidRDefault="00C14D2A" w:rsidP="00C14D2A">
      <w:pPr>
        <w:rPr>
          <w:rFonts w:ascii="Acumin Pro Light" w:eastAsia="Times New Roman" w:hAnsi="Acumin Pro Light" w:cs="Arial"/>
          <w:color w:val="000000" w:themeColor="text1"/>
          <w:spacing w:val="6"/>
          <w:shd w:val="clear" w:color="auto" w:fill="FFFFFF"/>
        </w:rPr>
      </w:pPr>
    </w:p>
    <w:p w14:paraId="0E8FDC3F" w14:textId="0A94E4EB" w:rsidR="00C14D2A" w:rsidRDefault="00C14D2A" w:rsidP="00C14D2A">
      <w:pPr>
        <w:ind w:left="720" w:hanging="720"/>
        <w:rPr>
          <w:rFonts w:ascii="Acumin Pro Light" w:eastAsia="Times New Roman" w:hAnsi="Acumin Pro Light" w:cs="Times New Roman"/>
          <w:color w:val="000000" w:themeColor="text1"/>
        </w:rPr>
      </w:pPr>
      <w:r w:rsidRPr="00345C03">
        <w:rPr>
          <w:rFonts w:ascii="Acumin Pro Light" w:eastAsia="Times New Roman" w:hAnsi="Acumin Pro Light" w:cs="Times New Roman"/>
          <w:color w:val="000000" w:themeColor="text1"/>
        </w:rPr>
        <w:t>U.S. Census Bureau</w:t>
      </w:r>
      <w:r>
        <w:rPr>
          <w:rFonts w:ascii="Acumin Pro Light" w:eastAsia="Times New Roman" w:hAnsi="Acumin Pro Light" w:cs="Times New Roman"/>
          <w:color w:val="000000" w:themeColor="text1"/>
        </w:rPr>
        <w:t>.</w:t>
      </w:r>
      <w:r w:rsidRPr="00345C03">
        <w:rPr>
          <w:rFonts w:ascii="Acumin Pro Light" w:eastAsia="Times New Roman" w:hAnsi="Acumin Pro Light" w:cs="Times New Roman"/>
          <w:color w:val="000000" w:themeColor="text1"/>
        </w:rPr>
        <w:t xml:space="preserve"> (2018). </w:t>
      </w:r>
      <w:r w:rsidRPr="00C14D2A">
        <w:rPr>
          <w:rFonts w:ascii="Acumin Pro Light" w:eastAsia="Times New Roman" w:hAnsi="Acumin Pro Light" w:cs="Times New Roman"/>
          <w:i/>
          <w:iCs/>
          <w:color w:val="000000" w:themeColor="text1"/>
        </w:rPr>
        <w:t>Industry for the civilian employed population 16 years and over</w:t>
      </w:r>
      <w:r w:rsidRPr="00345C03">
        <w:rPr>
          <w:rFonts w:ascii="Acumin Pro Light" w:eastAsia="Times New Roman" w:hAnsi="Acumin Pro Light" w:cs="Times New Roman"/>
          <w:color w:val="000000" w:themeColor="text1"/>
        </w:rPr>
        <w:t xml:space="preserve">. Retrieved from </w:t>
      </w:r>
      <w:hyperlink r:id="rId32" w:history="1">
        <w:r w:rsidRPr="00075C07">
          <w:rPr>
            <w:rStyle w:val="Hyperlink"/>
            <w:rFonts w:ascii="Acumin Pro Light" w:eastAsia="Times New Roman" w:hAnsi="Acumin Pro Light" w:cs="Times New Roman"/>
          </w:rPr>
          <w:t>https://data.census.gov/cedsci/table?q=Industry%20for%20the%20civilian%20employed%20population%20aged%2016%20and%20older&amp;g=0100000US.50016&amp;tid=ACSST1Y2018.S2403&amp;hidePreview=true</w:t>
        </w:r>
      </w:hyperlink>
    </w:p>
    <w:p w14:paraId="2A97B98C" w14:textId="77777777" w:rsidR="00C14D2A" w:rsidRPr="003463B6" w:rsidRDefault="00C14D2A" w:rsidP="00C14D2A">
      <w:pPr>
        <w:ind w:left="720" w:hanging="720"/>
        <w:rPr>
          <w:rFonts w:ascii="Acumin Pro Light" w:eastAsia="Times New Roman" w:hAnsi="Acumin Pro Light" w:cs="Times New Roman"/>
          <w:color w:val="000000" w:themeColor="text1"/>
        </w:rPr>
      </w:pPr>
    </w:p>
    <w:p w14:paraId="5759370F" w14:textId="02D4AF60" w:rsidR="00C14D2A" w:rsidRPr="008E3607" w:rsidRDefault="00C14D2A" w:rsidP="00C14D2A">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Works Cited</w:t>
      </w:r>
    </w:p>
    <w:p w14:paraId="0FF23EC9" w14:textId="77777777" w:rsidR="003A1C22" w:rsidRDefault="003A1C22" w:rsidP="00C14D2A">
      <w:pPr>
        <w:pStyle w:val="Bibliography"/>
        <w:spacing w:line="240" w:lineRule="auto"/>
        <w:ind w:left="0" w:firstLine="0"/>
        <w:rPr>
          <w:rFonts w:ascii="Acumin Pro Light" w:hAnsi="Acumin Pro Light" w:cs="Acumin Pro Medium"/>
          <w:b/>
          <w:bCs/>
          <w:color w:val="000000"/>
          <w:u w:color="0000E9"/>
        </w:rPr>
      </w:pPr>
    </w:p>
    <w:p w14:paraId="2079D300" w14:textId="77777777" w:rsidR="00CE503B" w:rsidRPr="00CE503B" w:rsidRDefault="0005141D" w:rsidP="00CE503B">
      <w:pPr>
        <w:pStyle w:val="Bibliography"/>
        <w:rPr>
          <w:rFonts w:ascii="Calibri" w:cs="Calibri"/>
        </w:rPr>
      </w:pPr>
      <w:r>
        <w:rPr>
          <w:rFonts w:ascii="Acumin Pro Light" w:hAnsi="Acumin Pro Light" w:cs="Acumin Pro Medium"/>
          <w:b/>
          <w:bCs/>
          <w:color w:val="000000"/>
          <w:u w:color="0000E9"/>
        </w:rPr>
        <w:fldChar w:fldCharType="begin"/>
      </w:r>
      <w:r>
        <w:rPr>
          <w:rFonts w:ascii="Acumin Pro Light" w:hAnsi="Acumin Pro Light" w:cs="Acumin Pro Medium"/>
          <w:b/>
          <w:bCs/>
          <w:color w:val="000000"/>
          <w:u w:color="0000E9"/>
        </w:rPr>
        <w:instrText xml:space="preserve"> ADDIN ZOTERO_BIBL {"uncited":[],"omitted":[],"custom":[]} CSL_BIBLIOGRAPHY </w:instrText>
      </w:r>
      <w:r>
        <w:rPr>
          <w:rFonts w:ascii="Acumin Pro Light" w:hAnsi="Acumin Pro Light" w:cs="Acumin Pro Medium"/>
          <w:b/>
          <w:bCs/>
          <w:color w:val="000000"/>
          <w:u w:color="0000E9"/>
        </w:rPr>
        <w:fldChar w:fldCharType="separate"/>
      </w:r>
      <w:r w:rsidR="00CE503B" w:rsidRPr="00CE503B">
        <w:rPr>
          <w:rFonts w:ascii="Calibri" w:cs="Calibri"/>
        </w:rPr>
        <w:t xml:space="preserve">Anselin, L., Varga, A., &amp; Acs, Z. (2000). Geographical Spillovers and University Research: A Spatial EconometricPerspective. </w:t>
      </w:r>
      <w:r w:rsidR="00CE503B" w:rsidRPr="00CE503B">
        <w:rPr>
          <w:rFonts w:ascii="Calibri" w:cs="Calibri"/>
          <w:i/>
          <w:iCs/>
        </w:rPr>
        <w:t>Growth and Change</w:t>
      </w:r>
      <w:r w:rsidR="00CE503B" w:rsidRPr="00CE503B">
        <w:rPr>
          <w:rFonts w:ascii="Calibri" w:cs="Calibri"/>
        </w:rPr>
        <w:t xml:space="preserve">, </w:t>
      </w:r>
      <w:r w:rsidR="00CE503B" w:rsidRPr="00CE503B">
        <w:rPr>
          <w:rFonts w:ascii="Calibri" w:cs="Calibri"/>
          <w:i/>
          <w:iCs/>
        </w:rPr>
        <w:t>31</w:t>
      </w:r>
      <w:r w:rsidR="00CE503B" w:rsidRPr="00CE503B">
        <w:rPr>
          <w:rFonts w:ascii="Calibri" w:cs="Calibri"/>
        </w:rPr>
        <w:t>(4), 501–515. https://doi.org/10.1111/0017-4815.00142</w:t>
      </w:r>
    </w:p>
    <w:p w14:paraId="7CA060B1" w14:textId="77777777" w:rsidR="00CE503B" w:rsidRPr="00CE503B" w:rsidRDefault="00CE503B" w:rsidP="00CE503B">
      <w:pPr>
        <w:pStyle w:val="Bibliography"/>
        <w:rPr>
          <w:rFonts w:ascii="Calibri" w:cs="Calibri"/>
        </w:rPr>
      </w:pPr>
      <w:r w:rsidRPr="00CE503B">
        <w:rPr>
          <w:rFonts w:ascii="Calibri" w:cs="Calibri"/>
        </w:rPr>
        <w:t xml:space="preserve">Apa, R., De Noni, I., Orsi, L., &amp; Sedita, S. R. (2018). Knowledge space oddity: How to increase the intensity and relevance of the technological progress of European regions. </w:t>
      </w:r>
      <w:r w:rsidRPr="00CE503B">
        <w:rPr>
          <w:rFonts w:ascii="Calibri" w:cs="Calibri"/>
          <w:i/>
          <w:iCs/>
        </w:rPr>
        <w:t>Research Policy</w:t>
      </w:r>
      <w:r w:rsidRPr="00CE503B">
        <w:rPr>
          <w:rFonts w:ascii="Calibri" w:cs="Calibri"/>
        </w:rPr>
        <w:t xml:space="preserve">, </w:t>
      </w:r>
      <w:r w:rsidRPr="00CE503B">
        <w:rPr>
          <w:rFonts w:ascii="Calibri" w:cs="Calibri"/>
          <w:i/>
          <w:iCs/>
        </w:rPr>
        <w:t>47</w:t>
      </w:r>
      <w:r w:rsidRPr="00CE503B">
        <w:rPr>
          <w:rFonts w:ascii="Calibri" w:cs="Calibri"/>
        </w:rPr>
        <w:t>(9), 1700–1712. https://doi.org/10.1016/j.respol.2018.06.002</w:t>
      </w:r>
    </w:p>
    <w:p w14:paraId="2FAA6142" w14:textId="77777777" w:rsidR="00CE503B" w:rsidRPr="00CE503B" w:rsidRDefault="00CE503B" w:rsidP="00CE503B">
      <w:pPr>
        <w:pStyle w:val="Bibliography"/>
        <w:rPr>
          <w:rFonts w:ascii="Calibri" w:cs="Calibri"/>
        </w:rPr>
      </w:pPr>
      <w:r w:rsidRPr="00CE503B">
        <w:rPr>
          <w:rFonts w:ascii="Calibri" w:cs="Calibri"/>
        </w:rPr>
        <w:t xml:space="preserve">Audretsch, D. B., &amp; Feldman, M. P. (1996). R&amp;D Spillovers and the Geography of Innovation and Production. </w:t>
      </w:r>
      <w:r w:rsidRPr="00CE503B">
        <w:rPr>
          <w:rFonts w:ascii="Calibri" w:cs="Calibri"/>
          <w:i/>
          <w:iCs/>
        </w:rPr>
        <w:t>The American Economic Review</w:t>
      </w:r>
      <w:r w:rsidRPr="00CE503B">
        <w:rPr>
          <w:rFonts w:ascii="Calibri" w:cs="Calibri"/>
        </w:rPr>
        <w:t xml:space="preserve">, </w:t>
      </w:r>
      <w:r w:rsidRPr="00CE503B">
        <w:rPr>
          <w:rFonts w:ascii="Calibri" w:cs="Calibri"/>
          <w:i/>
          <w:iCs/>
        </w:rPr>
        <w:t>86</w:t>
      </w:r>
      <w:r w:rsidRPr="00CE503B">
        <w:rPr>
          <w:rFonts w:ascii="Calibri" w:cs="Calibri"/>
        </w:rPr>
        <w:t>(3), 630–640. JSTOR.</w:t>
      </w:r>
    </w:p>
    <w:p w14:paraId="3661FDAA" w14:textId="77777777" w:rsidR="00CE503B" w:rsidRPr="00CE503B" w:rsidRDefault="00CE503B" w:rsidP="00CE503B">
      <w:pPr>
        <w:pStyle w:val="Bibliography"/>
        <w:rPr>
          <w:rFonts w:ascii="Calibri" w:cs="Calibri"/>
        </w:rPr>
      </w:pPr>
      <w:r w:rsidRPr="00CE503B">
        <w:rPr>
          <w:rFonts w:ascii="Calibri" w:cs="Calibri"/>
        </w:rPr>
        <w:t xml:space="preserve">Balland, P.-A., Boschma, R., Crespo, J., &amp; Rigby, D. L. (2019). Smart specialization policy in the European Union: Relatedness, knowledge complexity and regional diversification. </w:t>
      </w:r>
      <w:r w:rsidRPr="00CE503B">
        <w:rPr>
          <w:rFonts w:ascii="Calibri" w:cs="Calibri"/>
          <w:i/>
          <w:iCs/>
        </w:rPr>
        <w:t>Regional Studies</w:t>
      </w:r>
      <w:r w:rsidRPr="00CE503B">
        <w:rPr>
          <w:rFonts w:ascii="Calibri" w:cs="Calibri"/>
        </w:rPr>
        <w:t xml:space="preserve">, </w:t>
      </w:r>
      <w:r w:rsidRPr="00CE503B">
        <w:rPr>
          <w:rFonts w:ascii="Calibri" w:cs="Calibri"/>
          <w:i/>
          <w:iCs/>
        </w:rPr>
        <w:t>53</w:t>
      </w:r>
      <w:r w:rsidRPr="00CE503B">
        <w:rPr>
          <w:rFonts w:ascii="Calibri" w:cs="Calibri"/>
        </w:rPr>
        <w:t>(9), 1252–1268. https://doi.org/10.1080/00343404.2018.1437900</w:t>
      </w:r>
    </w:p>
    <w:p w14:paraId="684D30AE" w14:textId="77777777" w:rsidR="00CE503B" w:rsidRPr="00CE503B" w:rsidRDefault="00CE503B" w:rsidP="00CE503B">
      <w:pPr>
        <w:pStyle w:val="Bibliography"/>
        <w:rPr>
          <w:rFonts w:ascii="Calibri" w:cs="Calibri"/>
        </w:rPr>
      </w:pPr>
      <w:r w:rsidRPr="00CE503B">
        <w:rPr>
          <w:rFonts w:ascii="Calibri" w:cs="Calibri"/>
        </w:rPr>
        <w:t xml:space="preserve">Bonaccorsi, A., &amp; Daraio, C. (2005). Exploring size and agglomeration effects on public research productivity. </w:t>
      </w:r>
      <w:r w:rsidRPr="00CE503B">
        <w:rPr>
          <w:rFonts w:ascii="Calibri" w:cs="Calibri"/>
          <w:i/>
          <w:iCs/>
        </w:rPr>
        <w:t>Scientometrics</w:t>
      </w:r>
      <w:r w:rsidRPr="00CE503B">
        <w:rPr>
          <w:rFonts w:ascii="Calibri" w:cs="Calibri"/>
        </w:rPr>
        <w:t xml:space="preserve">, </w:t>
      </w:r>
      <w:r w:rsidRPr="00CE503B">
        <w:rPr>
          <w:rFonts w:ascii="Calibri" w:cs="Calibri"/>
          <w:i/>
          <w:iCs/>
        </w:rPr>
        <w:t>63</w:t>
      </w:r>
      <w:r w:rsidRPr="00CE503B">
        <w:rPr>
          <w:rFonts w:ascii="Calibri" w:cs="Calibri"/>
        </w:rPr>
        <w:t>(1), 87–120. https://doi.org/10.1007/s11192-005-0205-3</w:t>
      </w:r>
    </w:p>
    <w:p w14:paraId="74517FD0" w14:textId="77777777" w:rsidR="00CE503B" w:rsidRPr="00CE503B" w:rsidRDefault="00CE503B" w:rsidP="00CE503B">
      <w:pPr>
        <w:pStyle w:val="Bibliography"/>
        <w:rPr>
          <w:rFonts w:ascii="Calibri" w:cs="Calibri"/>
        </w:rPr>
      </w:pPr>
      <w:r w:rsidRPr="00CE503B">
        <w:rPr>
          <w:rFonts w:ascii="Calibri" w:cs="Calibri"/>
        </w:rPr>
        <w:lastRenderedPageBreak/>
        <w:t xml:space="preserve">Boschma, R., Balland, P.-A., &amp; Kogler, D. F. (2014). Relatedness and technological change in cities: The rise and fall of technological knowledge in US metropolitan areas from 1981 to 2010. </w:t>
      </w:r>
      <w:r w:rsidRPr="00CE503B">
        <w:rPr>
          <w:rFonts w:ascii="Calibri" w:cs="Calibri"/>
          <w:i/>
          <w:iCs/>
        </w:rPr>
        <w:t>Industrial and Corporate Change</w:t>
      </w:r>
      <w:r w:rsidRPr="00CE503B">
        <w:rPr>
          <w:rFonts w:ascii="Calibri" w:cs="Calibri"/>
        </w:rPr>
        <w:t xml:space="preserve">, </w:t>
      </w:r>
      <w:r w:rsidRPr="00CE503B">
        <w:rPr>
          <w:rFonts w:ascii="Calibri" w:cs="Calibri"/>
          <w:i/>
          <w:iCs/>
        </w:rPr>
        <w:t>24</w:t>
      </w:r>
      <w:r w:rsidRPr="00CE503B">
        <w:rPr>
          <w:rFonts w:ascii="Calibri" w:cs="Calibri"/>
        </w:rPr>
        <w:t>(1), 223–250. https://doi.org/10.1093/icc/dtu012</w:t>
      </w:r>
    </w:p>
    <w:p w14:paraId="75A15162" w14:textId="77777777" w:rsidR="00CE503B" w:rsidRPr="00CE503B" w:rsidRDefault="00CE503B" w:rsidP="00CE503B">
      <w:pPr>
        <w:pStyle w:val="Bibliography"/>
        <w:rPr>
          <w:rFonts w:ascii="Calibri" w:cs="Calibri"/>
        </w:rPr>
      </w:pPr>
      <w:r w:rsidRPr="00CE503B">
        <w:rPr>
          <w:rFonts w:ascii="Calibri" w:cs="Calibri"/>
        </w:rPr>
        <w:t xml:space="preserve">Castaldi, C., &amp; Los, B. (2017). Geographical patterns in US inventive activity 1977–1998: The “regional inversion” was underestimated. </w:t>
      </w:r>
      <w:r w:rsidRPr="00CE503B">
        <w:rPr>
          <w:rFonts w:ascii="Calibri" w:cs="Calibri"/>
          <w:i/>
          <w:iCs/>
        </w:rPr>
        <w:t>Research Policy</w:t>
      </w:r>
      <w:r w:rsidRPr="00CE503B">
        <w:rPr>
          <w:rFonts w:ascii="Calibri" w:cs="Calibri"/>
        </w:rPr>
        <w:t xml:space="preserve">, </w:t>
      </w:r>
      <w:r w:rsidRPr="00CE503B">
        <w:rPr>
          <w:rFonts w:ascii="Calibri" w:cs="Calibri"/>
          <w:i/>
          <w:iCs/>
        </w:rPr>
        <w:t>46</w:t>
      </w:r>
      <w:r w:rsidRPr="00CE503B">
        <w:rPr>
          <w:rFonts w:ascii="Calibri" w:cs="Calibri"/>
        </w:rPr>
        <w:t>(7), 1187–1197. https://doi.org/10.1016/j.respol.2017.04.005</w:t>
      </w:r>
    </w:p>
    <w:p w14:paraId="48BC2280" w14:textId="77777777" w:rsidR="00CE503B" w:rsidRPr="00CE503B" w:rsidRDefault="00CE503B" w:rsidP="00CE503B">
      <w:pPr>
        <w:pStyle w:val="Bibliography"/>
        <w:rPr>
          <w:rFonts w:ascii="Calibri" w:cs="Calibri"/>
        </w:rPr>
      </w:pPr>
      <w:r w:rsidRPr="00CE503B">
        <w:rPr>
          <w:rFonts w:ascii="Calibri" w:cs="Calibri"/>
        </w:rPr>
        <w:t xml:space="preserve">Chausse Vázquez de Parga, I. (2018). </w:t>
      </w:r>
      <w:r w:rsidRPr="00CE503B">
        <w:rPr>
          <w:rFonts w:ascii="Calibri" w:cs="Calibri"/>
          <w:i/>
          <w:iCs/>
        </w:rPr>
        <w:t>A geographical analysis of research trends applying text mining to conference data</w:t>
      </w:r>
      <w:r w:rsidRPr="00CE503B">
        <w:rPr>
          <w:rFonts w:ascii="Calibri" w:cs="Calibri"/>
        </w:rPr>
        <w:t xml:space="preserve"> [Escola Tècnica Superior d’Enginyeria Industrial de Barcelona]. https://upcommons.upc.edu/handle/2117/169067</w:t>
      </w:r>
    </w:p>
    <w:p w14:paraId="748452C0" w14:textId="77777777" w:rsidR="00CE503B" w:rsidRPr="00CE503B" w:rsidRDefault="00CE503B" w:rsidP="00CE503B">
      <w:pPr>
        <w:pStyle w:val="Bibliography"/>
        <w:rPr>
          <w:rFonts w:ascii="Calibri" w:cs="Calibri"/>
        </w:rPr>
      </w:pPr>
      <w:r w:rsidRPr="00CE503B">
        <w:rPr>
          <w:rFonts w:ascii="Calibri" w:cs="Calibri"/>
        </w:rPr>
        <w:t xml:space="preserve">Ganguly, S., &amp; Pudi, V. (2017). Paper2vec: Combining Graph and Text Information for Scientific Paper Representation. In J. M. Jose, C. Hauff, I. S. Altıngovde, D. Song, D. Albakour, S. Watt, &amp; J. Tait (Eds.), </w:t>
      </w:r>
      <w:r w:rsidRPr="00CE503B">
        <w:rPr>
          <w:rFonts w:ascii="Calibri" w:cs="Calibri"/>
          <w:i/>
          <w:iCs/>
        </w:rPr>
        <w:t>Advances in Information Retrieval</w:t>
      </w:r>
      <w:r w:rsidRPr="00CE503B">
        <w:rPr>
          <w:rFonts w:ascii="Calibri" w:cs="Calibri"/>
        </w:rPr>
        <w:t xml:space="preserve"> (pp. 383–395). Springer International Publishing. https://doi.org/10.1007/978-3-319-56608-5_30</w:t>
      </w:r>
    </w:p>
    <w:p w14:paraId="1367902E" w14:textId="77777777" w:rsidR="00CE503B" w:rsidRPr="00CE503B" w:rsidRDefault="00CE503B" w:rsidP="00CE503B">
      <w:pPr>
        <w:pStyle w:val="Bibliography"/>
        <w:rPr>
          <w:rFonts w:ascii="Calibri" w:cs="Calibri"/>
        </w:rPr>
      </w:pPr>
      <w:r w:rsidRPr="00CE503B">
        <w:rPr>
          <w:rFonts w:ascii="Calibri" w:cs="Calibri"/>
        </w:rPr>
        <w:t xml:space="preserve">Gläser, J., &amp; Laudel, G. (2015). A bibliometric reconstruction of research trails for qualitative investigations of scientific innovations. </w:t>
      </w:r>
      <w:r w:rsidRPr="00CE503B">
        <w:rPr>
          <w:rFonts w:ascii="Calibri" w:cs="Calibri"/>
          <w:i/>
          <w:iCs/>
        </w:rPr>
        <w:t>Historical Social Research</w:t>
      </w:r>
      <w:r w:rsidRPr="00CE503B">
        <w:rPr>
          <w:rFonts w:ascii="Calibri" w:cs="Calibri"/>
        </w:rPr>
        <w:t xml:space="preserve">, </w:t>
      </w:r>
      <w:r w:rsidRPr="00CE503B">
        <w:rPr>
          <w:rFonts w:ascii="Calibri" w:cs="Calibri"/>
          <w:i/>
          <w:iCs/>
        </w:rPr>
        <w:t>40</w:t>
      </w:r>
      <w:r w:rsidRPr="00CE503B">
        <w:rPr>
          <w:rFonts w:ascii="Calibri" w:cs="Calibri"/>
        </w:rPr>
        <w:t>(3), 299–330. https://doi.org/10.12759/hsr.40.2015.3.299-330</w:t>
      </w:r>
    </w:p>
    <w:p w14:paraId="0712F514" w14:textId="77777777" w:rsidR="00CE503B" w:rsidRPr="00CE503B" w:rsidRDefault="00CE503B" w:rsidP="00CE503B">
      <w:pPr>
        <w:pStyle w:val="Bibliography"/>
        <w:rPr>
          <w:rFonts w:ascii="Calibri" w:cs="Calibri"/>
        </w:rPr>
      </w:pPr>
      <w:r w:rsidRPr="00CE503B">
        <w:rPr>
          <w:rFonts w:ascii="Calibri" w:cs="Calibri"/>
        </w:rPr>
        <w:t xml:space="preserve">Grandjean, M., Benz, P., &amp; Rossier, T. (2017). </w:t>
      </w:r>
      <w:r w:rsidRPr="00CE503B">
        <w:rPr>
          <w:rFonts w:ascii="Calibri" w:cs="Calibri"/>
          <w:i/>
          <w:iCs/>
        </w:rPr>
        <w:t>Elites académiques et (re)définition des frontières disciplinaires. Collaborations interdisciplinaires et structure du pouvoir académique</w:t>
      </w:r>
      <w:r w:rsidRPr="00CE503B">
        <w:rPr>
          <w:rFonts w:ascii="Calibri" w:cs="Calibri"/>
        </w:rPr>
        <w:t>. 7e Congrès de l’Association Française de Sociologie. https://halshs.archives-ouvertes.fr/halshs-01525575</w:t>
      </w:r>
    </w:p>
    <w:p w14:paraId="7D50B4DD" w14:textId="77777777" w:rsidR="00CE503B" w:rsidRPr="00CE503B" w:rsidRDefault="00CE503B" w:rsidP="00CE503B">
      <w:pPr>
        <w:pStyle w:val="Bibliography"/>
        <w:rPr>
          <w:rFonts w:ascii="Calibri" w:cs="Calibri"/>
        </w:rPr>
      </w:pPr>
      <w:r w:rsidRPr="00CE503B">
        <w:rPr>
          <w:rFonts w:ascii="Calibri" w:cs="Calibri"/>
        </w:rPr>
        <w:lastRenderedPageBreak/>
        <w:t xml:space="preserve">Gui, Q., Liu, C., &amp; Du, D. (2019). Globalization of science and international scientific collaboration: A network perspective. </w:t>
      </w:r>
      <w:r w:rsidRPr="00CE503B">
        <w:rPr>
          <w:rFonts w:ascii="Calibri" w:cs="Calibri"/>
          <w:i/>
          <w:iCs/>
        </w:rPr>
        <w:t>Geoforum</w:t>
      </w:r>
      <w:r w:rsidRPr="00CE503B">
        <w:rPr>
          <w:rFonts w:ascii="Calibri" w:cs="Calibri"/>
        </w:rPr>
        <w:t xml:space="preserve">, </w:t>
      </w:r>
      <w:r w:rsidRPr="00CE503B">
        <w:rPr>
          <w:rFonts w:ascii="Calibri" w:cs="Calibri"/>
          <w:i/>
          <w:iCs/>
        </w:rPr>
        <w:t>105</w:t>
      </w:r>
      <w:r w:rsidRPr="00CE503B">
        <w:rPr>
          <w:rFonts w:ascii="Calibri" w:cs="Calibri"/>
        </w:rPr>
        <w:t>, 1–12. https://doi.org/10.1016/j.geoforum.2019.06.017</w:t>
      </w:r>
    </w:p>
    <w:p w14:paraId="1C376FC2" w14:textId="77777777" w:rsidR="00CE503B" w:rsidRPr="00CE503B" w:rsidRDefault="00CE503B" w:rsidP="00CE503B">
      <w:pPr>
        <w:pStyle w:val="Bibliography"/>
        <w:rPr>
          <w:rFonts w:ascii="Calibri" w:cs="Calibri"/>
        </w:rPr>
      </w:pPr>
      <w:r w:rsidRPr="00CE503B">
        <w:rPr>
          <w:rFonts w:ascii="Calibri" w:cs="Calibri"/>
        </w:rPr>
        <w:t xml:space="preserve">Hoppe, T. A., Litovitz, A., Willis, K. A., Meseroll, R. A., Perkins, M. J., Hutchins, B. I., Davis, A. F., Lauer, M. S., Valantine, H. A., Anderson, J. M., &amp; Santangelo, G. M. (2019). Topic choice contributes to the lower rate of NIH awards to African-American/black scientists. </w:t>
      </w:r>
      <w:r w:rsidRPr="00CE503B">
        <w:rPr>
          <w:rFonts w:ascii="Calibri" w:cs="Calibri"/>
          <w:i/>
          <w:iCs/>
        </w:rPr>
        <w:t>Science Advances</w:t>
      </w:r>
      <w:r w:rsidRPr="00CE503B">
        <w:rPr>
          <w:rFonts w:ascii="Calibri" w:cs="Calibri"/>
        </w:rPr>
        <w:t xml:space="preserve">, </w:t>
      </w:r>
      <w:r w:rsidRPr="00CE503B">
        <w:rPr>
          <w:rFonts w:ascii="Calibri" w:cs="Calibri"/>
          <w:i/>
          <w:iCs/>
        </w:rPr>
        <w:t>5</w:t>
      </w:r>
      <w:r w:rsidRPr="00CE503B">
        <w:rPr>
          <w:rFonts w:ascii="Calibri" w:cs="Calibri"/>
        </w:rPr>
        <w:t>(10), eaaw7238. https://doi.org/10.1126/sciadv.aaw7238</w:t>
      </w:r>
    </w:p>
    <w:p w14:paraId="15C7277E" w14:textId="77777777" w:rsidR="00CE503B" w:rsidRPr="00CE503B" w:rsidRDefault="00CE503B" w:rsidP="00CE503B">
      <w:pPr>
        <w:pStyle w:val="Bibliography"/>
        <w:rPr>
          <w:rFonts w:ascii="Calibri" w:cs="Calibri"/>
        </w:rPr>
      </w:pPr>
      <w:r w:rsidRPr="00CE503B">
        <w:rPr>
          <w:rFonts w:ascii="Calibri" w:cs="Calibri"/>
        </w:rPr>
        <w:t xml:space="preserve">Jaffe, A. B., Trajtenberg, M., &amp; Henderson, R. (1993). Geographic Localization of Knowledge Spillovers as Evidenced by Patent Citations. </w:t>
      </w:r>
      <w:r w:rsidRPr="00CE503B">
        <w:rPr>
          <w:rFonts w:ascii="Calibri" w:cs="Calibri"/>
          <w:i/>
          <w:iCs/>
        </w:rPr>
        <w:t>The Quarterly Journal of Economics</w:t>
      </w:r>
      <w:r w:rsidRPr="00CE503B">
        <w:rPr>
          <w:rFonts w:ascii="Calibri" w:cs="Calibri"/>
        </w:rPr>
        <w:t xml:space="preserve">, </w:t>
      </w:r>
      <w:r w:rsidRPr="00CE503B">
        <w:rPr>
          <w:rFonts w:ascii="Calibri" w:cs="Calibri"/>
          <w:i/>
          <w:iCs/>
        </w:rPr>
        <w:t>108</w:t>
      </w:r>
      <w:r w:rsidRPr="00CE503B">
        <w:rPr>
          <w:rFonts w:ascii="Calibri" w:cs="Calibri"/>
        </w:rPr>
        <w:t>(3), 577–598. JSTOR. https://doi.org/10.2307/2118401</w:t>
      </w:r>
    </w:p>
    <w:p w14:paraId="1442C13A" w14:textId="77777777" w:rsidR="00CE503B" w:rsidRPr="00CE503B" w:rsidRDefault="00CE503B" w:rsidP="00CE503B">
      <w:pPr>
        <w:pStyle w:val="Bibliography"/>
        <w:rPr>
          <w:rFonts w:ascii="Calibri" w:cs="Calibri"/>
        </w:rPr>
      </w:pPr>
      <w:r w:rsidRPr="00CE503B">
        <w:rPr>
          <w:rFonts w:ascii="Calibri" w:cs="Calibri"/>
        </w:rPr>
        <w:t xml:space="preserve">Kardes, H., Sevincer, A., Gunes, M. H., &amp; Yuksel, M. (2014). Complex Network Analysis of Research Funding: A Case Study of NSF Grants. In F. Can, T. Özyer, &amp; F. Polat (Eds.), </w:t>
      </w:r>
      <w:r w:rsidRPr="00CE503B">
        <w:rPr>
          <w:rFonts w:ascii="Calibri" w:cs="Calibri"/>
          <w:i/>
          <w:iCs/>
        </w:rPr>
        <w:t>State of the Art Applications of Social Network Analysis</w:t>
      </w:r>
      <w:r w:rsidRPr="00CE503B">
        <w:rPr>
          <w:rFonts w:ascii="Calibri" w:cs="Calibri"/>
        </w:rPr>
        <w:t xml:space="preserve"> (pp. 163–187). Springer International Publishing. https://doi.org/10.1007/978-3-319-05912-9_8</w:t>
      </w:r>
    </w:p>
    <w:p w14:paraId="5FFB873D" w14:textId="77777777" w:rsidR="00CE503B" w:rsidRPr="00CE503B" w:rsidRDefault="00CE503B" w:rsidP="00CE503B">
      <w:pPr>
        <w:pStyle w:val="Bibliography"/>
        <w:rPr>
          <w:rFonts w:ascii="Calibri" w:cs="Calibri"/>
        </w:rPr>
      </w:pPr>
      <w:r w:rsidRPr="00CE503B">
        <w:rPr>
          <w:rFonts w:ascii="Calibri" w:cs="Calibri"/>
        </w:rPr>
        <w:t xml:space="preserve">King, M. M., Bergstrom, C. T., Correll, S. J., Jacquet, J., &amp; West, J. D. (2017). Men Set Their Own Cites High: Gender and Self-citation across Fields and over Time. </w:t>
      </w:r>
      <w:r w:rsidRPr="00CE503B">
        <w:rPr>
          <w:rFonts w:ascii="Calibri" w:cs="Calibri"/>
          <w:i/>
          <w:iCs/>
        </w:rPr>
        <w:t>Socius</w:t>
      </w:r>
      <w:r w:rsidRPr="00CE503B">
        <w:rPr>
          <w:rFonts w:ascii="Calibri" w:cs="Calibri"/>
        </w:rPr>
        <w:t xml:space="preserve">, </w:t>
      </w:r>
      <w:r w:rsidRPr="00CE503B">
        <w:rPr>
          <w:rFonts w:ascii="Calibri" w:cs="Calibri"/>
          <w:i/>
          <w:iCs/>
        </w:rPr>
        <w:t>3</w:t>
      </w:r>
      <w:r w:rsidRPr="00CE503B">
        <w:rPr>
          <w:rFonts w:ascii="Calibri" w:cs="Calibri"/>
        </w:rPr>
        <w:t>, 2378023117738903. https://doi.org/10.1177/2378023117738903</w:t>
      </w:r>
    </w:p>
    <w:p w14:paraId="4F801FB4" w14:textId="77777777" w:rsidR="00CE503B" w:rsidRPr="00CE503B" w:rsidRDefault="00CE503B" w:rsidP="00CE503B">
      <w:pPr>
        <w:pStyle w:val="Bibliography"/>
        <w:rPr>
          <w:rFonts w:ascii="Calibri" w:cs="Calibri"/>
        </w:rPr>
      </w:pPr>
      <w:r w:rsidRPr="00CE503B">
        <w:rPr>
          <w:rFonts w:ascii="Calibri" w:cs="Calibri"/>
        </w:rPr>
        <w:t xml:space="preserve">Li, J., Yin, Y., Fortunato, S., &amp; Wang, D. (2020). Scientific elite revisited: Patterns of productivity, collaboration, authorship and impact. </w:t>
      </w:r>
      <w:r w:rsidRPr="00CE503B">
        <w:rPr>
          <w:rFonts w:ascii="Calibri" w:cs="Calibri"/>
          <w:i/>
          <w:iCs/>
        </w:rPr>
        <w:t>Journal of The Royal Society Interface</w:t>
      </w:r>
      <w:r w:rsidRPr="00CE503B">
        <w:rPr>
          <w:rFonts w:ascii="Calibri" w:cs="Calibri"/>
        </w:rPr>
        <w:t xml:space="preserve">, </w:t>
      </w:r>
      <w:r w:rsidRPr="00CE503B">
        <w:rPr>
          <w:rFonts w:ascii="Calibri" w:cs="Calibri"/>
          <w:i/>
          <w:iCs/>
        </w:rPr>
        <w:t>17</w:t>
      </w:r>
      <w:r w:rsidRPr="00CE503B">
        <w:rPr>
          <w:rFonts w:ascii="Calibri" w:cs="Calibri"/>
        </w:rPr>
        <w:t>(165), 20200135. https://doi.org/10.1098/rsif.2020.0135</w:t>
      </w:r>
    </w:p>
    <w:p w14:paraId="014D0F7E" w14:textId="77777777" w:rsidR="00CE503B" w:rsidRPr="00CE503B" w:rsidRDefault="00CE503B" w:rsidP="00CE503B">
      <w:pPr>
        <w:pStyle w:val="Bibliography"/>
        <w:rPr>
          <w:rFonts w:ascii="Calibri" w:cs="Calibri"/>
        </w:rPr>
      </w:pPr>
      <w:r w:rsidRPr="00CE503B">
        <w:rPr>
          <w:rFonts w:ascii="Calibri" w:cs="Calibri"/>
        </w:rPr>
        <w:lastRenderedPageBreak/>
        <w:t xml:space="preserve">Li, Y., Li, H., Liu, N., &amp; Liu, X. (2018). Important institutions of interinstitutional scientific collaboration networks in materials science. </w:t>
      </w:r>
      <w:r w:rsidRPr="00CE503B">
        <w:rPr>
          <w:rFonts w:ascii="Calibri" w:cs="Calibri"/>
          <w:i/>
          <w:iCs/>
        </w:rPr>
        <w:t>Scientometrics</w:t>
      </w:r>
      <w:r w:rsidRPr="00CE503B">
        <w:rPr>
          <w:rFonts w:ascii="Calibri" w:cs="Calibri"/>
        </w:rPr>
        <w:t xml:space="preserve">, </w:t>
      </w:r>
      <w:r w:rsidRPr="00CE503B">
        <w:rPr>
          <w:rFonts w:ascii="Calibri" w:cs="Calibri"/>
          <w:i/>
          <w:iCs/>
        </w:rPr>
        <w:t>117</w:t>
      </w:r>
      <w:r w:rsidRPr="00CE503B">
        <w:rPr>
          <w:rFonts w:ascii="Calibri" w:cs="Calibri"/>
        </w:rPr>
        <w:t>(1), 85–103. https://doi.org/10.1007/s11192-018-2837-0</w:t>
      </w:r>
    </w:p>
    <w:p w14:paraId="0457F2C0" w14:textId="77777777" w:rsidR="00CE503B" w:rsidRPr="00CE503B" w:rsidRDefault="00CE503B" w:rsidP="00CE503B">
      <w:pPr>
        <w:pStyle w:val="Bibliography"/>
        <w:rPr>
          <w:rFonts w:ascii="Calibri" w:cs="Calibri"/>
        </w:rPr>
      </w:pPr>
      <w:r w:rsidRPr="00CE503B">
        <w:rPr>
          <w:rFonts w:ascii="Calibri" w:cs="Calibri"/>
        </w:rPr>
        <w:t xml:space="preserve">Myers, K. (2020). The Elasticity of Science. </w:t>
      </w:r>
      <w:r w:rsidRPr="00CE503B">
        <w:rPr>
          <w:rFonts w:ascii="Calibri" w:cs="Calibri"/>
          <w:i/>
          <w:iCs/>
        </w:rPr>
        <w:t>American Economic Journal: Applied Economics</w:t>
      </w:r>
      <w:r w:rsidRPr="00CE503B">
        <w:rPr>
          <w:rFonts w:ascii="Calibri" w:cs="Calibri"/>
        </w:rPr>
        <w:t xml:space="preserve">, </w:t>
      </w:r>
      <w:r w:rsidRPr="00CE503B">
        <w:rPr>
          <w:rFonts w:ascii="Calibri" w:cs="Calibri"/>
          <w:i/>
          <w:iCs/>
        </w:rPr>
        <w:t>12</w:t>
      </w:r>
      <w:r w:rsidRPr="00CE503B">
        <w:rPr>
          <w:rFonts w:ascii="Calibri" w:cs="Calibri"/>
        </w:rPr>
        <w:t>(4), 103–134. https://doi.org/10.1257/app.20180518</w:t>
      </w:r>
    </w:p>
    <w:p w14:paraId="3D08560A" w14:textId="77777777" w:rsidR="00CE503B" w:rsidRPr="00CE503B" w:rsidRDefault="00CE503B" w:rsidP="00CE503B">
      <w:pPr>
        <w:pStyle w:val="Bibliography"/>
        <w:rPr>
          <w:rFonts w:ascii="Calibri" w:cs="Calibri"/>
        </w:rPr>
      </w:pPr>
      <w:r w:rsidRPr="00CE503B">
        <w:rPr>
          <w:rFonts w:ascii="Calibri" w:cs="Calibri"/>
        </w:rPr>
        <w:t xml:space="preserve">Newman, M. E. J. (2001). The structure of scientific collaboration networks. </w:t>
      </w:r>
      <w:r w:rsidRPr="00CE503B">
        <w:rPr>
          <w:rFonts w:ascii="Calibri" w:cs="Calibri"/>
          <w:i/>
          <w:iCs/>
        </w:rPr>
        <w:t>Proceedings of the National Academy of Sciences</w:t>
      </w:r>
      <w:r w:rsidRPr="00CE503B">
        <w:rPr>
          <w:rFonts w:ascii="Calibri" w:cs="Calibri"/>
        </w:rPr>
        <w:t xml:space="preserve">, </w:t>
      </w:r>
      <w:r w:rsidRPr="00CE503B">
        <w:rPr>
          <w:rFonts w:ascii="Calibri" w:cs="Calibri"/>
          <w:i/>
          <w:iCs/>
        </w:rPr>
        <w:t>98</w:t>
      </w:r>
      <w:r w:rsidRPr="00CE503B">
        <w:rPr>
          <w:rFonts w:ascii="Calibri" w:cs="Calibri"/>
        </w:rPr>
        <w:t>(2), 404–409. https://doi.org/10.1073/pnas.98.2.404</w:t>
      </w:r>
    </w:p>
    <w:p w14:paraId="03D99C01" w14:textId="77777777" w:rsidR="00CE503B" w:rsidRPr="00CE503B" w:rsidRDefault="00CE503B" w:rsidP="00CE503B">
      <w:pPr>
        <w:pStyle w:val="Bibliography"/>
        <w:rPr>
          <w:rFonts w:ascii="Calibri" w:cs="Calibri"/>
        </w:rPr>
      </w:pPr>
      <w:r w:rsidRPr="00CE503B">
        <w:rPr>
          <w:rFonts w:ascii="Calibri" w:cs="Calibri"/>
        </w:rPr>
        <w:t xml:space="preserve">Nosek, B. A., Graham, J., Lindner, N. M., Kesebir, S., Hawkins, C. B., Hahn, C., Schmidt, K., Motyl, M., Joy-Gaba, J., Frazier, R., &amp; Tenney, E. R. (2010). Cumulative and Career-Stage Citation Impact of Social-Personality Psychology Programs and Their Members. </w:t>
      </w:r>
      <w:r w:rsidRPr="00CE503B">
        <w:rPr>
          <w:rFonts w:ascii="Calibri" w:cs="Calibri"/>
          <w:i/>
          <w:iCs/>
        </w:rPr>
        <w:t>Personality and Social Psychology Bulletin</w:t>
      </w:r>
      <w:r w:rsidRPr="00CE503B">
        <w:rPr>
          <w:rFonts w:ascii="Calibri" w:cs="Calibri"/>
        </w:rPr>
        <w:t xml:space="preserve">, </w:t>
      </w:r>
      <w:r w:rsidRPr="00CE503B">
        <w:rPr>
          <w:rFonts w:ascii="Calibri" w:cs="Calibri"/>
          <w:i/>
          <w:iCs/>
        </w:rPr>
        <w:t>36</w:t>
      </w:r>
      <w:r w:rsidRPr="00CE503B">
        <w:rPr>
          <w:rFonts w:ascii="Calibri" w:cs="Calibri"/>
        </w:rPr>
        <w:t>(10), 1283–1300. https://doi.org/10.1177/0146167210378111</w:t>
      </w:r>
    </w:p>
    <w:p w14:paraId="4E4288D6" w14:textId="77777777" w:rsidR="00CE503B" w:rsidRPr="00CE503B" w:rsidRDefault="00CE503B" w:rsidP="00CE503B">
      <w:pPr>
        <w:pStyle w:val="Bibliography"/>
        <w:rPr>
          <w:rFonts w:ascii="Calibri" w:cs="Calibri"/>
        </w:rPr>
      </w:pPr>
      <w:r w:rsidRPr="00CE503B">
        <w:rPr>
          <w:rFonts w:ascii="Calibri" w:cs="Calibri"/>
        </w:rPr>
        <w:t xml:space="preserve">Parker, J. N., Allesina, S., &amp; Lortie, C. J. (2013). Characterizing a scientific elite (B): Publication and citation patterns of the most highly cited scientists in environmental science and ecology. </w:t>
      </w:r>
      <w:r w:rsidRPr="00CE503B">
        <w:rPr>
          <w:rFonts w:ascii="Calibri" w:cs="Calibri"/>
          <w:i/>
          <w:iCs/>
        </w:rPr>
        <w:t>Scientometrics</w:t>
      </w:r>
      <w:r w:rsidRPr="00CE503B">
        <w:rPr>
          <w:rFonts w:ascii="Calibri" w:cs="Calibri"/>
        </w:rPr>
        <w:t xml:space="preserve">, </w:t>
      </w:r>
      <w:r w:rsidRPr="00CE503B">
        <w:rPr>
          <w:rFonts w:ascii="Calibri" w:cs="Calibri"/>
          <w:i/>
          <w:iCs/>
        </w:rPr>
        <w:t>94</w:t>
      </w:r>
      <w:r w:rsidRPr="00CE503B">
        <w:rPr>
          <w:rFonts w:ascii="Calibri" w:cs="Calibri"/>
        </w:rPr>
        <w:t>(2), 469–480. https://doi.org/10.1007/s11192-012-0859-6</w:t>
      </w:r>
    </w:p>
    <w:p w14:paraId="6988559A" w14:textId="77777777" w:rsidR="00CE503B" w:rsidRPr="00CE503B" w:rsidRDefault="00CE503B" w:rsidP="00CE503B">
      <w:pPr>
        <w:pStyle w:val="Bibliography"/>
        <w:rPr>
          <w:rFonts w:ascii="Calibri" w:cs="Calibri"/>
        </w:rPr>
      </w:pPr>
      <w:r w:rsidRPr="00CE503B">
        <w:rPr>
          <w:rFonts w:ascii="Calibri" w:cs="Calibri"/>
        </w:rPr>
        <w:t xml:space="preserve">Perruchas, F., Consoli, D., &amp; Barbieri, N. (2020). Specialisation, diversification and the ladder of green technology development. </w:t>
      </w:r>
      <w:r w:rsidRPr="00CE503B">
        <w:rPr>
          <w:rFonts w:ascii="Calibri" w:cs="Calibri"/>
          <w:i/>
          <w:iCs/>
        </w:rPr>
        <w:t>Research Policy</w:t>
      </w:r>
      <w:r w:rsidRPr="00CE503B">
        <w:rPr>
          <w:rFonts w:ascii="Calibri" w:cs="Calibri"/>
        </w:rPr>
        <w:t xml:space="preserve">, </w:t>
      </w:r>
      <w:r w:rsidRPr="00CE503B">
        <w:rPr>
          <w:rFonts w:ascii="Calibri" w:cs="Calibri"/>
          <w:i/>
          <w:iCs/>
        </w:rPr>
        <w:t>49</w:t>
      </w:r>
      <w:r w:rsidRPr="00CE503B">
        <w:rPr>
          <w:rFonts w:ascii="Calibri" w:cs="Calibri"/>
        </w:rPr>
        <w:t>(3), 103922. https://doi.org/10.1016/j.respol.2020.103922</w:t>
      </w:r>
    </w:p>
    <w:p w14:paraId="2E48E94F" w14:textId="77777777" w:rsidR="00CE503B" w:rsidRPr="00CE503B" w:rsidRDefault="00CE503B" w:rsidP="00CE503B">
      <w:pPr>
        <w:pStyle w:val="Bibliography"/>
        <w:rPr>
          <w:rFonts w:ascii="Calibri" w:cs="Calibri"/>
        </w:rPr>
      </w:pPr>
      <w:r w:rsidRPr="00CE503B">
        <w:rPr>
          <w:rFonts w:ascii="Calibri" w:cs="Calibri"/>
        </w:rPr>
        <w:t xml:space="preserve">Ranaei, S., Suominen, A., Porter, A., &amp; Carley, S. (2019). Evaluating technological emergence using text analytics: Two case technologies and three approaches. </w:t>
      </w:r>
      <w:r w:rsidRPr="00CE503B">
        <w:rPr>
          <w:rFonts w:ascii="Calibri" w:cs="Calibri"/>
          <w:i/>
          <w:iCs/>
        </w:rPr>
        <w:t>Scientometrics</w:t>
      </w:r>
      <w:r w:rsidRPr="00CE503B">
        <w:rPr>
          <w:rFonts w:ascii="Calibri" w:cs="Calibri"/>
        </w:rPr>
        <w:t>. https://doi.org/10.1007/s11192-019-03275-w</w:t>
      </w:r>
    </w:p>
    <w:p w14:paraId="3E2B58E9" w14:textId="77777777" w:rsidR="00CE503B" w:rsidRPr="00CE503B" w:rsidRDefault="00CE503B" w:rsidP="00CE503B">
      <w:pPr>
        <w:pStyle w:val="Bibliography"/>
        <w:rPr>
          <w:rFonts w:ascii="Calibri" w:cs="Calibri"/>
        </w:rPr>
      </w:pPr>
      <w:r w:rsidRPr="00CE503B">
        <w:rPr>
          <w:rFonts w:ascii="Calibri" w:cs="Calibri"/>
        </w:rPr>
        <w:lastRenderedPageBreak/>
        <w:t xml:space="preserve">Satish, S., Yao, Z., Drozdov, A., &amp; Veytsman, B. (2020). The impact of preprint servers in the formation of novel ideas. </w:t>
      </w:r>
      <w:r w:rsidRPr="00CE503B">
        <w:rPr>
          <w:rFonts w:ascii="Calibri" w:cs="Calibri"/>
          <w:i/>
          <w:iCs/>
        </w:rPr>
        <w:t>BioRxiv</w:t>
      </w:r>
      <w:r w:rsidRPr="00CE503B">
        <w:rPr>
          <w:rFonts w:ascii="Calibri" w:cs="Calibri"/>
        </w:rPr>
        <w:t>, 2020.10.08.330696. https://doi.org/10.1101/2020.10.08.330696</w:t>
      </w:r>
    </w:p>
    <w:p w14:paraId="1FFEBAFD" w14:textId="77777777" w:rsidR="00CE503B" w:rsidRPr="00CE503B" w:rsidRDefault="00CE503B" w:rsidP="00CE503B">
      <w:pPr>
        <w:pStyle w:val="Bibliography"/>
        <w:rPr>
          <w:rFonts w:ascii="Calibri" w:cs="Calibri"/>
        </w:rPr>
      </w:pPr>
      <w:r w:rsidRPr="00CE503B">
        <w:rPr>
          <w:rFonts w:ascii="Calibri" w:cs="Calibri"/>
        </w:rPr>
        <w:t xml:space="preserve">Stek, P. E., &amp; van Geenhuizen, M. S. (2016). The influence of international research interaction on national innovation performance: A bibliometric approach. </w:t>
      </w:r>
      <w:r w:rsidRPr="00CE503B">
        <w:rPr>
          <w:rFonts w:ascii="Calibri" w:cs="Calibri"/>
          <w:i/>
          <w:iCs/>
        </w:rPr>
        <w:t>Technological Forecasting and Social Change</w:t>
      </w:r>
      <w:r w:rsidRPr="00CE503B">
        <w:rPr>
          <w:rFonts w:ascii="Calibri" w:cs="Calibri"/>
        </w:rPr>
        <w:t xml:space="preserve">, </w:t>
      </w:r>
      <w:r w:rsidRPr="00CE503B">
        <w:rPr>
          <w:rFonts w:ascii="Calibri" w:cs="Calibri"/>
          <w:i/>
          <w:iCs/>
        </w:rPr>
        <w:t>110</w:t>
      </w:r>
      <w:r w:rsidRPr="00CE503B">
        <w:rPr>
          <w:rFonts w:ascii="Calibri" w:cs="Calibri"/>
        </w:rPr>
        <w:t>, 61–70. https://doi.org/10.1016/j.techfore.2015.09.017</w:t>
      </w:r>
    </w:p>
    <w:p w14:paraId="0A58354F" w14:textId="77777777" w:rsidR="00CE503B" w:rsidRPr="00CE503B" w:rsidRDefault="00CE503B" w:rsidP="00CE503B">
      <w:pPr>
        <w:pStyle w:val="Bibliography"/>
        <w:rPr>
          <w:rFonts w:ascii="Calibri" w:cs="Calibri"/>
        </w:rPr>
      </w:pPr>
      <w:r w:rsidRPr="00CE503B">
        <w:rPr>
          <w:rFonts w:ascii="Calibri" w:cs="Calibri"/>
        </w:rPr>
        <w:t xml:space="preserve">Surana, K., Doblinger, C., Anadon, L. D., &amp; Hultman, N. (2020). Effects of technology complexity on the emergence and evolution of wind industry manufacturing locations along global value chains. </w:t>
      </w:r>
      <w:r w:rsidRPr="00CE503B">
        <w:rPr>
          <w:rFonts w:ascii="Calibri" w:cs="Calibri"/>
          <w:i/>
          <w:iCs/>
        </w:rPr>
        <w:t>Nature Energy</w:t>
      </w:r>
      <w:r w:rsidRPr="00CE503B">
        <w:rPr>
          <w:rFonts w:ascii="Calibri" w:cs="Calibri"/>
        </w:rPr>
        <w:t>, 1–11. https://doi.org/10.1038/s41560-020-00685-6</w:t>
      </w:r>
    </w:p>
    <w:p w14:paraId="7501D06B" w14:textId="77777777" w:rsidR="00CE503B" w:rsidRPr="00CE503B" w:rsidRDefault="00CE503B" w:rsidP="00CE503B">
      <w:pPr>
        <w:pStyle w:val="Bibliography"/>
        <w:rPr>
          <w:rFonts w:ascii="Calibri" w:cs="Calibri"/>
        </w:rPr>
      </w:pPr>
      <w:r w:rsidRPr="00CE503B">
        <w:rPr>
          <w:rFonts w:ascii="Calibri" w:cs="Calibri"/>
        </w:rPr>
        <w:t xml:space="preserve">Talley, E. M., Newman, D., Mimno, D., Herr, B. W., Wallach, H. M., Burns, G. A. P. C., Leenders, A. G. M., &amp; McCallum, A. (2011). Database of NIH grants using machine-learned categories and graphical clustering. </w:t>
      </w:r>
      <w:r w:rsidRPr="00CE503B">
        <w:rPr>
          <w:rFonts w:ascii="Calibri" w:cs="Calibri"/>
          <w:i/>
          <w:iCs/>
        </w:rPr>
        <w:t>Nature Methods</w:t>
      </w:r>
      <w:r w:rsidRPr="00CE503B">
        <w:rPr>
          <w:rFonts w:ascii="Calibri" w:cs="Calibri"/>
        </w:rPr>
        <w:t xml:space="preserve">, </w:t>
      </w:r>
      <w:r w:rsidRPr="00CE503B">
        <w:rPr>
          <w:rFonts w:ascii="Calibri" w:cs="Calibri"/>
          <w:i/>
          <w:iCs/>
        </w:rPr>
        <w:t>8</w:t>
      </w:r>
      <w:r w:rsidRPr="00CE503B">
        <w:rPr>
          <w:rFonts w:ascii="Calibri" w:cs="Calibri"/>
        </w:rPr>
        <w:t>(6), 443–444. https://doi.org/10.1038/nmeth.1619</w:t>
      </w:r>
    </w:p>
    <w:p w14:paraId="61A585F7" w14:textId="77777777" w:rsidR="00CE503B" w:rsidRPr="00CE503B" w:rsidRDefault="00CE503B" w:rsidP="00CE503B">
      <w:pPr>
        <w:pStyle w:val="Bibliography"/>
        <w:rPr>
          <w:rFonts w:ascii="Calibri" w:cs="Calibri"/>
        </w:rPr>
      </w:pPr>
      <w:r w:rsidRPr="00CE503B">
        <w:rPr>
          <w:rFonts w:ascii="Calibri" w:cs="Calibri"/>
        </w:rPr>
        <w:t xml:space="preserve">Verbeek, A., Debackere, K., &amp; Luwel, M. (2004). Science cited in patents: A geographic “flow” analysis of bibliographic citation patterns in patents. </w:t>
      </w:r>
      <w:r w:rsidRPr="00CE503B">
        <w:rPr>
          <w:rFonts w:ascii="Calibri" w:cs="Calibri"/>
          <w:i/>
          <w:iCs/>
        </w:rPr>
        <w:t>Scientometrics</w:t>
      </w:r>
      <w:r w:rsidRPr="00CE503B">
        <w:rPr>
          <w:rFonts w:ascii="Calibri" w:cs="Calibri"/>
        </w:rPr>
        <w:t xml:space="preserve">, </w:t>
      </w:r>
      <w:r w:rsidRPr="00CE503B">
        <w:rPr>
          <w:rFonts w:ascii="Calibri" w:cs="Calibri"/>
          <w:i/>
          <w:iCs/>
        </w:rPr>
        <w:t>58</w:t>
      </w:r>
      <w:r w:rsidRPr="00CE503B">
        <w:rPr>
          <w:rFonts w:ascii="Calibri" w:cs="Calibri"/>
        </w:rPr>
        <w:t>(2), 241–263. https://doi.org/10.1023/a:1026232526034</w:t>
      </w:r>
    </w:p>
    <w:p w14:paraId="2611408E" w14:textId="77777777" w:rsidR="00CE503B" w:rsidRPr="00CE503B" w:rsidRDefault="00CE503B" w:rsidP="00CE503B">
      <w:pPr>
        <w:pStyle w:val="Bibliography"/>
        <w:rPr>
          <w:rFonts w:ascii="Calibri" w:cs="Calibri"/>
        </w:rPr>
      </w:pPr>
      <w:r w:rsidRPr="00CE503B">
        <w:rPr>
          <w:rFonts w:ascii="Calibri" w:cs="Calibri"/>
        </w:rPr>
        <w:t xml:space="preserve">Vieira, E. S., &amp; Gomes, J. A. N. F. (2009). A comparison of Scopus and Web of Science for a typical university. </w:t>
      </w:r>
      <w:r w:rsidRPr="00CE503B">
        <w:rPr>
          <w:rFonts w:ascii="Calibri" w:cs="Calibri"/>
          <w:i/>
          <w:iCs/>
        </w:rPr>
        <w:t>Scientometrics</w:t>
      </w:r>
      <w:r w:rsidRPr="00CE503B">
        <w:rPr>
          <w:rFonts w:ascii="Calibri" w:cs="Calibri"/>
        </w:rPr>
        <w:t xml:space="preserve">, </w:t>
      </w:r>
      <w:r w:rsidRPr="00CE503B">
        <w:rPr>
          <w:rFonts w:ascii="Calibri" w:cs="Calibri"/>
          <w:i/>
          <w:iCs/>
        </w:rPr>
        <w:t>81</w:t>
      </w:r>
      <w:r w:rsidRPr="00CE503B">
        <w:rPr>
          <w:rFonts w:ascii="Calibri" w:cs="Calibri"/>
        </w:rPr>
        <w:t>(2), 587–600. https://doi.org/10.1007/s11192-009-2178-0</w:t>
      </w:r>
    </w:p>
    <w:p w14:paraId="7EE649AB" w14:textId="77777777" w:rsidR="00CE503B" w:rsidRPr="00CE503B" w:rsidRDefault="00CE503B" w:rsidP="00CE503B">
      <w:pPr>
        <w:pStyle w:val="Bibliography"/>
        <w:rPr>
          <w:rFonts w:ascii="Calibri" w:cs="Calibri"/>
        </w:rPr>
      </w:pPr>
      <w:r w:rsidRPr="00CE503B">
        <w:rPr>
          <w:rFonts w:ascii="Calibri" w:cs="Calibri"/>
        </w:rPr>
        <w:t xml:space="preserve">Wallsten, S. J. (2001). An empirical test of geographic knowledge spillovers using geographic information systems and firm-level data. </w:t>
      </w:r>
      <w:r w:rsidRPr="00CE503B">
        <w:rPr>
          <w:rFonts w:ascii="Calibri" w:cs="Calibri"/>
          <w:i/>
          <w:iCs/>
        </w:rPr>
        <w:t>Regional Science and Urban Economics</w:t>
      </w:r>
      <w:r w:rsidRPr="00CE503B">
        <w:rPr>
          <w:rFonts w:ascii="Calibri" w:cs="Calibri"/>
        </w:rPr>
        <w:t xml:space="preserve">, </w:t>
      </w:r>
      <w:r w:rsidRPr="00CE503B">
        <w:rPr>
          <w:rFonts w:ascii="Calibri" w:cs="Calibri"/>
          <w:i/>
          <w:iCs/>
        </w:rPr>
        <w:t>31</w:t>
      </w:r>
      <w:r w:rsidRPr="00CE503B">
        <w:rPr>
          <w:rFonts w:ascii="Calibri" w:cs="Calibri"/>
        </w:rPr>
        <w:t>(5), 571–599. https://doi.org/10.1016/S0166-0462(00)00074-0</w:t>
      </w:r>
    </w:p>
    <w:p w14:paraId="63A52D44" w14:textId="77777777" w:rsidR="00CE503B" w:rsidRPr="00CE503B" w:rsidRDefault="00CE503B" w:rsidP="00CE503B">
      <w:pPr>
        <w:pStyle w:val="Bibliography"/>
        <w:rPr>
          <w:rFonts w:ascii="Calibri" w:cs="Calibri"/>
        </w:rPr>
      </w:pPr>
      <w:r w:rsidRPr="00CE503B">
        <w:rPr>
          <w:rFonts w:ascii="Calibri" w:cs="Calibri"/>
        </w:rPr>
        <w:lastRenderedPageBreak/>
        <w:t xml:space="preserve">Wouden, F. van der, &amp; Rigby, D. L. (2020). Inventor mobility and productivity: A long-run perspective. </w:t>
      </w:r>
      <w:r w:rsidRPr="00CE503B">
        <w:rPr>
          <w:rFonts w:ascii="Calibri" w:cs="Calibri"/>
          <w:i/>
          <w:iCs/>
        </w:rPr>
        <w:t>Industry and Innovation</w:t>
      </w:r>
      <w:r w:rsidRPr="00CE503B">
        <w:rPr>
          <w:rFonts w:ascii="Calibri" w:cs="Calibri"/>
        </w:rPr>
        <w:t xml:space="preserve">, </w:t>
      </w:r>
      <w:r w:rsidRPr="00CE503B">
        <w:rPr>
          <w:rFonts w:ascii="Calibri" w:cs="Calibri"/>
          <w:i/>
          <w:iCs/>
        </w:rPr>
        <w:t>0</w:t>
      </w:r>
      <w:r w:rsidRPr="00CE503B">
        <w:rPr>
          <w:rFonts w:ascii="Calibri" w:cs="Calibri"/>
        </w:rPr>
        <w:t>(0), 1–27. https://doi.org/10.1080/13662716.2020.1789451</w:t>
      </w:r>
    </w:p>
    <w:p w14:paraId="52C66531" w14:textId="77777777" w:rsidR="00CE503B" w:rsidRPr="00CE503B" w:rsidRDefault="00CE503B" w:rsidP="00CE503B">
      <w:pPr>
        <w:pStyle w:val="Bibliography"/>
        <w:rPr>
          <w:rFonts w:ascii="Calibri" w:cs="Calibri"/>
        </w:rPr>
      </w:pPr>
      <w:r w:rsidRPr="00CE503B">
        <w:rPr>
          <w:rFonts w:ascii="Calibri" w:cs="Calibri"/>
        </w:rPr>
        <w:t xml:space="preserve">Yin, Y., Dong, Y., Wang, K., Wang, D., &amp; Jones, B. F. (2020, September 17). Quantifying uses of science beyond science. </w:t>
      </w:r>
      <w:r w:rsidRPr="00CE503B">
        <w:rPr>
          <w:rFonts w:ascii="Calibri" w:cs="Calibri"/>
          <w:i/>
          <w:iCs/>
        </w:rPr>
        <w:t>The 7th Satellite on Quantifying Success</w:t>
      </w:r>
      <w:r w:rsidRPr="00CE503B">
        <w:rPr>
          <w:rFonts w:ascii="Calibri" w:cs="Calibri"/>
        </w:rPr>
        <w:t>. NetSci 2020.</w:t>
      </w:r>
    </w:p>
    <w:p w14:paraId="2024DA53" w14:textId="77777777" w:rsidR="00CE503B" w:rsidRPr="00CE503B" w:rsidRDefault="00CE503B" w:rsidP="00CE503B">
      <w:pPr>
        <w:pStyle w:val="Bibliography"/>
        <w:rPr>
          <w:rFonts w:ascii="Calibri" w:cs="Calibri"/>
        </w:rPr>
      </w:pPr>
      <w:r w:rsidRPr="00CE503B">
        <w:rPr>
          <w:rFonts w:ascii="Calibri" w:cs="Calibri"/>
        </w:rPr>
        <w:t xml:space="preserve">Zhang, Y., Zhang, G., Chen, H., Porter, A. L., Zhu, D., &amp; Lu, J. (2016). Topic analysis and forecasting for science, technology and innovation: Methodology with a case study focusing on big data research. </w:t>
      </w:r>
      <w:r w:rsidRPr="00CE503B">
        <w:rPr>
          <w:rFonts w:ascii="Calibri" w:cs="Calibri"/>
          <w:i/>
          <w:iCs/>
        </w:rPr>
        <w:t>Technological Forecasting and Social Change</w:t>
      </w:r>
      <w:r w:rsidRPr="00CE503B">
        <w:rPr>
          <w:rFonts w:ascii="Calibri" w:cs="Calibri"/>
        </w:rPr>
        <w:t xml:space="preserve">, </w:t>
      </w:r>
      <w:r w:rsidRPr="00CE503B">
        <w:rPr>
          <w:rFonts w:ascii="Calibri" w:cs="Calibri"/>
          <w:i/>
          <w:iCs/>
        </w:rPr>
        <w:t>105</w:t>
      </w:r>
      <w:r w:rsidRPr="00CE503B">
        <w:rPr>
          <w:rFonts w:ascii="Calibri" w:cs="Calibri"/>
        </w:rPr>
        <w:t>, 179–191. https://doi.org/10.1016/j.techfore.2016.01.015</w:t>
      </w:r>
    </w:p>
    <w:p w14:paraId="5AFF1FBD" w14:textId="58C7191E" w:rsidR="0005141D" w:rsidRPr="001929E0" w:rsidRDefault="0005141D" w:rsidP="0005141D">
      <w:pPr>
        <w:autoSpaceDE w:val="0"/>
        <w:autoSpaceDN w:val="0"/>
        <w:adjustRightInd w:val="0"/>
        <w:rPr>
          <w:rFonts w:ascii="Acumin Pro Light" w:hAnsi="Acumin Pro Light" w:cs="Acumin Pro Medium"/>
          <w:b/>
          <w:bCs/>
          <w:color w:val="000000"/>
          <w:u w:color="0000E9"/>
        </w:rPr>
      </w:pPr>
      <w:r>
        <w:rPr>
          <w:rFonts w:ascii="Acumin Pro Light" w:hAnsi="Acumin Pro Light" w:cs="Acumin Pro Medium"/>
          <w:b/>
          <w:bCs/>
          <w:color w:val="000000"/>
          <w:u w:color="0000E9"/>
        </w:rPr>
        <w:fldChar w:fldCharType="end"/>
      </w:r>
    </w:p>
    <w:sectPr w:rsidR="0005141D" w:rsidRPr="001929E0" w:rsidSect="0040508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eth  Schimmel" w:date="2021-01-04T16:55:00Z" w:initials="SS">
    <w:p w14:paraId="3D860242" w14:textId="434EF390" w:rsidR="00057896" w:rsidRDefault="00057896">
      <w:pPr>
        <w:pStyle w:val="CommentText"/>
      </w:pPr>
      <w:r>
        <w:rPr>
          <w:rStyle w:val="CommentReference"/>
        </w:rPr>
        <w:annotationRef/>
      </w:r>
      <w:r w:rsidR="008E3607">
        <w:t>Leaning in to the linked-data</w:t>
      </w:r>
      <w:r>
        <w:t xml:space="preserve"> dimension of this tool can help toward an end like this – which </w:t>
      </w:r>
      <w:r w:rsidR="008E3607">
        <w:t>technologies/</w:t>
      </w:r>
      <w:r>
        <w:t>terms/literatures are emerging where</w:t>
      </w:r>
      <w:r w:rsidR="008E3607">
        <w:t>, and which subject headings from major vocabularies are popping up in grants?</w:t>
      </w:r>
    </w:p>
  </w:comment>
  <w:comment w:id="1" w:author="Seth  Schimmel" w:date="2021-01-04T16:52:00Z" w:initials="SS">
    <w:p w14:paraId="20C0DD87" w14:textId="2D57260C" w:rsidR="00DC3054" w:rsidRDefault="00DC3054">
      <w:pPr>
        <w:pStyle w:val="CommentText"/>
      </w:pPr>
      <w:r>
        <w:rPr>
          <w:rStyle w:val="CommentReference"/>
        </w:rPr>
        <w:annotationRef/>
      </w:r>
      <w:r>
        <w:t>Expand with early 2000s take on how spillover research could be misleading to S&amp;T/innovation policy (</w:t>
      </w:r>
      <w:proofErr w:type="spellStart"/>
      <w:r>
        <w:t>Breschi</w:t>
      </w:r>
      <w:proofErr w:type="spellEnd"/>
      <w:r>
        <w:t>, 2001) etc.</w:t>
      </w:r>
    </w:p>
  </w:comment>
  <w:comment w:id="2" w:author="Seth  Schimmel" w:date="2021-01-04T17:48:00Z" w:initials="SS">
    <w:p w14:paraId="0874E470" w14:textId="77777777" w:rsidR="00CA52E1" w:rsidRDefault="00CA52E1">
      <w:pPr>
        <w:pStyle w:val="CommentText"/>
      </w:pPr>
      <w:r>
        <w:rPr>
          <w:rStyle w:val="CommentReference"/>
        </w:rPr>
        <w:annotationRef/>
      </w:r>
      <w:r>
        <w:t xml:space="preserve">I realized late that the SBIR program is an initiative participated in by more agencies than just NSF.  I can get data for all SBIR related awards from </w:t>
      </w:r>
      <w:proofErr w:type="spellStart"/>
      <w:r>
        <w:t>SBIR.gov’s</w:t>
      </w:r>
      <w:proofErr w:type="spellEnd"/>
      <w:r>
        <w:t xml:space="preserve"> API, while losing some of the details about NSF.    Perhaps I can switch and be able to paint a broader picture of innovation funding…or, staying put with NSF would allow me to ask intra-agency level questions, though.</w:t>
      </w:r>
    </w:p>
    <w:p w14:paraId="1BDFAC68" w14:textId="77777777" w:rsidR="00CA52E1" w:rsidRDefault="00CA52E1">
      <w:pPr>
        <w:pStyle w:val="CommentText"/>
      </w:pPr>
    </w:p>
    <w:p w14:paraId="72810131" w14:textId="77777777" w:rsidR="00CA52E1" w:rsidRDefault="00CA52E1">
      <w:pPr>
        <w:pStyle w:val="CommentText"/>
      </w:pPr>
      <w:r w:rsidRPr="00CA52E1">
        <w:rPr>
          <w:u w:val="single"/>
        </w:rPr>
        <w:t>Pro</w:t>
      </w:r>
      <w:r>
        <w:rPr>
          <w:u w:val="single"/>
        </w:rPr>
        <w:t xml:space="preserve"> of switching</w:t>
      </w:r>
      <w:r>
        <w:t>: Broader data, SBIR.gov includes keywords already (can compare it to the techniques I’m using as a section of the work)</w:t>
      </w:r>
    </w:p>
    <w:p w14:paraId="52747F77" w14:textId="50C34034" w:rsidR="00CA52E1" w:rsidRPr="00CA52E1" w:rsidRDefault="00CA52E1">
      <w:pPr>
        <w:pStyle w:val="CommentText"/>
      </w:pPr>
      <w:r>
        <w:rPr>
          <w:u w:val="single"/>
        </w:rPr>
        <w:t>Con:</w:t>
      </w:r>
      <w:r>
        <w:t xml:space="preserve"> </w:t>
      </w:r>
      <w:proofErr w:type="gramStart"/>
      <w:r>
        <w:t>Generally</w:t>
      </w:r>
      <w:proofErr w:type="gramEnd"/>
      <w:r>
        <w:t xml:space="preserve"> lose the granularity of intra-agency details</w:t>
      </w:r>
    </w:p>
  </w:comment>
  <w:comment w:id="3" w:author="Seth  Schimmel" w:date="2021-01-04T17:18:00Z" w:initials="SS">
    <w:p w14:paraId="4A0CE17D" w14:textId="4A83DECB" w:rsidR="004D2173" w:rsidRDefault="004D2173">
      <w:pPr>
        <w:pStyle w:val="CommentText"/>
      </w:pPr>
      <w:r>
        <w:rPr>
          <w:rStyle w:val="CommentReference"/>
        </w:rPr>
        <w:annotationRef/>
      </w:r>
      <w:proofErr w:type="spellStart"/>
      <w:r>
        <w:t>Wallsten</w:t>
      </w:r>
      <w:proofErr w:type="spellEnd"/>
      <w:r>
        <w:t xml:space="preserve"> is specifically about SBIR-funded firms; need to investigate whether any significant follow up on SBIR specifically followed that paper by </w:t>
      </w:r>
      <w:proofErr w:type="spellStart"/>
      <w:r>
        <w:t>Wallsten</w:t>
      </w:r>
      <w:proofErr w:type="spellEnd"/>
      <w:r>
        <w:t xml:space="preserve"> or others, reference in final work</w:t>
      </w:r>
    </w:p>
  </w:comment>
  <w:comment w:id="4" w:author="Seth  Schimmel" w:date="2021-01-04T17:46:00Z" w:initials="SS">
    <w:p w14:paraId="6E172B24" w14:textId="116ADF6E" w:rsidR="002A753F" w:rsidRDefault="002A753F" w:rsidP="002A753F">
      <w:pPr>
        <w:autoSpaceDE w:val="0"/>
        <w:autoSpaceDN w:val="0"/>
        <w:adjustRightInd w:val="0"/>
        <w:rPr>
          <w:rFonts w:ascii="Times New Roman" w:hAnsi="Times New Roman" w:cs="Times New Roman"/>
          <w:sz w:val="20"/>
          <w:szCs w:val="20"/>
        </w:rPr>
      </w:pPr>
      <w:r>
        <w:rPr>
          <w:rStyle w:val="CommentReference"/>
        </w:rPr>
        <w:annotationRef/>
      </w:r>
      <w:r>
        <w:t xml:space="preserve">E.g. </w:t>
      </w:r>
      <w:proofErr w:type="spellStart"/>
      <w:r>
        <w:t>Anselin</w:t>
      </w:r>
      <w:proofErr w:type="spellEnd"/>
      <w:r>
        <w:t>, while also examining how university characteristics affect the innovation profile of a given MSA notes “</w:t>
      </w:r>
      <w:r>
        <w:rPr>
          <w:rFonts w:ascii="Times New Roman" w:hAnsi="Times New Roman" w:cs="Times New Roman"/>
          <w:sz w:val="20"/>
          <w:szCs w:val="20"/>
        </w:rPr>
        <w:t>Specifically, as evidenced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the boundary of the MSA within a 75-mile</w:t>
      </w:r>
    </w:p>
    <w:p w14:paraId="453242DC" w14:textId="0D72F9D6" w:rsidR="002A753F" w:rsidRDefault="002A753F" w:rsidP="002A753F">
      <w:pPr>
        <w:pStyle w:val="CommentText"/>
      </w:pPr>
      <w:r>
        <w:rPr>
          <w:rFonts w:ascii="Times New Roman" w:hAnsi="Times New Roman" w:cs="Times New Roman"/>
        </w:rPr>
        <w:t>range from the central city.”</w:t>
      </w:r>
    </w:p>
  </w:comment>
  <w:comment w:id="5" w:author="Seth  Schimmel" w:date="2020-12-23T17:26:00Z" w:initials="SS">
    <w:p w14:paraId="071DE20E" w14:textId="77777777" w:rsidR="008E3607" w:rsidRPr="008E3607" w:rsidRDefault="00F53CB3">
      <w:pPr>
        <w:pStyle w:val="CommentText"/>
        <w:rPr>
          <w:u w:val="single"/>
        </w:rPr>
      </w:pPr>
      <w:r>
        <w:rPr>
          <w:rStyle w:val="CommentReference"/>
        </w:rPr>
        <w:annotationRef/>
      </w:r>
      <w:r w:rsidR="00057896" w:rsidRPr="008E3607">
        <w:rPr>
          <w:u w:val="single"/>
        </w:rPr>
        <w:t>Capstone</w:t>
      </w:r>
      <w:r w:rsidR="008E3607" w:rsidRPr="008E3607">
        <w:rPr>
          <w:u w:val="single"/>
        </w:rPr>
        <w:t xml:space="preserve"> can be: </w:t>
      </w:r>
    </w:p>
    <w:p w14:paraId="164E2570" w14:textId="4EA4109B" w:rsidR="00F53CB3" w:rsidRDefault="00057896">
      <w:pPr>
        <w:pStyle w:val="CommentText"/>
      </w:pPr>
      <w:r>
        <w:t>some characteristic analysis</w:t>
      </w:r>
      <w:r w:rsidR="00F53CB3">
        <w:t xml:space="preserve"> by me</w:t>
      </w:r>
    </w:p>
    <w:p w14:paraId="30E0D367" w14:textId="0665BD25" w:rsidR="00F53CB3" w:rsidRDefault="00057896">
      <w:pPr>
        <w:pStyle w:val="CommentText"/>
      </w:pPr>
      <w:r>
        <w:t>+</w:t>
      </w:r>
    </w:p>
    <w:p w14:paraId="3CAB44DE" w14:textId="2D32A9DC" w:rsidR="00F53CB3" w:rsidRDefault="00F53CB3">
      <w:pPr>
        <w:pStyle w:val="CommentText"/>
      </w:pPr>
      <w:r>
        <w:t>Exploration / foregrounding is a curatorial practice, reflective of my reading of a literature and understanding of the major sources of data/information relevant to those also interested in that field</w:t>
      </w:r>
      <w:r w:rsidR="00057896">
        <w:t>, with the intent of opening up other avenues for related questions/information retrieval for others</w:t>
      </w:r>
    </w:p>
  </w:comment>
  <w:comment w:id="6" w:author="Seth  Schimmel" w:date="2020-12-23T17:13:00Z" w:initials="SS">
    <w:p w14:paraId="4E39384F" w14:textId="42EEA62E" w:rsidR="00CA52E1" w:rsidRPr="00CA52E1" w:rsidRDefault="00487027" w:rsidP="00487027">
      <w:pPr>
        <w:pStyle w:val="Heading2"/>
        <w:shd w:val="clear" w:color="auto" w:fill="FFFFFF"/>
        <w:rPr>
          <w:b w:val="0"/>
          <w:bCs w:val="0"/>
        </w:rPr>
      </w:pPr>
      <w:r>
        <w:rPr>
          <w:rStyle w:val="CommentReference"/>
        </w:rPr>
        <w:annotationRef/>
      </w:r>
      <w:r w:rsidR="00CA52E1">
        <w:rPr>
          <w:b w:val="0"/>
          <w:bCs w:val="0"/>
        </w:rPr>
        <w:t>Could use an existing robust language model to perform word-similarity on award keywords + basic S&amp;T related areas and query the API with related policies at the state-level….</w:t>
      </w:r>
    </w:p>
    <w:p w14:paraId="1080F0A9" w14:textId="77777777" w:rsidR="00CA52E1" w:rsidRDefault="00CA52E1" w:rsidP="00487027">
      <w:pPr>
        <w:pStyle w:val="Heading2"/>
        <w:shd w:val="clear" w:color="auto" w:fill="FFFFFF"/>
      </w:pPr>
    </w:p>
    <w:p w14:paraId="51ED4A97" w14:textId="77777777" w:rsidR="00CA52E1" w:rsidRDefault="00CA52E1" w:rsidP="00487027">
      <w:pPr>
        <w:pStyle w:val="Heading2"/>
        <w:shd w:val="clear" w:color="auto" w:fill="FFFFFF"/>
      </w:pPr>
    </w:p>
    <w:p w14:paraId="13362081" w14:textId="3D9D2DA8" w:rsidR="00487027" w:rsidRPr="00487027" w:rsidRDefault="00487027" w:rsidP="00487027">
      <w:pPr>
        <w:pStyle w:val="Heading2"/>
        <w:shd w:val="clear" w:color="auto" w:fill="FFFFFF"/>
        <w:rPr>
          <w:rFonts w:ascii="Source Sans Pro" w:hAnsi="Source Sans Pro"/>
          <w:color w:val="222222"/>
        </w:rPr>
      </w:pPr>
      <w:r w:rsidRPr="00CA52E1">
        <w:rPr>
          <w:b w:val="0"/>
          <w:bCs w:val="0"/>
          <w:u w:val="single"/>
        </w:rPr>
        <w:t>Example</w:t>
      </w:r>
      <w:r w:rsidR="00CA52E1" w:rsidRPr="00CA52E1">
        <w:rPr>
          <w:b w:val="0"/>
          <w:bCs w:val="0"/>
          <w:u w:val="single"/>
        </w:rPr>
        <w:t xml:space="preserve"> of subject areas included in database:</w:t>
      </w:r>
      <w:r>
        <w:t xml:space="preserve"> </w:t>
      </w:r>
      <w:r w:rsidRPr="00CA52E1">
        <w:rPr>
          <w:rFonts w:ascii="Source Sans Pro" w:hAnsi="Source Sans Pro"/>
          <w:b w:val="0"/>
          <w:bCs w:val="0"/>
          <w:color w:val="222222"/>
        </w:rPr>
        <w:t>Patents, Science, Technology, Telecommunications, Telecommunications companies, Telecommunications infrastructure, Telecommunications services, Telecommuting</w:t>
      </w:r>
    </w:p>
    <w:p w14:paraId="50977490" w14:textId="1E89AE43" w:rsidR="00487027" w:rsidRDefault="00487027">
      <w:pPr>
        <w:pStyle w:val="CommentText"/>
      </w:pPr>
    </w:p>
  </w:comment>
  <w:comment w:id="7" w:author="Seth  Schimmel" w:date="2021-01-04T17:55:00Z" w:initials="SS">
    <w:p w14:paraId="2F06D2DF" w14:textId="351A5A86" w:rsidR="00B0412F" w:rsidRDefault="00B0412F" w:rsidP="00B0412F">
      <w:r>
        <w:rPr>
          <w:rStyle w:val="CommentReference"/>
        </w:rPr>
        <w:annotationRef/>
      </w:r>
      <w:r>
        <w:t xml:space="preserve">Could ask a career / mobility question… do PIs of (NSF) grant funded research tend to move around or remain stationary more or less than PIs of </w:t>
      </w:r>
      <w:proofErr w:type="gramStart"/>
      <w:r>
        <w:t>non(</w:t>
      </w:r>
      <w:proofErr w:type="gramEnd"/>
      <w:r>
        <w:t>NSF)-funded research?</w:t>
      </w:r>
    </w:p>
    <w:p w14:paraId="4F42A450" w14:textId="33D48BDB" w:rsidR="00B0412F" w:rsidRDefault="00B0412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860242" w15:done="0"/>
  <w15:commentEx w15:paraId="20C0DD87" w15:done="0"/>
  <w15:commentEx w15:paraId="52747F77" w15:done="0"/>
  <w15:commentEx w15:paraId="4A0CE17D" w15:done="0"/>
  <w15:commentEx w15:paraId="453242DC" w15:done="0"/>
  <w15:commentEx w15:paraId="3CAB44DE" w15:done="0"/>
  <w15:commentEx w15:paraId="50977490" w15:done="0"/>
  <w15:commentEx w15:paraId="4F42A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DC70D" w16cex:dateUtc="2021-01-04T21:55:00Z"/>
  <w16cex:commentExtensible w16cex:durableId="239DC64E" w16cex:dateUtc="2021-01-04T21:52:00Z"/>
  <w16cex:commentExtensible w16cex:durableId="239DD377" w16cex:dateUtc="2021-01-04T22:48:00Z"/>
  <w16cex:commentExtensible w16cex:durableId="239DCC63" w16cex:dateUtc="2021-01-04T22:18:00Z"/>
  <w16cex:commentExtensible w16cex:durableId="239DD2D9" w16cex:dateUtc="2021-01-04T22:46:00Z"/>
  <w16cex:commentExtensible w16cex:durableId="238DFC39" w16cex:dateUtc="2020-12-23T22:26:00Z"/>
  <w16cex:commentExtensible w16cex:durableId="238DF926" w16cex:dateUtc="2020-12-23T22:13:00Z"/>
  <w16cex:commentExtensible w16cex:durableId="239DD52E" w16cex:dateUtc="2021-01-04T2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860242" w16cid:durableId="239DC70D"/>
  <w16cid:commentId w16cid:paraId="20C0DD87" w16cid:durableId="239DC64E"/>
  <w16cid:commentId w16cid:paraId="52747F77" w16cid:durableId="239DD377"/>
  <w16cid:commentId w16cid:paraId="4A0CE17D" w16cid:durableId="239DCC63"/>
  <w16cid:commentId w16cid:paraId="453242DC" w16cid:durableId="239DD2D9"/>
  <w16cid:commentId w16cid:paraId="3CAB44DE" w16cid:durableId="238DFC39"/>
  <w16cid:commentId w16cid:paraId="50977490" w16cid:durableId="238DF926"/>
  <w16cid:commentId w16cid:paraId="4F42A450" w16cid:durableId="239DD5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C806A" w14:textId="77777777" w:rsidR="00F923F3" w:rsidRDefault="00F923F3" w:rsidP="00A90B28">
      <w:r>
        <w:separator/>
      </w:r>
    </w:p>
  </w:endnote>
  <w:endnote w:type="continuationSeparator" w:id="0">
    <w:p w14:paraId="0FE43962" w14:textId="77777777" w:rsidR="00F923F3" w:rsidRDefault="00F923F3" w:rsidP="00A90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cumin Pro Light">
    <w:altName w:val="Calibri"/>
    <w:panose1 w:val="020B0404020202020204"/>
    <w:charset w:val="4D"/>
    <w:family w:val="swiss"/>
    <w:notTrueType/>
    <w:pitch w:val="variable"/>
    <w:sig w:usb0="20000007" w:usb1="00000001" w:usb2="00000000" w:usb3="00000000" w:csb0="00000193"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Acumin Pro Medium">
    <w:altName w:val="Calibri"/>
    <w:panose1 w:val="020B0604020202020204"/>
    <w:charset w:val="4D"/>
    <w:family w:val="swiss"/>
    <w:notTrueType/>
    <w:pitch w:val="variable"/>
    <w:sig w:usb0="20000007" w:usb1="00000001" w:usb2="00000000" w:usb3="00000000" w:csb0="00000193" w:csb1="00000000"/>
  </w:font>
  <w:font w:name="Acumin Pro Semibold">
    <w:altName w:val="Calibri"/>
    <w:panose1 w:val="020B0704020202020204"/>
    <w:charset w:val="4D"/>
    <w:family w:val="swiss"/>
    <w:notTrueType/>
    <w:pitch w:val="variable"/>
    <w:sig w:usb0="20000007" w:usb1="00000001" w:usb2="00000000" w:usb3="00000000" w:csb0="00000193" w:csb1="00000000"/>
  </w:font>
  <w:font w:name="Avenir Next LT Pro Light">
    <w:panose1 w:val="020B0304020202020204"/>
    <w:charset w:val="4D"/>
    <w:family w:val="swiss"/>
    <w:pitch w:val="variable"/>
    <w:sig w:usb0="A00000EF" w:usb1="5000204B" w:usb2="00000000" w:usb3="00000000" w:csb0="00000093"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8249838"/>
      <w:docPartObj>
        <w:docPartGallery w:val="Page Numbers (Bottom of Page)"/>
        <w:docPartUnique/>
      </w:docPartObj>
    </w:sdtPr>
    <w:sdtEndPr>
      <w:rPr>
        <w:rStyle w:val="PageNumber"/>
      </w:rPr>
    </w:sdtEndPr>
    <w:sdtContent>
      <w:p w14:paraId="3589763D" w14:textId="419C4245" w:rsidR="00A90B28" w:rsidRDefault="00A90B28" w:rsidP="00075C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B900A1" w14:textId="77777777" w:rsidR="00A90B28" w:rsidRDefault="00A90B28" w:rsidP="00A90B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Acumin Pro Medium" w:hAnsi="Acumin Pro Medium"/>
      </w:rPr>
      <w:id w:val="285164032"/>
      <w:docPartObj>
        <w:docPartGallery w:val="Page Numbers (Bottom of Page)"/>
        <w:docPartUnique/>
      </w:docPartObj>
    </w:sdtPr>
    <w:sdtEndPr>
      <w:rPr>
        <w:rStyle w:val="PageNumber"/>
      </w:rPr>
    </w:sdtEndPr>
    <w:sdtContent>
      <w:p w14:paraId="7B98F292" w14:textId="3F7D7396" w:rsidR="00A90B28" w:rsidRPr="00A90B28" w:rsidRDefault="00A90B28" w:rsidP="00075C07">
        <w:pPr>
          <w:pStyle w:val="Footer"/>
          <w:framePr w:wrap="none" w:vAnchor="text" w:hAnchor="margin" w:xAlign="right" w:y="1"/>
          <w:rPr>
            <w:rStyle w:val="PageNumber"/>
            <w:rFonts w:ascii="Acumin Pro Medium" w:hAnsi="Acumin Pro Medium"/>
          </w:rPr>
        </w:pPr>
        <w:r w:rsidRPr="00A90B28">
          <w:rPr>
            <w:rStyle w:val="PageNumber"/>
            <w:rFonts w:ascii="Acumin Pro Medium" w:hAnsi="Acumin Pro Medium"/>
          </w:rPr>
          <w:fldChar w:fldCharType="begin"/>
        </w:r>
        <w:r w:rsidRPr="00A90B28">
          <w:rPr>
            <w:rStyle w:val="PageNumber"/>
            <w:rFonts w:ascii="Acumin Pro Medium" w:hAnsi="Acumin Pro Medium"/>
          </w:rPr>
          <w:instrText xml:space="preserve"> PAGE </w:instrText>
        </w:r>
        <w:r w:rsidRPr="00A90B28">
          <w:rPr>
            <w:rStyle w:val="PageNumber"/>
            <w:rFonts w:ascii="Acumin Pro Medium" w:hAnsi="Acumin Pro Medium"/>
          </w:rPr>
          <w:fldChar w:fldCharType="separate"/>
        </w:r>
        <w:r w:rsidRPr="00A90B28">
          <w:rPr>
            <w:rStyle w:val="PageNumber"/>
            <w:rFonts w:ascii="Acumin Pro Medium" w:hAnsi="Acumin Pro Medium"/>
            <w:noProof/>
          </w:rPr>
          <w:t>7</w:t>
        </w:r>
        <w:r w:rsidRPr="00A90B28">
          <w:rPr>
            <w:rStyle w:val="PageNumber"/>
            <w:rFonts w:ascii="Acumin Pro Medium" w:hAnsi="Acumin Pro Medium"/>
          </w:rPr>
          <w:fldChar w:fldCharType="end"/>
        </w:r>
      </w:p>
    </w:sdtContent>
  </w:sdt>
  <w:p w14:paraId="2395C2DF" w14:textId="77777777" w:rsidR="00A90B28" w:rsidRPr="00A90B28" w:rsidRDefault="00A90B28" w:rsidP="00A90B28">
    <w:pPr>
      <w:pStyle w:val="Footer"/>
      <w:ind w:right="360"/>
      <w:jc w:val="right"/>
      <w:rPr>
        <w:rFonts w:ascii="Acumin Pro Semibold" w:hAnsi="Acumin Pro Semibold"/>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CBE88" w14:textId="77777777" w:rsidR="00F923F3" w:rsidRDefault="00F923F3" w:rsidP="00A90B28">
      <w:r>
        <w:separator/>
      </w:r>
    </w:p>
  </w:footnote>
  <w:footnote w:type="continuationSeparator" w:id="0">
    <w:p w14:paraId="6F3D4855" w14:textId="77777777" w:rsidR="00F923F3" w:rsidRDefault="00F923F3" w:rsidP="00A90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90D9E"/>
    <w:multiLevelType w:val="hybridMultilevel"/>
    <w:tmpl w:val="3C1EAF4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F01D9"/>
    <w:multiLevelType w:val="hybridMultilevel"/>
    <w:tmpl w:val="FE2A453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F3006"/>
    <w:multiLevelType w:val="hybridMultilevel"/>
    <w:tmpl w:val="1C62426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67FEA"/>
    <w:multiLevelType w:val="hybridMultilevel"/>
    <w:tmpl w:val="F508E8B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81C1B"/>
    <w:multiLevelType w:val="hybridMultilevel"/>
    <w:tmpl w:val="C74671F8"/>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01789"/>
    <w:multiLevelType w:val="hybridMultilevel"/>
    <w:tmpl w:val="93489B0A"/>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F3937"/>
    <w:multiLevelType w:val="hybridMultilevel"/>
    <w:tmpl w:val="73DC55F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FB5A6B"/>
    <w:multiLevelType w:val="hybridMultilevel"/>
    <w:tmpl w:val="112E6B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8"/>
  </w:num>
  <w:num w:numId="6">
    <w:abstractNumId w:val="4"/>
  </w:num>
  <w:num w:numId="7">
    <w:abstractNumId w:val="7"/>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th  Schimmel">
    <w15:presenceInfo w15:providerId="AD" w15:userId="S::sschimmel@gradcenter.cuny.edu::45786a2e-ccbb-417b-8a27-bc0a7f9e89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80"/>
    <w:rsid w:val="000253F8"/>
    <w:rsid w:val="0005141D"/>
    <w:rsid w:val="00057896"/>
    <w:rsid w:val="00057A2F"/>
    <w:rsid w:val="00064977"/>
    <w:rsid w:val="000D62EC"/>
    <w:rsid w:val="000E00BF"/>
    <w:rsid w:val="00126392"/>
    <w:rsid w:val="00130014"/>
    <w:rsid w:val="0013350E"/>
    <w:rsid w:val="00141D80"/>
    <w:rsid w:val="00182C61"/>
    <w:rsid w:val="001929E0"/>
    <w:rsid w:val="001B47DC"/>
    <w:rsid w:val="001E0111"/>
    <w:rsid w:val="0021390C"/>
    <w:rsid w:val="00244F73"/>
    <w:rsid w:val="00251EEE"/>
    <w:rsid w:val="002A753F"/>
    <w:rsid w:val="002B78A7"/>
    <w:rsid w:val="00335CF4"/>
    <w:rsid w:val="00345C03"/>
    <w:rsid w:val="003463B6"/>
    <w:rsid w:val="0038340E"/>
    <w:rsid w:val="00384EF5"/>
    <w:rsid w:val="003A1C22"/>
    <w:rsid w:val="003C36D5"/>
    <w:rsid w:val="00405088"/>
    <w:rsid w:val="00487027"/>
    <w:rsid w:val="004A772D"/>
    <w:rsid w:val="004D2173"/>
    <w:rsid w:val="00505FA0"/>
    <w:rsid w:val="005543EB"/>
    <w:rsid w:val="005A50AB"/>
    <w:rsid w:val="00624D9C"/>
    <w:rsid w:val="00715F4F"/>
    <w:rsid w:val="0073295F"/>
    <w:rsid w:val="0074525D"/>
    <w:rsid w:val="00763FCF"/>
    <w:rsid w:val="00797AA6"/>
    <w:rsid w:val="00800626"/>
    <w:rsid w:val="008652EA"/>
    <w:rsid w:val="008A0372"/>
    <w:rsid w:val="008E3607"/>
    <w:rsid w:val="009122E8"/>
    <w:rsid w:val="009252ED"/>
    <w:rsid w:val="009306CD"/>
    <w:rsid w:val="00A7168D"/>
    <w:rsid w:val="00A90B28"/>
    <w:rsid w:val="00AA5525"/>
    <w:rsid w:val="00AF0E87"/>
    <w:rsid w:val="00B0412F"/>
    <w:rsid w:val="00B2648A"/>
    <w:rsid w:val="00BF5C6E"/>
    <w:rsid w:val="00C14D2A"/>
    <w:rsid w:val="00C43EEA"/>
    <w:rsid w:val="00C94368"/>
    <w:rsid w:val="00CA52E1"/>
    <w:rsid w:val="00CB4A4B"/>
    <w:rsid w:val="00CD2BFD"/>
    <w:rsid w:val="00CE503B"/>
    <w:rsid w:val="00CE52CD"/>
    <w:rsid w:val="00D46843"/>
    <w:rsid w:val="00D879E8"/>
    <w:rsid w:val="00DC3054"/>
    <w:rsid w:val="00DC4396"/>
    <w:rsid w:val="00DD67F8"/>
    <w:rsid w:val="00E3513E"/>
    <w:rsid w:val="00E36DCD"/>
    <w:rsid w:val="00E40BAB"/>
    <w:rsid w:val="00E414F0"/>
    <w:rsid w:val="00EE5194"/>
    <w:rsid w:val="00F027A9"/>
    <w:rsid w:val="00F53CB3"/>
    <w:rsid w:val="00F64A27"/>
    <w:rsid w:val="00F74641"/>
    <w:rsid w:val="00F923F3"/>
    <w:rsid w:val="00FA3954"/>
    <w:rsid w:val="00FA7A50"/>
    <w:rsid w:val="00FC3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0543D"/>
  <w15:chartTrackingRefBased/>
  <w15:docId w15:val="{3926F554-C748-0F46-A703-5AD521C4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702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D80"/>
    <w:pPr>
      <w:ind w:left="720"/>
      <w:contextualSpacing/>
    </w:pPr>
  </w:style>
  <w:style w:type="character" w:styleId="CommentReference">
    <w:name w:val="annotation reference"/>
    <w:basedOn w:val="DefaultParagraphFont"/>
    <w:uiPriority w:val="99"/>
    <w:semiHidden/>
    <w:unhideWhenUsed/>
    <w:rsid w:val="00CD2BFD"/>
    <w:rPr>
      <w:sz w:val="16"/>
      <w:szCs w:val="16"/>
    </w:rPr>
  </w:style>
  <w:style w:type="paragraph" w:styleId="CommentText">
    <w:name w:val="annotation text"/>
    <w:basedOn w:val="Normal"/>
    <w:link w:val="CommentTextChar"/>
    <w:uiPriority w:val="99"/>
    <w:semiHidden/>
    <w:unhideWhenUsed/>
    <w:rsid w:val="00CD2BFD"/>
    <w:rPr>
      <w:sz w:val="20"/>
      <w:szCs w:val="20"/>
    </w:rPr>
  </w:style>
  <w:style w:type="character" w:customStyle="1" w:styleId="CommentTextChar">
    <w:name w:val="Comment Text Char"/>
    <w:basedOn w:val="DefaultParagraphFont"/>
    <w:link w:val="CommentText"/>
    <w:uiPriority w:val="99"/>
    <w:semiHidden/>
    <w:rsid w:val="00CD2BFD"/>
    <w:rPr>
      <w:sz w:val="20"/>
      <w:szCs w:val="20"/>
    </w:rPr>
  </w:style>
  <w:style w:type="paragraph" w:styleId="CommentSubject">
    <w:name w:val="annotation subject"/>
    <w:basedOn w:val="CommentText"/>
    <w:next w:val="CommentText"/>
    <w:link w:val="CommentSubjectChar"/>
    <w:uiPriority w:val="99"/>
    <w:semiHidden/>
    <w:unhideWhenUsed/>
    <w:rsid w:val="00CD2BFD"/>
    <w:rPr>
      <w:b/>
      <w:bCs/>
    </w:rPr>
  </w:style>
  <w:style w:type="character" w:customStyle="1" w:styleId="CommentSubjectChar">
    <w:name w:val="Comment Subject Char"/>
    <w:basedOn w:val="CommentTextChar"/>
    <w:link w:val="CommentSubject"/>
    <w:uiPriority w:val="99"/>
    <w:semiHidden/>
    <w:rsid w:val="00CD2BFD"/>
    <w:rPr>
      <w:b/>
      <w:bCs/>
      <w:sz w:val="20"/>
      <w:szCs w:val="20"/>
    </w:rPr>
  </w:style>
  <w:style w:type="paragraph" w:styleId="BalloonText">
    <w:name w:val="Balloon Text"/>
    <w:basedOn w:val="Normal"/>
    <w:link w:val="BalloonTextChar"/>
    <w:uiPriority w:val="99"/>
    <w:semiHidden/>
    <w:unhideWhenUsed/>
    <w:rsid w:val="00CD2BF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2BFD"/>
    <w:rPr>
      <w:rFonts w:ascii="Times New Roman" w:hAnsi="Times New Roman" w:cs="Times New Roman"/>
      <w:sz w:val="18"/>
      <w:szCs w:val="18"/>
    </w:rPr>
  </w:style>
  <w:style w:type="character" w:styleId="Hyperlink">
    <w:name w:val="Hyperlink"/>
    <w:basedOn w:val="DefaultParagraphFont"/>
    <w:uiPriority w:val="99"/>
    <w:unhideWhenUsed/>
    <w:rsid w:val="001929E0"/>
    <w:rPr>
      <w:color w:val="0563C1" w:themeColor="hyperlink"/>
      <w:u w:val="single"/>
    </w:rPr>
  </w:style>
  <w:style w:type="character" w:styleId="UnresolvedMention">
    <w:name w:val="Unresolved Mention"/>
    <w:basedOn w:val="DefaultParagraphFont"/>
    <w:uiPriority w:val="99"/>
    <w:semiHidden/>
    <w:unhideWhenUsed/>
    <w:rsid w:val="001929E0"/>
    <w:rPr>
      <w:color w:val="605E5C"/>
      <w:shd w:val="clear" w:color="auto" w:fill="E1DFDD"/>
    </w:rPr>
  </w:style>
  <w:style w:type="paragraph" w:styleId="Bibliography">
    <w:name w:val="Bibliography"/>
    <w:basedOn w:val="Normal"/>
    <w:next w:val="Normal"/>
    <w:uiPriority w:val="37"/>
    <w:unhideWhenUsed/>
    <w:rsid w:val="0005141D"/>
    <w:pPr>
      <w:spacing w:line="480" w:lineRule="auto"/>
      <w:ind w:left="720" w:hanging="720"/>
    </w:pPr>
  </w:style>
  <w:style w:type="character" w:styleId="Emphasis">
    <w:name w:val="Emphasis"/>
    <w:basedOn w:val="DefaultParagraphFont"/>
    <w:uiPriority w:val="20"/>
    <w:qFormat/>
    <w:rsid w:val="003463B6"/>
    <w:rPr>
      <w:i/>
      <w:iCs/>
    </w:rPr>
  </w:style>
  <w:style w:type="paragraph" w:styleId="Header">
    <w:name w:val="header"/>
    <w:basedOn w:val="Normal"/>
    <w:link w:val="HeaderChar"/>
    <w:uiPriority w:val="99"/>
    <w:unhideWhenUsed/>
    <w:rsid w:val="00A90B28"/>
    <w:pPr>
      <w:tabs>
        <w:tab w:val="center" w:pos="4680"/>
        <w:tab w:val="right" w:pos="9360"/>
      </w:tabs>
    </w:pPr>
  </w:style>
  <w:style w:type="character" w:customStyle="1" w:styleId="HeaderChar">
    <w:name w:val="Header Char"/>
    <w:basedOn w:val="DefaultParagraphFont"/>
    <w:link w:val="Header"/>
    <w:uiPriority w:val="99"/>
    <w:rsid w:val="00A90B28"/>
  </w:style>
  <w:style w:type="paragraph" w:styleId="Footer">
    <w:name w:val="footer"/>
    <w:basedOn w:val="Normal"/>
    <w:link w:val="FooterChar"/>
    <w:uiPriority w:val="99"/>
    <w:unhideWhenUsed/>
    <w:rsid w:val="00A90B28"/>
    <w:pPr>
      <w:tabs>
        <w:tab w:val="center" w:pos="4680"/>
        <w:tab w:val="right" w:pos="9360"/>
      </w:tabs>
    </w:pPr>
  </w:style>
  <w:style w:type="character" w:customStyle="1" w:styleId="FooterChar">
    <w:name w:val="Footer Char"/>
    <w:basedOn w:val="DefaultParagraphFont"/>
    <w:link w:val="Footer"/>
    <w:uiPriority w:val="99"/>
    <w:rsid w:val="00A90B28"/>
  </w:style>
  <w:style w:type="character" w:styleId="PageNumber">
    <w:name w:val="page number"/>
    <w:basedOn w:val="DefaultParagraphFont"/>
    <w:uiPriority w:val="99"/>
    <w:semiHidden/>
    <w:unhideWhenUsed/>
    <w:rsid w:val="00A90B28"/>
  </w:style>
  <w:style w:type="paragraph" w:styleId="Revision">
    <w:name w:val="Revision"/>
    <w:hidden/>
    <w:uiPriority w:val="99"/>
    <w:semiHidden/>
    <w:rsid w:val="00E3513E"/>
  </w:style>
  <w:style w:type="character" w:customStyle="1" w:styleId="Heading2Char">
    <w:name w:val="Heading 2 Char"/>
    <w:basedOn w:val="DefaultParagraphFont"/>
    <w:link w:val="Heading2"/>
    <w:uiPriority w:val="9"/>
    <w:rsid w:val="00487027"/>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743074">
      <w:bodyDiv w:val="1"/>
      <w:marLeft w:val="0"/>
      <w:marRight w:val="0"/>
      <w:marTop w:val="0"/>
      <w:marBottom w:val="0"/>
      <w:divBdr>
        <w:top w:val="none" w:sz="0" w:space="0" w:color="auto"/>
        <w:left w:val="none" w:sz="0" w:space="0" w:color="auto"/>
        <w:bottom w:val="none" w:sz="0" w:space="0" w:color="auto"/>
        <w:right w:val="none" w:sz="0" w:space="0" w:color="auto"/>
      </w:divBdr>
    </w:div>
    <w:div w:id="571549090">
      <w:bodyDiv w:val="1"/>
      <w:marLeft w:val="0"/>
      <w:marRight w:val="0"/>
      <w:marTop w:val="0"/>
      <w:marBottom w:val="0"/>
      <w:divBdr>
        <w:top w:val="none" w:sz="0" w:space="0" w:color="auto"/>
        <w:left w:val="none" w:sz="0" w:space="0" w:color="auto"/>
        <w:bottom w:val="none" w:sz="0" w:space="0" w:color="auto"/>
        <w:right w:val="none" w:sz="0" w:space="0" w:color="auto"/>
      </w:divBdr>
    </w:div>
    <w:div w:id="1151482297">
      <w:bodyDiv w:val="1"/>
      <w:marLeft w:val="0"/>
      <w:marRight w:val="0"/>
      <w:marTop w:val="0"/>
      <w:marBottom w:val="0"/>
      <w:divBdr>
        <w:top w:val="none" w:sz="0" w:space="0" w:color="auto"/>
        <w:left w:val="none" w:sz="0" w:space="0" w:color="auto"/>
        <w:bottom w:val="none" w:sz="0" w:space="0" w:color="auto"/>
        <w:right w:val="none" w:sz="0" w:space="0" w:color="auto"/>
      </w:divBdr>
    </w:div>
    <w:div w:id="1812746512">
      <w:bodyDiv w:val="1"/>
      <w:marLeft w:val="0"/>
      <w:marRight w:val="0"/>
      <w:marTop w:val="0"/>
      <w:marBottom w:val="0"/>
      <w:divBdr>
        <w:top w:val="none" w:sz="0" w:space="0" w:color="auto"/>
        <w:left w:val="none" w:sz="0" w:space="0" w:color="auto"/>
        <w:bottom w:val="none" w:sz="0" w:space="0" w:color="auto"/>
        <w:right w:val="none" w:sz="0" w:space="0" w:color="auto"/>
      </w:divBdr>
    </w:div>
    <w:div w:id="194622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1.xml"/><Relationship Id="rId26" Type="http://schemas.openxmlformats.org/officeDocument/2006/relationships/hyperlink" Target="https://eige.europa.eu/thesaurus/browse" TargetMode="External"/><Relationship Id="rId3" Type="http://schemas.openxmlformats.org/officeDocument/2006/relationships/styles" Target="styles.xml"/><Relationship Id="rId21" Type="http://schemas.openxmlformats.org/officeDocument/2006/relationships/hyperlink" Target="https://www.aeaweb.org/econlit/jelCodes.php" TargetMode="External"/><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nlm.nih.gov/mesh/meshhome.html" TargetMode="External"/><Relationship Id="rId25" Type="http://schemas.openxmlformats.org/officeDocument/2006/relationships/hyperlink" Target="http://linkedsdg.apps.officialstatistics.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IHOPA/NLPre" TargetMode="External"/><Relationship Id="rId20" Type="http://schemas.openxmlformats.org/officeDocument/2006/relationships/hyperlink" Target="http://lod.gesis.org/thesozcl/en/hierarchical_concepts.html" TargetMode="External"/><Relationship Id="rId29" Type="http://schemas.openxmlformats.org/officeDocument/2006/relationships/hyperlink" Target="https://www.nsf.gov/awardsearch/download.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www.fao.org/agrovoc/" TargetMode="External"/><Relationship Id="rId32" Type="http://schemas.openxmlformats.org/officeDocument/2006/relationships/hyperlink" Target="https://data.census.gov/cedsci/table?q=Industry%20for%20the%20civilian%20employed%20population%20aged%2016%20and%20older&amp;g=0100000US.50016&amp;tid=ACSST1Y2018.S2403&amp;hidePreview=true" TargetMode="External"/><Relationship Id="rId5" Type="http://schemas.openxmlformats.org/officeDocument/2006/relationships/webSettings" Target="webSettings.xml"/><Relationship Id="rId15" Type="http://schemas.openxmlformats.org/officeDocument/2006/relationships/hyperlink" Target="https://projects.propublica.org/api-docs/congress-api/" TargetMode="External"/><Relationship Id="rId23" Type="http://schemas.openxmlformats.org/officeDocument/2006/relationships/hyperlink" Target="https://op.europa.eu/en/web/eu-vocabularies/euroscivoc" TargetMode="External"/><Relationship Id="rId28" Type="http://schemas.openxmlformats.org/officeDocument/2006/relationships/hyperlink" Target="https://github.com/NIHOPA/NLPre" TargetMode="External"/><Relationship Id="rId10" Type="http://schemas.openxmlformats.org/officeDocument/2006/relationships/comments" Target="comments.xml"/><Relationship Id="rId19" Type="http://schemas.openxmlformats.org/officeDocument/2006/relationships/footer" Target="footer2.xml"/><Relationship Id="rId31" Type="http://schemas.openxmlformats.org/officeDocument/2006/relationships/hyperlink" Target="https://data.census.gov/cedsci/table?q=ACSDT1Y2019.B07001&amp;tid=ACSDT1Y2019.B07001&amp;hidePreview=true" TargetMode="External"/><Relationship Id="rId4" Type="http://schemas.openxmlformats.org/officeDocument/2006/relationships/settings" Target="settings.xml"/><Relationship Id="rId9" Type="http://schemas.openxmlformats.org/officeDocument/2006/relationships/hyperlink" Target="https://sethsch.shinyapps.io/sbir_clusters/" TargetMode="External"/><Relationship Id="rId14" Type="http://schemas.openxmlformats.org/officeDocument/2006/relationships/hyperlink" Target="https://github.com/titipata/grant_database" TargetMode="External"/><Relationship Id="rId22" Type="http://schemas.openxmlformats.org/officeDocument/2006/relationships/hyperlink" Target="https://data.europa.eu/euodp/en/data/dataset/eurovoc" TargetMode="External"/><Relationship Id="rId27" Type="http://schemas.openxmlformats.org/officeDocument/2006/relationships/hyperlink" Target="https://github.com/titipata/grant_database" TargetMode="External"/><Relationship Id="rId30" Type="http://schemas.openxmlformats.org/officeDocument/2006/relationships/hyperlink" Target="https://projects.propublica.org/api-docs/congress-api/"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70312-C2F6-D64D-B69C-6212029AD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15058</Words>
  <Characters>85835</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Schimmel</dc:creator>
  <cp:keywords/>
  <dc:description/>
  <cp:lastModifiedBy>Seth  Schimmel</cp:lastModifiedBy>
  <cp:revision>16</cp:revision>
  <dcterms:created xsi:type="dcterms:W3CDTF">2020-12-23T21:50:00Z</dcterms:created>
  <dcterms:modified xsi:type="dcterms:W3CDTF">2021-01-05T21:14:00Z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id="EhIEQhP7"/&gt;&lt;style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