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B907" w14:textId="77777777" w:rsidR="0060446D" w:rsidRPr="0099543B" w:rsidRDefault="0060446D" w:rsidP="0060446D">
      <w:pPr>
        <w:spacing w:after="80"/>
        <w:jc w:val="center"/>
        <w:rPr>
          <w:color w:val="000000" w:themeColor="text1"/>
          <w:sz w:val="24"/>
          <w:szCs w:val="24"/>
        </w:rPr>
      </w:pPr>
      <w:r w:rsidRPr="0099543B">
        <w:rPr>
          <w:b/>
          <w:bCs/>
          <w:color w:val="000000" w:themeColor="text1"/>
          <w:sz w:val="24"/>
          <w:szCs w:val="24"/>
        </w:rPr>
        <w:t>Reinforcement Learning for Real-Time DDoS</w:t>
      </w:r>
    </w:p>
    <w:p w14:paraId="4CE1086D" w14:textId="77777777" w:rsidR="0060446D" w:rsidRPr="0099543B" w:rsidRDefault="0060446D" w:rsidP="0060446D">
      <w:pPr>
        <w:spacing w:after="80"/>
        <w:jc w:val="center"/>
        <w:rPr>
          <w:color w:val="000000" w:themeColor="text1"/>
          <w:sz w:val="24"/>
          <w:szCs w:val="24"/>
        </w:rPr>
      </w:pPr>
      <w:r w:rsidRPr="0099543B">
        <w:rPr>
          <w:b/>
          <w:bCs/>
          <w:color w:val="000000" w:themeColor="text1"/>
          <w:sz w:val="24"/>
          <w:szCs w:val="24"/>
        </w:rPr>
        <w:t>Attack Detection and Mitigation: A Markov</w:t>
      </w:r>
    </w:p>
    <w:p w14:paraId="700D1C7E" w14:textId="77777777" w:rsidR="0060446D" w:rsidRPr="0099543B" w:rsidRDefault="0060446D" w:rsidP="0060446D">
      <w:pPr>
        <w:jc w:val="center"/>
        <w:rPr>
          <w:b/>
          <w:bCs/>
          <w:color w:val="000000" w:themeColor="text1"/>
          <w:sz w:val="24"/>
          <w:szCs w:val="24"/>
        </w:rPr>
      </w:pPr>
      <w:r w:rsidRPr="0099543B">
        <w:rPr>
          <w:b/>
          <w:bCs/>
          <w:color w:val="000000" w:themeColor="text1"/>
          <w:sz w:val="24"/>
          <w:szCs w:val="24"/>
        </w:rPr>
        <w:t>Decision Process Formulation</w:t>
      </w:r>
    </w:p>
    <w:p w14:paraId="420AFCAB" w14:textId="77777777" w:rsidR="0060446D" w:rsidRPr="0099543B" w:rsidRDefault="0060446D" w:rsidP="0060446D">
      <w:pPr>
        <w:rPr>
          <w:b/>
          <w:bCs/>
          <w:color w:val="000000" w:themeColor="text1"/>
          <w:sz w:val="24"/>
          <w:szCs w:val="24"/>
        </w:rPr>
      </w:pPr>
    </w:p>
    <w:p w14:paraId="3A8BFF5E" w14:textId="77777777" w:rsidR="0060446D" w:rsidRPr="0099543B" w:rsidRDefault="0060446D" w:rsidP="0060446D">
      <w:pPr>
        <w:spacing w:after="20"/>
        <w:jc w:val="center"/>
        <w:rPr>
          <w:color w:val="000000" w:themeColor="text1"/>
          <w:sz w:val="24"/>
          <w:szCs w:val="24"/>
        </w:rPr>
      </w:pPr>
      <w:r w:rsidRPr="0099543B">
        <w:rPr>
          <w:color w:val="000000" w:themeColor="text1"/>
          <w:sz w:val="24"/>
          <w:szCs w:val="24"/>
        </w:rPr>
        <w:t>Seth Yao Alornyo</w:t>
      </w:r>
    </w:p>
    <w:p w14:paraId="27D08B6C" w14:textId="77777777" w:rsidR="0060446D" w:rsidRPr="0099543B" w:rsidRDefault="0060446D" w:rsidP="0060446D">
      <w:pPr>
        <w:spacing w:after="20"/>
        <w:jc w:val="center"/>
        <w:rPr>
          <w:color w:val="000000" w:themeColor="text1"/>
          <w:sz w:val="24"/>
          <w:szCs w:val="24"/>
        </w:rPr>
      </w:pPr>
      <w:r w:rsidRPr="0099543B">
        <w:rPr>
          <w:i/>
          <w:iCs/>
          <w:color w:val="000000" w:themeColor="text1"/>
          <w:sz w:val="24"/>
          <w:szCs w:val="24"/>
        </w:rPr>
        <w:t>School of Electrical Engineering and Computer Science</w:t>
      </w:r>
    </w:p>
    <w:p w14:paraId="068172A6" w14:textId="77777777" w:rsidR="0060446D" w:rsidRPr="0099543B" w:rsidRDefault="0060446D" w:rsidP="0060446D">
      <w:pPr>
        <w:spacing w:after="20"/>
        <w:jc w:val="center"/>
        <w:rPr>
          <w:color w:val="000000" w:themeColor="text1"/>
          <w:sz w:val="24"/>
          <w:szCs w:val="24"/>
        </w:rPr>
      </w:pPr>
      <w:r w:rsidRPr="0099543B">
        <w:rPr>
          <w:i/>
          <w:iCs/>
          <w:color w:val="000000" w:themeColor="text1"/>
          <w:sz w:val="24"/>
          <w:szCs w:val="24"/>
        </w:rPr>
        <w:t>University of North Dakota, Grand Forks</w:t>
      </w:r>
    </w:p>
    <w:p w14:paraId="2F17F790" w14:textId="77777777" w:rsidR="0060446D" w:rsidRPr="0099543B" w:rsidRDefault="0060446D" w:rsidP="0060446D">
      <w:pPr>
        <w:spacing w:after="80"/>
        <w:jc w:val="center"/>
        <w:rPr>
          <w:color w:val="000000" w:themeColor="text1"/>
          <w:sz w:val="24"/>
          <w:szCs w:val="24"/>
        </w:rPr>
      </w:pPr>
      <w:hyperlink r:id="rId5" w:history="1">
        <w:r w:rsidRPr="0099543B">
          <w:rPr>
            <w:rStyle w:val="Hyperlink"/>
            <w:color w:val="000000" w:themeColor="text1"/>
            <w:sz w:val="24"/>
            <w:szCs w:val="24"/>
          </w:rPr>
          <w:t>seth.alornyo@ndus.edu</w:t>
        </w:r>
      </w:hyperlink>
    </w:p>
    <w:p w14:paraId="45811E10" w14:textId="77777777" w:rsidR="0060446D" w:rsidRPr="0099543B" w:rsidRDefault="0060446D" w:rsidP="0060446D">
      <w:pPr>
        <w:spacing w:after="80"/>
        <w:jc w:val="center"/>
        <w:rPr>
          <w:color w:val="000000" w:themeColor="text1"/>
          <w:sz w:val="24"/>
          <w:szCs w:val="24"/>
        </w:rPr>
      </w:pPr>
    </w:p>
    <w:p w14:paraId="056B21FC" w14:textId="77777777" w:rsidR="0060446D" w:rsidRPr="0099543B" w:rsidRDefault="0060446D" w:rsidP="0060446D">
      <w:pPr>
        <w:spacing w:after="60"/>
        <w:jc w:val="center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Course: EECS 590 — Reinforcement Learning</w:t>
      </w:r>
    </w:p>
    <w:p w14:paraId="7A036FAC" w14:textId="77777777" w:rsidR="0060446D" w:rsidRPr="0099543B" w:rsidRDefault="0060446D" w:rsidP="0060446D">
      <w:pPr>
        <w:spacing w:after="60"/>
        <w:jc w:val="center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Submission Date: Spring 2025</w:t>
      </w:r>
    </w:p>
    <w:p w14:paraId="70E0235A" w14:textId="77777777" w:rsidR="0060446D" w:rsidRPr="0099543B" w:rsidRDefault="0060446D" w:rsidP="0060446D">
      <w:pPr>
        <w:spacing w:after="400"/>
        <w:jc w:val="center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Version: V1 (Dynamic Programming Foundation)</w:t>
      </w:r>
    </w:p>
    <w:p w14:paraId="61B915ED" w14:textId="77777777" w:rsidR="0060446D" w:rsidRPr="0099543B" w:rsidRDefault="0060446D" w:rsidP="0060446D">
      <w:pPr>
        <w:spacing w:after="400"/>
        <w:rPr>
          <w:color w:val="000000" w:themeColor="text1"/>
          <w:sz w:val="24"/>
          <w:szCs w:val="24"/>
        </w:rPr>
      </w:pPr>
      <w:r w:rsidRPr="0099543B">
        <w:rPr>
          <w:b/>
          <w:bCs/>
          <w:color w:val="000000" w:themeColor="text1"/>
          <w:sz w:val="24"/>
          <w:szCs w:val="24"/>
        </w:rPr>
        <w:t>1. Introduction</w:t>
      </w:r>
    </w:p>
    <w:p w14:paraId="7A023309" w14:textId="77777777" w:rsidR="0060446D" w:rsidRPr="0099543B" w:rsidRDefault="0060446D" w:rsidP="0060446D">
      <w:pPr>
        <w:spacing w:after="12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60446D">
        <w:rPr>
          <w:rFonts w:eastAsia="Calibri"/>
          <w:color w:val="000000" w:themeColor="text1"/>
          <w:sz w:val="24"/>
          <w:szCs w:val="24"/>
        </w:rPr>
        <w:t>This proposal outlines a reinforcement learning (RL) framework for the real-time detection and mitigation of Distributed Denial of Service (DDoS) attacks on Software-Defined Networks (SDN). The project redefines DDoS detection as a sequential decision-making challenge through a Markov Decision Process (MDP), allowing an autonomous agent to acquire adaptive, cost-sensitive traffic management strategies without depending on fixed, manually created regulations.</w:t>
      </w:r>
    </w:p>
    <w:p w14:paraId="090A8250" w14:textId="7749FBE4" w:rsidR="0060446D" w:rsidRPr="0099543B" w:rsidRDefault="0060446D" w:rsidP="0060446D">
      <w:pPr>
        <w:spacing w:after="12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60446D">
        <w:rPr>
          <w:rFonts w:eastAsia="Calibri"/>
          <w:color w:val="000000" w:themeColor="text1"/>
          <w:sz w:val="24"/>
          <w:szCs w:val="24"/>
        </w:rPr>
        <w:t xml:space="preserve"> This work </w:t>
      </w:r>
      <w:r w:rsidRPr="0099543B">
        <w:rPr>
          <w:rFonts w:eastAsia="Calibri"/>
          <w:color w:val="000000" w:themeColor="text1"/>
          <w:sz w:val="24"/>
          <w:szCs w:val="24"/>
        </w:rPr>
        <w:t>is based</w:t>
      </w:r>
      <w:r w:rsidRPr="0060446D">
        <w:rPr>
          <w:rFonts w:eastAsia="Calibri"/>
          <w:color w:val="000000" w:themeColor="text1"/>
          <w:sz w:val="24"/>
          <w:szCs w:val="24"/>
        </w:rPr>
        <w:t xml:space="preserve"> on previous supervised learning studies that used </w:t>
      </w:r>
      <w:proofErr w:type="spellStart"/>
      <w:r w:rsidRPr="0060446D">
        <w:rPr>
          <w:rFonts w:eastAsia="Calibri"/>
          <w:color w:val="000000" w:themeColor="text1"/>
          <w:sz w:val="24"/>
          <w:szCs w:val="24"/>
        </w:rPr>
        <w:t>XGBoost</w:t>
      </w:r>
      <w:proofErr w:type="spellEnd"/>
      <w:r w:rsidRPr="0060446D">
        <w:rPr>
          <w:rFonts w:eastAsia="Calibri"/>
          <w:color w:val="000000" w:themeColor="text1"/>
          <w:sz w:val="24"/>
          <w:szCs w:val="24"/>
        </w:rPr>
        <w:t xml:space="preserve"> on the SDN-DDoS dataset (104,345 flow records) and got 98.3% classification accuracy. By using an RL paradigm, the agent can </w:t>
      </w:r>
      <w:r w:rsidRPr="0099543B">
        <w:rPr>
          <w:rFonts w:eastAsia="Calibri"/>
          <w:color w:val="000000" w:themeColor="text1"/>
          <w:sz w:val="24"/>
          <w:szCs w:val="24"/>
        </w:rPr>
        <w:t>consider</w:t>
      </w:r>
      <w:r w:rsidRPr="0060446D">
        <w:rPr>
          <w:rFonts w:eastAsia="Calibri"/>
          <w:color w:val="000000" w:themeColor="text1"/>
          <w:sz w:val="24"/>
          <w:szCs w:val="24"/>
        </w:rPr>
        <w:t xml:space="preserve"> how traffic changes over time, how different operational costs are (false negatives are seen as twice as bad as false positives), and other ways to reduce the risk of</w:t>
      </w:r>
      <w:r w:rsidRPr="0099543B">
        <w:rPr>
          <w:rFonts w:eastAsia="Calibri"/>
          <w:color w:val="000000" w:themeColor="text1"/>
          <w:sz w:val="24"/>
          <w:szCs w:val="24"/>
        </w:rPr>
        <w:t xml:space="preserve"> blocking or allowing something</w:t>
      </w:r>
      <w:r w:rsidRPr="0060446D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21018BF4" w14:textId="3D4C6569" w:rsidR="0060446D" w:rsidRPr="0060446D" w:rsidRDefault="0060446D" w:rsidP="0060446D">
      <w:pPr>
        <w:spacing w:after="12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60446D">
        <w:rPr>
          <w:rFonts w:eastAsia="Calibri"/>
          <w:color w:val="000000" w:themeColor="text1"/>
          <w:sz w:val="24"/>
          <w:szCs w:val="24"/>
        </w:rPr>
        <w:t>Version 1 (V1), which is already finished, includes: (</w:t>
      </w:r>
      <w:proofErr w:type="spellStart"/>
      <w:r w:rsidRPr="0060446D">
        <w:rPr>
          <w:rFonts w:eastAsia="Calibri"/>
          <w:color w:val="000000" w:themeColor="text1"/>
          <w:sz w:val="24"/>
          <w:szCs w:val="24"/>
        </w:rPr>
        <w:t>i</w:t>
      </w:r>
      <w:proofErr w:type="spellEnd"/>
      <w:r w:rsidRPr="0060446D">
        <w:rPr>
          <w:rFonts w:eastAsia="Calibri"/>
          <w:color w:val="000000" w:themeColor="text1"/>
          <w:sz w:val="24"/>
          <w:szCs w:val="24"/>
        </w:rPr>
        <w:t>) a fully defined MDP with eight discriminative flow features, three actions, and an empirically estimated stochastic transition model; (ii) Dynamic Programming solvers through Policy Iteration (PI) and Value Iteration (VI), both of which lead to the same optimal policies; and (iii) a modular agent framework with a command line interface (CLI), a training pipeline, and artifact persistence. In the future, there will be model-free RL methods like Monte Carlo, TD, and Q-Learning, as well as deep RL approximation.</w:t>
      </w:r>
    </w:p>
    <w:p w14:paraId="14250414" w14:textId="77777777" w:rsidR="0060446D" w:rsidRPr="0099543B" w:rsidRDefault="0060446D" w:rsidP="0060446D">
      <w:pPr>
        <w:spacing w:after="12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B1A35BA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2.1 The DDoS Threat Landscape</w:t>
      </w:r>
    </w:p>
    <w:p w14:paraId="678BFED4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Distributed Denial of Service attacks are among the most disruptive threats facing modern networked infrastructure. Recent statistics underscore the severity of the challenge:</w:t>
      </w:r>
    </w:p>
    <w:p w14:paraId="27397766" w14:textId="45F3209D" w:rsidR="0060446D" w:rsidRPr="0099543B" w:rsidRDefault="0060446D" w:rsidP="00C04A30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 xml:space="preserve">Cloudflare reported approximately 21.3 million DDoS attempts in 2024 a 53% year-over-year increase including a record 5.6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Tbps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attack [1].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Vercara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documented a 16,073% growth in attack </w:t>
      </w:r>
      <w:r w:rsidRPr="0099543B">
        <w:rPr>
          <w:rFonts w:eastAsia="Calibri"/>
          <w:color w:val="000000" w:themeColor="text1"/>
          <w:sz w:val="24"/>
          <w:szCs w:val="24"/>
        </w:rPr>
        <w:lastRenderedPageBreak/>
        <w:t>volume with 270,405 total detected attacks in the same period [2].These trends expose the inadequacy of static, signature-based defenses and motivate intelligent, adaptive detection systems that can respond to novel attack patterns in real time.</w:t>
      </w:r>
    </w:p>
    <w:p w14:paraId="62A64C0F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2.2 Limitations of Supervised Learning Approaches</w:t>
      </w:r>
    </w:p>
    <w:p w14:paraId="38AA4D48" w14:textId="77777777" w:rsidR="00EF7321" w:rsidRDefault="004E38B2" w:rsidP="00EF7321">
      <w:pPr>
        <w:pStyle w:val="Heading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previously</w:t>
      </w:r>
      <w:r w:rsidR="003B1789" w:rsidRPr="0099543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work</w:t>
      </w: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created an </w:t>
      </w:r>
      <w:proofErr w:type="spellStart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XGBoost</w:t>
      </w:r>
      <w:proofErr w:type="spellEnd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classifier that got 98.3% accuracy on the SDN-DDoS dataset [3]. Supervised classification is useful, but it has some important problems when it comes to using it in the real world:</w:t>
      </w:r>
    </w:p>
    <w:p w14:paraId="0FF10CC7" w14:textId="4546A592" w:rsidR="00EF7321" w:rsidRDefault="004E38B2" w:rsidP="00EF7321">
      <w:pPr>
        <w:pStyle w:val="Heading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Each traffic flow is classified separately, without </w:t>
      </w:r>
      <w:proofErr w:type="gramStart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taking into account</w:t>
      </w:r>
      <w:proofErr w:type="gramEnd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how flows that come after each other are related. </w:t>
      </w:r>
    </w:p>
    <w:p w14:paraId="395EDE62" w14:textId="424AAD27" w:rsidR="00EF7321" w:rsidRDefault="004E38B2" w:rsidP="00EF7321">
      <w:pPr>
        <w:pStyle w:val="Heading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Binary classification (benign/attack) doesn't allow for intermediate mitigation actions like rate-limiting, which might be better for traffic that is</w:t>
      </w:r>
      <w:r w:rsidR="00EF73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EF7321"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not</w:t>
      </w: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clear.</w:t>
      </w:r>
    </w:p>
    <w:p w14:paraId="40E27EB7" w14:textId="45E18636" w:rsidR="00EF7321" w:rsidRDefault="004E38B2" w:rsidP="00EF7321">
      <w:pPr>
        <w:pStyle w:val="Heading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Standard accuracy metrics don't </w:t>
      </w:r>
      <w:proofErr w:type="gramStart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take into account</w:t>
      </w:r>
      <w:proofErr w:type="gramEnd"/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the different operational costs of letting an attack through (false negative) versus blocking benign traffic (false positive). </w:t>
      </w:r>
    </w:p>
    <w:p w14:paraId="3C3C5413" w14:textId="77E6A5AC" w:rsidR="004E38B2" w:rsidRPr="004E38B2" w:rsidRDefault="004E38B2" w:rsidP="00EF7321">
      <w:pPr>
        <w:pStyle w:val="Heading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E38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model is fixed and cannot change its policy based on the overall results of the network.</w:t>
      </w:r>
    </w:p>
    <w:p w14:paraId="510A9ED9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2.3 Research Questions</w:t>
      </w:r>
    </w:p>
    <w:p w14:paraId="1F7CC87F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This project addresses the following questions:</w:t>
      </w:r>
    </w:p>
    <w:p w14:paraId="69138A08" w14:textId="77777777" w:rsidR="00EE248E" w:rsidRPr="00EE248E" w:rsidRDefault="00EE248E" w:rsidP="00EE248E">
      <w:pPr>
        <w:spacing w:after="80"/>
        <w:jc w:val="both"/>
        <w:rPr>
          <w:rFonts w:eastAsia="Calibri"/>
          <w:color w:val="000000" w:themeColor="text1"/>
          <w:sz w:val="24"/>
          <w:szCs w:val="24"/>
        </w:rPr>
      </w:pPr>
      <w:r w:rsidRPr="00EE248E">
        <w:rPr>
          <w:rFonts w:eastAsia="Calibri"/>
          <w:color w:val="000000" w:themeColor="text1"/>
          <w:sz w:val="24"/>
          <w:szCs w:val="24"/>
        </w:rPr>
        <w:t>1. Is it possible for a finite MDP to accurately depict the DDoS detection environment utilizing empirical traffic data?</w:t>
      </w:r>
    </w:p>
    <w:p w14:paraId="2C6D6E8D" w14:textId="4A7CB87A" w:rsidR="00EE248E" w:rsidRPr="00EE248E" w:rsidRDefault="00EE248E" w:rsidP="00EE248E">
      <w:pPr>
        <w:spacing w:after="80"/>
        <w:jc w:val="both"/>
        <w:rPr>
          <w:rFonts w:eastAsia="Calibri"/>
          <w:color w:val="000000" w:themeColor="text1"/>
          <w:sz w:val="24"/>
          <w:szCs w:val="24"/>
        </w:rPr>
      </w:pPr>
      <w:r w:rsidRPr="00EE248E">
        <w:rPr>
          <w:rFonts w:eastAsia="Calibri"/>
          <w:color w:val="000000" w:themeColor="text1"/>
          <w:sz w:val="24"/>
          <w:szCs w:val="24"/>
        </w:rPr>
        <w:t xml:space="preserve">2. Do the Dynamic Programming solvers (PI and VI) converge </w:t>
      </w:r>
      <w:r w:rsidRPr="0099543B">
        <w:rPr>
          <w:rFonts w:eastAsia="Calibri"/>
          <w:color w:val="000000" w:themeColor="text1"/>
          <w:sz w:val="24"/>
          <w:szCs w:val="24"/>
        </w:rPr>
        <w:t>with</w:t>
      </w:r>
      <w:r w:rsidRPr="00EE248E">
        <w:rPr>
          <w:rFonts w:eastAsia="Calibri"/>
          <w:color w:val="000000" w:themeColor="text1"/>
          <w:sz w:val="24"/>
          <w:szCs w:val="24"/>
        </w:rPr>
        <w:t xml:space="preserve"> the same optimal policy, thereby validating the MDP formulation?</w:t>
      </w:r>
    </w:p>
    <w:p w14:paraId="3F2557AE" w14:textId="4ED072D0" w:rsidR="00EE248E" w:rsidRPr="00EE248E" w:rsidRDefault="00EE248E" w:rsidP="00EE248E">
      <w:pPr>
        <w:spacing w:after="80"/>
        <w:jc w:val="both"/>
        <w:rPr>
          <w:rFonts w:eastAsia="Calibri"/>
          <w:color w:val="000000" w:themeColor="text1"/>
          <w:sz w:val="24"/>
          <w:szCs w:val="24"/>
        </w:rPr>
      </w:pPr>
      <w:r w:rsidRPr="00EE248E">
        <w:rPr>
          <w:rFonts w:eastAsia="Calibri"/>
          <w:color w:val="000000" w:themeColor="text1"/>
          <w:sz w:val="24"/>
          <w:szCs w:val="24"/>
        </w:rPr>
        <w:t xml:space="preserve">3. Can model-free RL agents reach or beat the performance of supervised classification while also </w:t>
      </w:r>
      <w:r w:rsidRPr="0099543B">
        <w:rPr>
          <w:rFonts w:eastAsia="Calibri"/>
          <w:color w:val="000000" w:themeColor="text1"/>
          <w:sz w:val="24"/>
          <w:szCs w:val="24"/>
        </w:rPr>
        <w:t>optimizing</w:t>
      </w:r>
      <w:r w:rsidRPr="00EE248E">
        <w:rPr>
          <w:rFonts w:eastAsia="Calibri"/>
          <w:color w:val="000000" w:themeColor="text1"/>
          <w:sz w:val="24"/>
          <w:szCs w:val="24"/>
        </w:rPr>
        <w:t xml:space="preserve"> security costs that are no</w:t>
      </w:r>
      <w:r w:rsidRPr="0099543B">
        <w:rPr>
          <w:rFonts w:eastAsia="Calibri"/>
          <w:color w:val="000000" w:themeColor="text1"/>
          <w:sz w:val="24"/>
          <w:szCs w:val="24"/>
        </w:rPr>
        <w:t>t</w:t>
      </w:r>
      <w:r w:rsidRPr="00EE248E">
        <w:rPr>
          <w:rFonts w:eastAsia="Calibri"/>
          <w:color w:val="000000" w:themeColor="text1"/>
          <w:sz w:val="24"/>
          <w:szCs w:val="24"/>
        </w:rPr>
        <w:t> the same for everyone?</w:t>
      </w:r>
    </w:p>
    <w:p w14:paraId="4CAA7CD5" w14:textId="77777777" w:rsidR="00EE248E" w:rsidRPr="00EE248E" w:rsidRDefault="00EE248E" w:rsidP="00EE248E">
      <w:pPr>
        <w:jc w:val="both"/>
        <w:rPr>
          <w:rFonts w:eastAsia="Calibri"/>
          <w:color w:val="000000" w:themeColor="text1"/>
          <w:sz w:val="24"/>
          <w:szCs w:val="24"/>
        </w:rPr>
      </w:pPr>
      <w:r w:rsidRPr="00EE248E">
        <w:rPr>
          <w:rFonts w:eastAsia="Calibri"/>
          <w:color w:val="000000" w:themeColor="text1"/>
          <w:sz w:val="24"/>
          <w:szCs w:val="24"/>
        </w:rPr>
        <w:t>4. What are the best ways to explore and approximate high-dimensional network traffic state spaces?</w:t>
      </w:r>
    </w:p>
    <w:p w14:paraId="4570047B" w14:textId="77777777" w:rsidR="00EE248E" w:rsidRPr="0099543B" w:rsidRDefault="00EE248E" w:rsidP="0060446D">
      <w:pPr>
        <w:jc w:val="both"/>
        <w:rPr>
          <w:color w:val="000000" w:themeColor="text1"/>
          <w:sz w:val="24"/>
          <w:szCs w:val="24"/>
        </w:rPr>
      </w:pPr>
    </w:p>
    <w:p w14:paraId="7DB4FB86" w14:textId="48BAE856" w:rsidR="00F75CBF" w:rsidRPr="0099543B" w:rsidRDefault="0060446D" w:rsidP="0060446D">
      <w:pPr>
        <w:jc w:val="both"/>
        <w:rPr>
          <w:b/>
          <w:bCs/>
          <w:sz w:val="24"/>
          <w:szCs w:val="24"/>
        </w:rPr>
      </w:pPr>
      <w:r w:rsidRPr="0099543B">
        <w:rPr>
          <w:b/>
          <w:bCs/>
          <w:sz w:val="24"/>
          <w:szCs w:val="24"/>
        </w:rPr>
        <w:t>3.0 Proposed Approach and Methodology</w:t>
      </w:r>
    </w:p>
    <w:p w14:paraId="63DE2C7D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3.1 MDP Formulation</w:t>
      </w:r>
    </w:p>
    <w:p w14:paraId="5D5DA8DA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The DDoS detection task is modeled as a finite MDP M = (S, A, P, R, γ), where:</w:t>
      </w:r>
    </w:p>
    <w:p w14:paraId="13123301" w14:textId="7D1F40C1" w:rsidR="00481812" w:rsidRPr="00481812" w:rsidRDefault="00481812" w:rsidP="00481812">
      <w:pPr>
        <w:spacing w:after="80"/>
        <w:jc w:val="both"/>
        <w:rPr>
          <w:rFonts w:eastAsia="Calibri"/>
          <w:color w:val="000000" w:themeColor="text1"/>
          <w:sz w:val="24"/>
          <w:szCs w:val="24"/>
        </w:rPr>
      </w:pPr>
      <w:r w:rsidRPr="00481812">
        <w:rPr>
          <w:rFonts w:eastAsia="Calibri"/>
          <w:b/>
          <w:bCs/>
          <w:color w:val="000000" w:themeColor="text1"/>
          <w:sz w:val="24"/>
          <w:szCs w:val="24"/>
        </w:rPr>
        <w:t>State Space</w:t>
      </w:r>
      <w:r w:rsidR="000F247B" w:rsidRPr="00821942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0F247B" w:rsidRPr="00821942">
        <w:rPr>
          <w:rFonts w:eastAsia="Calibri"/>
          <w:b/>
          <w:bCs/>
          <w:color w:val="000000" w:themeColor="text1"/>
          <w:sz w:val="24"/>
          <w:szCs w:val="24"/>
        </w:rPr>
        <w:t>(</w:t>
      </w:r>
      <w:r w:rsidRPr="00481812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821942" w:rsidRPr="00821942">
        <w:rPr>
          <w:rFonts w:eastAsia="Calibri"/>
          <w:b/>
          <w:bCs/>
          <w:color w:val="000000" w:themeColor="text1"/>
          <w:sz w:val="24"/>
          <w:szCs w:val="24"/>
        </w:rPr>
        <w:t>s</w:t>
      </w:r>
      <w:proofErr w:type="gramEnd"/>
      <w:r w:rsidR="000F247B" w:rsidRPr="00821942">
        <w:rPr>
          <w:rFonts w:eastAsia="Calibri"/>
          <w:b/>
          <w:bCs/>
          <w:color w:val="000000" w:themeColor="text1"/>
          <w:sz w:val="24"/>
          <w:szCs w:val="24"/>
        </w:rPr>
        <w:t>)</w:t>
      </w:r>
      <w:r w:rsidRPr="00481812">
        <w:rPr>
          <w:rFonts w:eastAsia="Calibri"/>
          <w:b/>
          <w:bCs/>
          <w:color w:val="000000" w:themeColor="text1"/>
          <w:sz w:val="24"/>
          <w:szCs w:val="24"/>
        </w:rPr>
        <w:t>:</w:t>
      </w:r>
      <w:r w:rsidRPr="00481812">
        <w:rPr>
          <w:rFonts w:eastAsia="Calibri"/>
          <w:color w:val="000000" w:themeColor="text1"/>
          <w:sz w:val="24"/>
          <w:szCs w:val="24"/>
        </w:rPr>
        <w:t xml:space="preserve"> Made up of the eight most important flow-level features (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byteperflow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pktrate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pairflow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pktperflow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, </w:t>
      </w:r>
      <w:proofErr w:type="gramStart"/>
      <w:r w:rsidRPr="00481812">
        <w:rPr>
          <w:rFonts w:eastAsia="Calibri"/>
          <w:color w:val="000000" w:themeColor="text1"/>
          <w:sz w:val="24"/>
          <w:szCs w:val="24"/>
        </w:rPr>
        <w:t>dur</w:t>
      </w:r>
      <w:proofErr w:type="gramEnd"/>
      <w:r w:rsidRPr="00481812">
        <w:rPr>
          <w:rFonts w:eastAsia="Calibri"/>
          <w:color w:val="000000" w:themeColor="text1"/>
          <w:sz w:val="24"/>
          <w:szCs w:val="24"/>
        </w:rPr>
        <w:t xml:space="preserve">, flows, switch, 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port_no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) found through 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XGBoost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 importance analysis [3]. Quantile-based binning (</w:t>
      </w:r>
      <w:proofErr w:type="spellStart"/>
      <w:r w:rsidRPr="00481812">
        <w:rPr>
          <w:rFonts w:eastAsia="Calibri"/>
          <w:color w:val="000000" w:themeColor="text1"/>
          <w:sz w:val="24"/>
          <w:szCs w:val="24"/>
        </w:rPr>
        <w:t>KBinsDiscretizer</w:t>
      </w:r>
      <w:proofErr w:type="spellEnd"/>
      <w:r w:rsidRPr="00481812">
        <w:rPr>
          <w:rFonts w:eastAsia="Calibri"/>
          <w:color w:val="000000" w:themeColor="text1"/>
          <w:sz w:val="24"/>
          <w:szCs w:val="24"/>
        </w:rPr>
        <w:t xml:space="preserve"> [13]) is used to turn continuous features into discrete ones. This results in |S| = 57,600 discrete states.</w:t>
      </w:r>
    </w:p>
    <w:p w14:paraId="4F384647" w14:textId="77777777" w:rsidR="00F360BB" w:rsidRPr="0099543B" w:rsidRDefault="00F360BB" w:rsidP="0060446D">
      <w:pPr>
        <w:spacing w:after="80"/>
        <w:jc w:val="both"/>
        <w:rPr>
          <w:color w:val="000000" w:themeColor="text1"/>
          <w:sz w:val="24"/>
          <w:szCs w:val="24"/>
        </w:rPr>
      </w:pPr>
    </w:p>
    <w:p w14:paraId="2036EBEE" w14:textId="1D4E558F" w:rsidR="00580F05" w:rsidRDefault="00580F05" w:rsidP="00FD46CD">
      <w:pPr>
        <w:pStyle w:val="Heading2"/>
        <w:jc w:val="both"/>
        <w:rPr>
          <w:rFonts w:eastAsia="Calibri"/>
          <w:color w:val="000000" w:themeColor="text1"/>
          <w:sz w:val="24"/>
          <w:szCs w:val="24"/>
        </w:rPr>
      </w:pPr>
      <w:r w:rsidRPr="00580F05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Action Space </w:t>
      </w:r>
      <w:r>
        <w:rPr>
          <w:rFonts w:eastAsia="Calibri"/>
          <w:b/>
          <w:bCs/>
          <w:color w:val="000000" w:themeColor="text1"/>
          <w:sz w:val="24"/>
          <w:szCs w:val="24"/>
        </w:rPr>
        <w:t>(a)</w:t>
      </w:r>
      <w:r w:rsidRPr="00580F05">
        <w:rPr>
          <w:rFonts w:eastAsia="Calibri"/>
          <w:b/>
          <w:bCs/>
          <w:color w:val="000000" w:themeColor="text1"/>
          <w:sz w:val="24"/>
          <w:szCs w:val="24"/>
        </w:rPr>
        <w:t>:</w:t>
      </w:r>
      <w:r w:rsidRPr="00580F05">
        <w:rPr>
          <w:rFonts w:eastAsia="Calibri"/>
          <w:color w:val="000000" w:themeColor="text1"/>
          <w:sz w:val="24"/>
          <w:szCs w:val="24"/>
        </w:rPr>
        <w:t xml:space="preserve"> Three actions: Allow (a = 0), Block (a = 1), and Rate-Limit (a = 2). This goes beyond binary classification and gives you a way to hedge when you're not sure what to do.</w:t>
      </w:r>
    </w:p>
    <w:p w14:paraId="56A3C40C" w14:textId="77777777" w:rsidR="00580F05" w:rsidRDefault="00580F05" w:rsidP="00FD46CD">
      <w:pPr>
        <w:pStyle w:val="Heading2"/>
        <w:jc w:val="both"/>
        <w:rPr>
          <w:rFonts w:eastAsia="Calibri"/>
          <w:color w:val="000000" w:themeColor="text1"/>
          <w:sz w:val="24"/>
          <w:szCs w:val="24"/>
        </w:rPr>
      </w:pPr>
      <w:r w:rsidRPr="00580F05">
        <w:rPr>
          <w:rFonts w:eastAsia="Calibri"/>
          <w:color w:val="000000" w:themeColor="text1"/>
          <w:sz w:val="24"/>
          <w:szCs w:val="24"/>
        </w:rPr>
        <w:t xml:space="preserve"> </w:t>
      </w:r>
      <w:r w:rsidRPr="00580F05">
        <w:rPr>
          <w:rFonts w:eastAsia="Calibri"/>
          <w:color w:val="000000" w:themeColor="text1"/>
          <w:sz w:val="24"/>
          <w:szCs w:val="24"/>
        </w:rPr>
        <w:br/>
      </w:r>
      <w:r w:rsidRPr="00580F05">
        <w:rPr>
          <w:rFonts w:eastAsia="Calibri"/>
          <w:b/>
          <w:bCs/>
          <w:color w:val="000000" w:themeColor="text1"/>
          <w:sz w:val="24"/>
          <w:szCs w:val="24"/>
        </w:rPr>
        <w:t xml:space="preserve">Transition Model </w:t>
      </w:r>
      <w:proofErr w:type="gramStart"/>
      <w:r w:rsidRPr="00580F05">
        <w:rPr>
          <w:rFonts w:eastAsia="Calibri"/>
          <w:b/>
          <w:bCs/>
          <w:color w:val="000000" w:themeColor="text1"/>
          <w:sz w:val="24"/>
          <w:szCs w:val="24"/>
        </w:rPr>
        <w:t>P(</w:t>
      </w:r>
      <w:proofErr w:type="gramEnd"/>
      <w:r w:rsidRPr="00580F05">
        <w:rPr>
          <w:rFonts w:eastAsia="Calibri"/>
          <w:b/>
          <w:bCs/>
          <w:color w:val="000000" w:themeColor="text1"/>
          <w:sz w:val="24"/>
          <w:szCs w:val="24"/>
        </w:rPr>
        <w:t>s′ | s, a):</w:t>
      </w:r>
      <w:r w:rsidRPr="00580F05">
        <w:rPr>
          <w:rFonts w:eastAsia="Calibri"/>
          <w:color w:val="000000" w:themeColor="text1"/>
          <w:sz w:val="24"/>
          <w:szCs w:val="24"/>
        </w:rPr>
        <w:t xml:space="preserve"> Derived empirically from the sequential structure within the training corpus. Because traffic generation doesn't depend on what agents do, transitions don't depend on actions, and unobserved states get self-loop transitions </w:t>
      </w:r>
      <w:proofErr w:type="gramStart"/>
      <w:r w:rsidRPr="00580F05">
        <w:rPr>
          <w:rFonts w:eastAsia="Calibri"/>
          <w:color w:val="000000" w:themeColor="text1"/>
          <w:sz w:val="24"/>
          <w:szCs w:val="24"/>
        </w:rPr>
        <w:t>P(</w:t>
      </w:r>
      <w:proofErr w:type="gramEnd"/>
      <w:r w:rsidRPr="00580F05">
        <w:rPr>
          <w:rFonts w:eastAsia="Calibri"/>
          <w:color w:val="000000" w:themeColor="text1"/>
          <w:sz w:val="24"/>
          <w:szCs w:val="24"/>
        </w:rPr>
        <w:t xml:space="preserve">s | s) = 1.0. </w:t>
      </w:r>
    </w:p>
    <w:p w14:paraId="467626A6" w14:textId="77777777" w:rsidR="00580F05" w:rsidRDefault="00580F05" w:rsidP="00FD46CD">
      <w:pPr>
        <w:pStyle w:val="Heading2"/>
        <w:jc w:val="both"/>
        <w:rPr>
          <w:rFonts w:eastAsia="Calibri"/>
          <w:color w:val="000000" w:themeColor="text1"/>
          <w:sz w:val="24"/>
          <w:szCs w:val="24"/>
        </w:rPr>
      </w:pPr>
      <w:r w:rsidRPr="00580F05">
        <w:rPr>
          <w:rFonts w:eastAsia="Calibri"/>
          <w:color w:val="000000" w:themeColor="text1"/>
          <w:sz w:val="24"/>
          <w:szCs w:val="24"/>
        </w:rPr>
        <w:br/>
      </w:r>
      <w:r w:rsidRPr="00580F05">
        <w:rPr>
          <w:rFonts w:eastAsia="Calibri"/>
          <w:b/>
          <w:bCs/>
          <w:color w:val="000000" w:themeColor="text1"/>
          <w:sz w:val="24"/>
          <w:szCs w:val="24"/>
        </w:rPr>
        <w:t xml:space="preserve">Reward Function </w:t>
      </w:r>
      <w:proofErr w:type="gramStart"/>
      <w:r w:rsidRPr="00580F05">
        <w:rPr>
          <w:rFonts w:eastAsia="Calibri"/>
          <w:b/>
          <w:bCs/>
          <w:color w:val="000000" w:themeColor="text1"/>
          <w:sz w:val="24"/>
          <w:szCs w:val="24"/>
        </w:rPr>
        <w:t>R(</w:t>
      </w:r>
      <w:proofErr w:type="gramEnd"/>
      <w:r w:rsidRPr="00580F05">
        <w:rPr>
          <w:rFonts w:eastAsia="Calibri"/>
          <w:b/>
          <w:bCs/>
          <w:color w:val="000000" w:themeColor="text1"/>
          <w:sz w:val="24"/>
          <w:szCs w:val="24"/>
        </w:rPr>
        <w:t>s, a):</w:t>
      </w:r>
      <w:r w:rsidRPr="00580F05">
        <w:rPr>
          <w:rFonts w:eastAsia="Calibri"/>
          <w:color w:val="000000" w:themeColor="text1"/>
          <w:sz w:val="24"/>
          <w:szCs w:val="24"/>
        </w:rPr>
        <w:t xml:space="preserve"> An unbalanced reward that puts security first and has a 2:1 false-negative-to-false-positive penalty ratio: </w:t>
      </w:r>
      <w:proofErr w:type="gramStart"/>
      <w:r w:rsidRPr="00580F05">
        <w:rPr>
          <w:rFonts w:eastAsia="Calibri"/>
          <w:color w:val="000000" w:themeColor="text1"/>
          <w:sz w:val="24"/>
          <w:szCs w:val="24"/>
        </w:rPr>
        <w:t>R(</w:t>
      </w:r>
      <w:proofErr w:type="gramEnd"/>
      <w:r w:rsidRPr="00580F05">
        <w:rPr>
          <w:rFonts w:eastAsia="Calibri"/>
          <w:color w:val="000000" w:themeColor="text1"/>
          <w:sz w:val="24"/>
          <w:szCs w:val="24"/>
        </w:rPr>
        <w:t>s, a) = P(</w:t>
      </w:r>
      <w:proofErr w:type="spellStart"/>
      <w:r w:rsidRPr="00580F05">
        <w:rPr>
          <w:rFonts w:eastAsia="Calibri"/>
          <w:color w:val="000000" w:themeColor="text1"/>
          <w:sz w:val="24"/>
          <w:szCs w:val="24"/>
        </w:rPr>
        <w:t>atk|s</w:t>
      </w:r>
      <w:proofErr w:type="spellEnd"/>
      <w:r w:rsidRPr="00580F05">
        <w:rPr>
          <w:rFonts w:eastAsia="Calibri"/>
          <w:color w:val="000000" w:themeColor="text1"/>
          <w:sz w:val="24"/>
          <w:szCs w:val="24"/>
        </w:rPr>
        <w:t xml:space="preserve">) × </w:t>
      </w:r>
      <w:proofErr w:type="spellStart"/>
      <w:r w:rsidRPr="00580F05">
        <w:rPr>
          <w:rFonts w:eastAsia="Calibri"/>
          <w:color w:val="000000" w:themeColor="text1"/>
          <w:sz w:val="24"/>
          <w:szCs w:val="24"/>
        </w:rPr>
        <w:t>R_atk</w:t>
      </w:r>
      <w:proofErr w:type="spellEnd"/>
      <w:r w:rsidRPr="00580F05">
        <w:rPr>
          <w:rFonts w:eastAsia="Calibri"/>
          <w:color w:val="000000" w:themeColor="text1"/>
          <w:sz w:val="24"/>
          <w:szCs w:val="24"/>
        </w:rPr>
        <w:t>(a) + P(</w:t>
      </w:r>
      <w:proofErr w:type="spellStart"/>
      <w:r w:rsidRPr="00580F05">
        <w:rPr>
          <w:rFonts w:eastAsia="Calibri"/>
          <w:color w:val="000000" w:themeColor="text1"/>
          <w:sz w:val="24"/>
          <w:szCs w:val="24"/>
        </w:rPr>
        <w:t>ben|s</w:t>
      </w:r>
      <w:proofErr w:type="spellEnd"/>
      <w:r w:rsidRPr="00580F05">
        <w:rPr>
          <w:rFonts w:eastAsia="Calibri"/>
          <w:color w:val="000000" w:themeColor="text1"/>
          <w:sz w:val="24"/>
          <w:szCs w:val="24"/>
        </w:rPr>
        <w:t xml:space="preserve">) × </w:t>
      </w:r>
      <w:proofErr w:type="spellStart"/>
      <w:r w:rsidRPr="00580F05">
        <w:rPr>
          <w:rFonts w:eastAsia="Calibri"/>
          <w:color w:val="000000" w:themeColor="text1"/>
          <w:sz w:val="24"/>
          <w:szCs w:val="24"/>
        </w:rPr>
        <w:t>R_ben</w:t>
      </w:r>
      <w:proofErr w:type="spellEnd"/>
      <w:r w:rsidRPr="00580F05">
        <w:rPr>
          <w:rFonts w:eastAsia="Calibri"/>
          <w:color w:val="000000" w:themeColor="text1"/>
          <w:sz w:val="24"/>
          <w:szCs w:val="24"/>
        </w:rPr>
        <w:t xml:space="preserve">(a). </w:t>
      </w:r>
    </w:p>
    <w:p w14:paraId="5CB90329" w14:textId="63A4DB18" w:rsidR="00580F05" w:rsidRPr="00580F05" w:rsidRDefault="00580F05" w:rsidP="00FD46CD">
      <w:pPr>
        <w:pStyle w:val="Heading2"/>
        <w:jc w:val="both"/>
        <w:rPr>
          <w:rFonts w:eastAsia="Calibri"/>
          <w:color w:val="000000" w:themeColor="text1"/>
          <w:sz w:val="24"/>
          <w:szCs w:val="24"/>
        </w:rPr>
      </w:pPr>
      <w:r w:rsidRPr="00580F05">
        <w:rPr>
          <w:rFonts w:eastAsia="Calibri"/>
          <w:color w:val="000000" w:themeColor="text1"/>
          <w:sz w:val="24"/>
          <w:szCs w:val="24"/>
        </w:rPr>
        <w:br/>
      </w:r>
      <w:r w:rsidRPr="00580F05">
        <w:rPr>
          <w:rFonts w:eastAsia="Calibri"/>
          <w:b/>
          <w:bCs/>
          <w:color w:val="000000" w:themeColor="text1"/>
          <w:sz w:val="24"/>
          <w:szCs w:val="24"/>
        </w:rPr>
        <w:t>Discount Factor γ = 0.95:</w:t>
      </w:r>
      <w:r w:rsidRPr="00580F05">
        <w:rPr>
          <w:rFonts w:eastAsia="Calibri"/>
          <w:color w:val="000000" w:themeColor="text1"/>
          <w:sz w:val="24"/>
          <w:szCs w:val="24"/>
        </w:rPr>
        <w:t xml:space="preserve"> This gives an effective planning horizon of about </w:t>
      </w:r>
      <w:proofErr w:type="gramStart"/>
      <w:r w:rsidRPr="00580F05">
        <w:rPr>
          <w:rFonts w:eastAsia="Calibri"/>
          <w:color w:val="000000" w:themeColor="text1"/>
          <w:sz w:val="24"/>
          <w:szCs w:val="24"/>
        </w:rPr>
        <w:t>20 time</w:t>
      </w:r>
      <w:proofErr w:type="gramEnd"/>
      <w:r w:rsidRPr="00580F05">
        <w:rPr>
          <w:rFonts w:eastAsia="Calibri"/>
          <w:color w:val="000000" w:themeColor="text1"/>
          <w:sz w:val="24"/>
          <w:szCs w:val="24"/>
        </w:rPr>
        <w:t xml:space="preserve"> steps, which balances responding to immediate threats with long-term stability.</w:t>
      </w:r>
    </w:p>
    <w:p w14:paraId="38C2A83A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3.2 Dynamic Programming (V1 Completed)</w:t>
      </w:r>
    </w:p>
    <w:p w14:paraId="1EBC7E4E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Policy Evaluation computes V^π(s) for a fixed policy π via the Bellman expectation equation (convergence threshold θ = 10⁻⁶):</w:t>
      </w:r>
    </w:p>
    <w:p w14:paraId="404649E2" w14:textId="77777777" w:rsidR="0060446D" w:rsidRPr="0099543B" w:rsidRDefault="0060446D" w:rsidP="0060446D">
      <w:pPr>
        <w:tabs>
          <w:tab w:val="right" w:pos="9160"/>
        </w:tabs>
        <w:spacing w:after="100"/>
        <w:ind w:left="720"/>
        <w:rPr>
          <w:color w:val="000000" w:themeColor="text1"/>
          <w:sz w:val="24"/>
          <w:szCs w:val="24"/>
        </w:rPr>
      </w:pPr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 xml:space="preserve">V(s) ← </w:t>
      </w:r>
      <w:proofErr w:type="gramStart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R(</w:t>
      </w:r>
      <w:proofErr w:type="gram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 xml:space="preserve">s, π(s)) + γ Σ_{s′} </w:t>
      </w:r>
      <w:proofErr w:type="gramStart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P(</w:t>
      </w:r>
      <w:proofErr w:type="spellStart"/>
      <w:proofErr w:type="gram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s′|s</w:t>
      </w:r>
      <w:proofErr w:type="spell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, π(s)) V(s′)</w:t>
      </w:r>
      <w:r w:rsidRPr="0099543B">
        <w:rPr>
          <w:rFonts w:eastAsia="Calibri"/>
          <w:color w:val="000000" w:themeColor="text1"/>
          <w:sz w:val="24"/>
          <w:szCs w:val="24"/>
        </w:rPr>
        <w:tab/>
        <w:t>(1)</w:t>
      </w:r>
    </w:p>
    <w:p w14:paraId="638D2AE2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Policy Improvement greedily derives an improved policy:</w:t>
      </w:r>
    </w:p>
    <w:p w14:paraId="39B2FA64" w14:textId="77777777" w:rsidR="0060446D" w:rsidRPr="0099543B" w:rsidRDefault="0060446D" w:rsidP="0060446D">
      <w:pPr>
        <w:tabs>
          <w:tab w:val="right" w:pos="9160"/>
        </w:tabs>
        <w:spacing w:after="100"/>
        <w:ind w:left="720"/>
        <w:rPr>
          <w:color w:val="000000" w:themeColor="text1"/>
          <w:sz w:val="24"/>
          <w:szCs w:val="24"/>
        </w:rPr>
      </w:pPr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 xml:space="preserve">π′(s) = </w:t>
      </w:r>
      <w:proofErr w:type="spellStart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arg</w:t>
      </w:r>
      <w:proofErr w:type="spell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max_</w:t>
      </w:r>
      <w:proofErr w:type="gramStart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a</w:t>
      </w:r>
      <w:proofErr w:type="spell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 xml:space="preserve">  Q</w:t>
      </w:r>
      <w:proofErr w:type="gramEnd"/>
      <w:r w:rsidRPr="0099543B">
        <w:rPr>
          <w:rFonts w:eastAsia="Cambria Math"/>
          <w:i/>
          <w:iCs/>
          <w:color w:val="000000" w:themeColor="text1"/>
          <w:sz w:val="24"/>
          <w:szCs w:val="24"/>
        </w:rPr>
        <w:t>(s, a)</w:t>
      </w:r>
      <w:r w:rsidRPr="0099543B">
        <w:rPr>
          <w:rFonts w:eastAsia="Calibri"/>
          <w:color w:val="000000" w:themeColor="text1"/>
          <w:sz w:val="24"/>
          <w:szCs w:val="24"/>
        </w:rPr>
        <w:tab/>
        <w:t>(2)</w:t>
      </w:r>
    </w:p>
    <w:p w14:paraId="223CA373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 xml:space="preserve">where </w:t>
      </w:r>
      <w:proofErr w:type="gramStart"/>
      <w:r w:rsidRPr="0099543B">
        <w:rPr>
          <w:rFonts w:eastAsia="Calibri"/>
          <w:color w:val="000000" w:themeColor="text1"/>
          <w:sz w:val="24"/>
          <w:szCs w:val="24"/>
        </w:rPr>
        <w:t>Q(</w:t>
      </w:r>
      <w:proofErr w:type="gramEnd"/>
      <w:r w:rsidRPr="0099543B">
        <w:rPr>
          <w:rFonts w:eastAsia="Calibri"/>
          <w:color w:val="000000" w:themeColor="text1"/>
          <w:sz w:val="24"/>
          <w:szCs w:val="24"/>
        </w:rPr>
        <w:t xml:space="preserve">s, a) = </w:t>
      </w:r>
      <w:proofErr w:type="gramStart"/>
      <w:r w:rsidRPr="0099543B">
        <w:rPr>
          <w:rFonts w:eastAsia="Calibri"/>
          <w:color w:val="000000" w:themeColor="text1"/>
          <w:sz w:val="24"/>
          <w:szCs w:val="24"/>
        </w:rPr>
        <w:t>R(</w:t>
      </w:r>
      <w:proofErr w:type="gramEnd"/>
      <w:r w:rsidRPr="0099543B">
        <w:rPr>
          <w:rFonts w:eastAsia="Calibri"/>
          <w:color w:val="000000" w:themeColor="text1"/>
          <w:sz w:val="24"/>
          <w:szCs w:val="24"/>
        </w:rPr>
        <w:t xml:space="preserve">s, a) + </w:t>
      </w:r>
      <w:proofErr w:type="gramStart"/>
      <w:r w:rsidRPr="0099543B">
        <w:rPr>
          <w:rFonts w:eastAsia="Calibri"/>
          <w:color w:val="000000" w:themeColor="text1"/>
          <w:sz w:val="24"/>
          <w:szCs w:val="24"/>
        </w:rPr>
        <w:t>γ Σ_{</w:t>
      </w:r>
      <w:proofErr w:type="gramEnd"/>
      <w:r w:rsidRPr="0099543B">
        <w:rPr>
          <w:rFonts w:eastAsia="Calibri"/>
          <w:color w:val="000000" w:themeColor="text1"/>
          <w:sz w:val="24"/>
          <w:szCs w:val="24"/>
        </w:rPr>
        <w:t xml:space="preserve">s′} </w:t>
      </w:r>
      <w:proofErr w:type="gramStart"/>
      <w:r w:rsidRPr="0099543B">
        <w:rPr>
          <w:rFonts w:eastAsia="Calibri"/>
          <w:color w:val="000000" w:themeColor="text1"/>
          <w:sz w:val="24"/>
          <w:szCs w:val="24"/>
        </w:rPr>
        <w:t>P(</w:t>
      </w:r>
      <w:proofErr w:type="spellStart"/>
      <w:proofErr w:type="gramEnd"/>
      <w:r w:rsidRPr="0099543B">
        <w:rPr>
          <w:rFonts w:eastAsia="Calibri"/>
          <w:color w:val="000000" w:themeColor="text1"/>
          <w:sz w:val="24"/>
          <w:szCs w:val="24"/>
        </w:rPr>
        <w:t>s′|s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>, a) V(</w:t>
      </w:r>
      <w:proofErr w:type="gramStart"/>
      <w:r w:rsidRPr="0099543B">
        <w:rPr>
          <w:rFonts w:eastAsia="Calibri"/>
          <w:color w:val="000000" w:themeColor="text1"/>
          <w:sz w:val="24"/>
          <w:szCs w:val="24"/>
        </w:rPr>
        <w:t>s′)</w:t>
      </w:r>
      <w:proofErr w:type="gramEnd"/>
      <w:r w:rsidRPr="0099543B">
        <w:rPr>
          <w:rFonts w:eastAsia="Calibri"/>
          <w:color w:val="000000" w:themeColor="text1"/>
          <w:sz w:val="24"/>
          <w:szCs w:val="24"/>
        </w:rPr>
        <w:t>. Policy Iteration alternates (1) and (2) until no state changes action (converges in 2–4 iterations). Value Iteration applies the Bellman optimality backup directly, converging in ~100–200 iterations. Both methods reach identical optimal policies, as confirmed by unit tests (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max|V_PI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− V_VI| = 0).</w:t>
      </w:r>
    </w:p>
    <w:p w14:paraId="0B573372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3.3 Model-Free RL Extensions (V2 — Planned)</w:t>
      </w:r>
    </w:p>
    <w:p w14:paraId="2B5D4686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V2 will introduce model-free agents that do not require a known transition model, making the system deployable in environments where traffic dynamics must be learned online:</w:t>
      </w:r>
    </w:p>
    <w:p w14:paraId="34675FAB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Monte Carlo (MC) Methods: Episode-based returns for policy evaluation without a model.</w:t>
      </w:r>
    </w:p>
    <w:p w14:paraId="7CCDE68E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Temporal-Difference Learning: TD(n) and TD(λ) with eligibility traces for bootstrapped, step-by-step updates.</w:t>
      </w:r>
    </w:p>
    <w:p w14:paraId="0212C1B6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On-Policy Control: Sarsa(n) and Sarsa(λ) for Q-value estimation under the current policy.</w:t>
      </w:r>
    </w:p>
    <w:p w14:paraId="249E1ACA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Off-Policy Control: Q-Learning [17] for convergence to the optimal policy regardless of behavior policy.</w:t>
      </w:r>
    </w:p>
    <w:p w14:paraId="60768FA6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 xml:space="preserve">Exploration Strategies: ε-greedy,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softmax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(Boltzmann), and Upper Confidence Bound (UCB) policies.</w:t>
      </w:r>
    </w:p>
    <w:p w14:paraId="3F71C319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3.4 Deep RL &amp; Function Approximation (V3 — Planned)</w:t>
      </w:r>
    </w:p>
    <w:p w14:paraId="0A567039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V3 will address the scalability limitations of tabular methods by introducing function approximation for continuous or very large state spaces, including deep Q-networks (DQN) and potential deployment on edge devices with real-time traffic injection.</w:t>
      </w:r>
    </w:p>
    <w:p w14:paraId="311C01E4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lastRenderedPageBreak/>
        <w:t>3.5 Dataset</w:t>
      </w:r>
    </w:p>
    <w:p w14:paraId="1A8150BC" w14:textId="66071362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 xml:space="preserve">The SDN-DDoS dataset [16] comprises 104,345 flow records with 23 features and a binary </w:t>
      </w:r>
      <w:r w:rsidR="00292D17">
        <w:rPr>
          <w:rFonts w:eastAsia="Calibri"/>
          <w:color w:val="000000" w:themeColor="text1"/>
          <w:sz w:val="24"/>
          <w:szCs w:val="24"/>
        </w:rPr>
        <w:t>normal</w:t>
      </w:r>
      <w:r w:rsidR="000A0B40">
        <w:rPr>
          <w:rFonts w:eastAsia="Calibri"/>
          <w:color w:val="000000" w:themeColor="text1"/>
          <w:sz w:val="24"/>
          <w:szCs w:val="24"/>
        </w:rPr>
        <w:t xml:space="preserve"> or </w:t>
      </w:r>
      <w:r w:rsidRPr="0099543B">
        <w:rPr>
          <w:rFonts w:eastAsia="Calibri"/>
          <w:color w:val="000000" w:themeColor="text1"/>
          <w:sz w:val="24"/>
          <w:szCs w:val="24"/>
        </w:rPr>
        <w:t>attack label (~60% benign, ~40% attack). A stratified 80/20 split (seed = 42) yields 83,476 training and 20,869 test records.</w:t>
      </w:r>
    </w:p>
    <w:p w14:paraId="180A72AE" w14:textId="288CD73B" w:rsidR="0060446D" w:rsidRPr="007D66D9" w:rsidRDefault="0060446D" w:rsidP="0060446D">
      <w:pPr>
        <w:jc w:val="both"/>
        <w:rPr>
          <w:b/>
          <w:bCs/>
          <w:sz w:val="24"/>
          <w:szCs w:val="24"/>
        </w:rPr>
      </w:pPr>
      <w:r w:rsidRPr="007D66D9">
        <w:rPr>
          <w:b/>
          <w:bCs/>
          <w:sz w:val="24"/>
          <w:szCs w:val="24"/>
        </w:rPr>
        <w:t>4. 0 Time and Milestones</w:t>
      </w:r>
    </w:p>
    <w:p w14:paraId="521CEE71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The project is structured across four phases aligned with course deliverables:</w:t>
      </w:r>
    </w:p>
    <w:p w14:paraId="3AF44E07" w14:textId="77777777" w:rsidR="0060446D" w:rsidRPr="0099543B" w:rsidRDefault="0060446D" w:rsidP="0060446D">
      <w:pPr>
        <w:spacing w:after="80"/>
        <w:rPr>
          <w:color w:val="000000" w:themeColor="text1"/>
          <w:sz w:val="24"/>
          <w:szCs w:val="24"/>
        </w:rPr>
      </w:pPr>
    </w:p>
    <w:p w14:paraId="19304D17" w14:textId="77777777" w:rsidR="0060446D" w:rsidRPr="0099543B" w:rsidRDefault="0060446D" w:rsidP="0060446D">
      <w:pPr>
        <w:spacing w:before="160" w:after="80"/>
        <w:jc w:val="center"/>
        <w:rPr>
          <w:color w:val="000000" w:themeColor="text1"/>
          <w:sz w:val="24"/>
          <w:szCs w:val="24"/>
        </w:rPr>
      </w:pPr>
      <w:r w:rsidRPr="0099543B">
        <w:rPr>
          <w:rFonts w:eastAsia="Calibri"/>
          <w:b/>
          <w:bCs/>
          <w:color w:val="000000" w:themeColor="text1"/>
          <w:sz w:val="24"/>
          <w:szCs w:val="24"/>
        </w:rPr>
        <w:t>Table 1.  Project Timeline and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800"/>
        <w:gridCol w:w="2360"/>
      </w:tblGrid>
      <w:tr w:rsidR="0060446D" w:rsidRPr="0099543B" w14:paraId="424C6BA6" w14:textId="77777777" w:rsidTr="00855080">
        <w:trPr>
          <w:tblHeader/>
        </w:trPr>
        <w:tc>
          <w:tcPr>
            <w:tcW w:w="180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A33F5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40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83E95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Milestone</w:t>
            </w:r>
          </w:p>
        </w:tc>
        <w:tc>
          <w:tcPr>
            <w:tcW w:w="280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5A848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  <w:tc>
          <w:tcPr>
            <w:tcW w:w="236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596F0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Target</w:t>
            </w:r>
          </w:p>
        </w:tc>
      </w:tr>
      <w:tr w:rsidR="0060446D" w:rsidRPr="0099543B" w14:paraId="4E6418BF" w14:textId="77777777" w:rsidTr="00855080">
        <w:tc>
          <w:tcPr>
            <w:tcW w:w="1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A9FD1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Phase 1 (V1)</w:t>
            </w:r>
          </w:p>
        </w:tc>
        <w:tc>
          <w:tcPr>
            <w:tcW w:w="24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1C69A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MDP + Dynamic Programming</w:t>
            </w:r>
          </w:p>
        </w:tc>
        <w:tc>
          <w:tcPr>
            <w:tcW w:w="2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CEC32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Policy/Value Iteration, Unit Tests</w:t>
            </w:r>
          </w:p>
        </w:tc>
        <w:tc>
          <w:tcPr>
            <w:tcW w:w="2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E035E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Completed</w:t>
            </w:r>
          </w:p>
        </w:tc>
      </w:tr>
      <w:tr w:rsidR="0060446D" w:rsidRPr="0099543B" w14:paraId="4549DDB5" w14:textId="77777777" w:rsidTr="00855080">
        <w:tc>
          <w:tcPr>
            <w:tcW w:w="1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62AEE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Phase 2 (V2)</w:t>
            </w:r>
          </w:p>
        </w:tc>
        <w:tc>
          <w:tcPr>
            <w:tcW w:w="24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9DA9A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Model-Free RL</w:t>
            </w:r>
          </w:p>
        </w:tc>
        <w:tc>
          <w:tcPr>
            <w:tcW w:w="2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446C0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MC, TD, Sarsa, Q-Learning agents</w:t>
            </w:r>
          </w:p>
        </w:tc>
        <w:tc>
          <w:tcPr>
            <w:tcW w:w="2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AF085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Week 10–12</w:t>
            </w:r>
          </w:p>
        </w:tc>
      </w:tr>
      <w:tr w:rsidR="0060446D" w:rsidRPr="0099543B" w14:paraId="5341D010" w14:textId="77777777" w:rsidTr="00855080">
        <w:tc>
          <w:tcPr>
            <w:tcW w:w="1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B35DB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Phase 3 (V3)</w:t>
            </w:r>
          </w:p>
        </w:tc>
        <w:tc>
          <w:tcPr>
            <w:tcW w:w="24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E8E0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Deep RL &amp; Exploration</w:t>
            </w:r>
          </w:p>
        </w:tc>
        <w:tc>
          <w:tcPr>
            <w:tcW w:w="2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BBCCE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DQN, ε-greedy, UCB strategies</w:t>
            </w:r>
          </w:p>
        </w:tc>
        <w:tc>
          <w:tcPr>
            <w:tcW w:w="2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7061A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Week 13–14</w:t>
            </w:r>
          </w:p>
        </w:tc>
      </w:tr>
      <w:tr w:rsidR="0060446D" w:rsidRPr="0099543B" w14:paraId="607A5026" w14:textId="77777777" w:rsidTr="00855080">
        <w:tc>
          <w:tcPr>
            <w:tcW w:w="1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CDA1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Phase 4</w:t>
            </w:r>
          </w:p>
        </w:tc>
        <w:tc>
          <w:tcPr>
            <w:tcW w:w="24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6ED5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Evaluation &amp; Report</w:t>
            </w:r>
          </w:p>
        </w:tc>
        <w:tc>
          <w:tcPr>
            <w:tcW w:w="28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0B6F2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Final paper, demo, ablation study</w:t>
            </w:r>
          </w:p>
        </w:tc>
        <w:tc>
          <w:tcPr>
            <w:tcW w:w="2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74C64" w14:textId="77777777" w:rsidR="0060446D" w:rsidRPr="0099543B" w:rsidRDefault="0060446D" w:rsidP="00855080">
            <w:pPr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Week 15</w:t>
            </w:r>
          </w:p>
        </w:tc>
      </w:tr>
    </w:tbl>
    <w:p w14:paraId="4F61A802" w14:textId="77777777" w:rsidR="0060446D" w:rsidRPr="0099543B" w:rsidRDefault="0060446D" w:rsidP="0060446D">
      <w:pPr>
        <w:spacing w:after="160"/>
        <w:rPr>
          <w:color w:val="000000" w:themeColor="text1"/>
          <w:sz w:val="24"/>
          <w:szCs w:val="24"/>
        </w:rPr>
      </w:pPr>
    </w:p>
    <w:p w14:paraId="70772546" w14:textId="119D11AA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V1 (Phase 1) is fully complete and validated. All six-unit tests pass, confirming MDP correctness, DP convergence, and PI/VI policy agreement. Phase 2 begins immediately with the design of Monte Carlo and TD agent classes within the existing modular architecture.</w:t>
      </w:r>
    </w:p>
    <w:p w14:paraId="557A5BB4" w14:textId="202C6DF1" w:rsidR="0060446D" w:rsidRPr="0099543B" w:rsidRDefault="0060446D" w:rsidP="0060446D">
      <w:pPr>
        <w:jc w:val="both"/>
      </w:pPr>
      <w:r w:rsidRPr="0099543B">
        <w:t>5.0 Expected Outcomes</w:t>
      </w:r>
    </w:p>
    <w:p w14:paraId="1C974AFF" w14:textId="77777777" w:rsidR="0060446D" w:rsidRPr="0099543B" w:rsidRDefault="0060446D" w:rsidP="0060446D">
      <w:pPr>
        <w:jc w:val="both"/>
      </w:pPr>
    </w:p>
    <w:p w14:paraId="2B7FD93D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The project is expected to yield both technical artifacts and research contributions:</w:t>
      </w:r>
    </w:p>
    <w:p w14:paraId="62BDB7A6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5.1 Technical Deliverables</w:t>
      </w:r>
    </w:p>
    <w:p w14:paraId="233B47E1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 fully specified, reproducible MDP environment (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DDoSEnv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>) with empirically estimated transition and reward matrices.</w:t>
      </w:r>
    </w:p>
    <w:p w14:paraId="34413DC8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Dynamic Programming solvers (PI and VI) with validated policy equivalence.</w:t>
      </w:r>
      <w:r w:rsidRPr="0099543B">
        <w:rPr>
          <w:color w:val="000000" w:themeColor="text1"/>
          <w:sz w:val="24"/>
          <w:szCs w:val="24"/>
        </w:rPr>
        <w:t xml:space="preserve"> </w:t>
      </w:r>
      <w:r w:rsidRPr="0099543B">
        <w:rPr>
          <w:rFonts w:eastAsia="Calibri"/>
          <w:color w:val="000000" w:themeColor="text1"/>
          <w:sz w:val="24"/>
          <w:szCs w:val="24"/>
        </w:rPr>
        <w:t>Model-free RL agent suite (MC, TD, Sarsa, Q-Learning) with configurable exploration strategies.</w:t>
      </w:r>
    </w:p>
    <w:p w14:paraId="45EC0097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 CLI-driven training, evaluation, and artifact persistence pipeline (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DPAgent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>) with YAML configuration support.</w:t>
      </w:r>
    </w:p>
    <w:p w14:paraId="09DF8005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 comprehensive evaluation report comparing DP and model-free methods across accuracy, F1-score, cumulative reward, and action distribution metrics.</w:t>
      </w:r>
    </w:p>
    <w:p w14:paraId="5E3EE727" w14:textId="77777777" w:rsidR="0060446D" w:rsidRPr="0099543B" w:rsidRDefault="0060446D" w:rsidP="0060446D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2E36AADF" w14:textId="77777777" w:rsidR="0060446D" w:rsidRPr="0099543B" w:rsidRDefault="0060446D" w:rsidP="0060446D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0245EF7A" w14:textId="77777777" w:rsidR="0060446D" w:rsidRPr="0099543B" w:rsidRDefault="0060446D" w:rsidP="0060446D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5000D337" w14:textId="77777777" w:rsidR="0060446D" w:rsidRPr="0099543B" w:rsidRDefault="0060446D" w:rsidP="0060446D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4AB3D227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5.2 Performance Targets</w:t>
      </w:r>
    </w:p>
    <w:p w14:paraId="6F920598" w14:textId="77777777" w:rsidR="0060446D" w:rsidRPr="0099543B" w:rsidRDefault="0060446D" w:rsidP="0060446D">
      <w:pPr>
        <w:spacing w:after="60"/>
        <w:rPr>
          <w:color w:val="000000" w:themeColor="text1"/>
          <w:sz w:val="24"/>
          <w:szCs w:val="24"/>
        </w:rPr>
      </w:pPr>
    </w:p>
    <w:p w14:paraId="4FED99D8" w14:textId="77777777" w:rsidR="0060446D" w:rsidRPr="0099543B" w:rsidRDefault="0060446D" w:rsidP="0060446D">
      <w:pPr>
        <w:spacing w:before="160" w:after="80"/>
        <w:jc w:val="center"/>
        <w:rPr>
          <w:color w:val="000000" w:themeColor="text1"/>
          <w:sz w:val="24"/>
          <w:szCs w:val="24"/>
        </w:rPr>
      </w:pPr>
      <w:r w:rsidRPr="0099543B">
        <w:rPr>
          <w:rFonts w:eastAsia="Calibri"/>
          <w:b/>
          <w:bCs/>
          <w:color w:val="000000" w:themeColor="text1"/>
          <w:sz w:val="24"/>
          <w:szCs w:val="24"/>
        </w:rPr>
        <w:t>Table 2.  Expected Outcomes and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60446D" w:rsidRPr="0099543B" w14:paraId="61A9CF49" w14:textId="77777777" w:rsidTr="00855080">
        <w:trPr>
          <w:tblHeader/>
        </w:trPr>
        <w:tc>
          <w:tcPr>
            <w:tcW w:w="300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3D699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Expected Outcome</w:t>
            </w:r>
          </w:p>
        </w:tc>
        <w:tc>
          <w:tcPr>
            <w:tcW w:w="336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9157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Metric / Criterion</w:t>
            </w:r>
          </w:p>
        </w:tc>
        <w:tc>
          <w:tcPr>
            <w:tcW w:w="3000" w:type="dxa"/>
            <w:tcBorders>
              <w:top w:val="single" w:sz="8" w:space="0" w:color="2E74B5"/>
              <w:bottom w:val="single" w:sz="8" w:space="0" w:color="2E74B5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05D58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Baseline (</w:t>
            </w:r>
            <w:proofErr w:type="spellStart"/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XGBoost</w:t>
            </w:r>
            <w:proofErr w:type="spellEnd"/>
            <w:r w:rsidRPr="0099543B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60446D" w:rsidRPr="0099543B" w14:paraId="21A3286E" w14:textId="77777777" w:rsidTr="00855080"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206F3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Comparable F1-Score</w:t>
            </w:r>
          </w:p>
        </w:tc>
        <w:tc>
          <w:tcPr>
            <w:tcW w:w="3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17389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&gt;= 95%</w:t>
            </w:r>
          </w:p>
        </w:tc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A581D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98.60%</w:t>
            </w:r>
          </w:p>
        </w:tc>
      </w:tr>
      <w:tr w:rsidR="0060446D" w:rsidRPr="0099543B" w14:paraId="0C40A7A2" w14:textId="77777777" w:rsidTr="00855080"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2B9EA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Reward Maximization</w:t>
            </w:r>
          </w:p>
        </w:tc>
        <w:tc>
          <w:tcPr>
            <w:tcW w:w="3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F117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Positive cumulative reward</w:t>
            </w:r>
          </w:p>
        </w:tc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7EA35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N/A</w:t>
            </w:r>
          </w:p>
        </w:tc>
      </w:tr>
      <w:tr w:rsidR="0060446D" w:rsidRPr="0099543B" w14:paraId="309BC2CC" w14:textId="77777777" w:rsidTr="00855080"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BA40E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PI/VI Policy Agreement</w:t>
            </w:r>
          </w:p>
        </w:tc>
        <w:tc>
          <w:tcPr>
            <w:tcW w:w="3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7B62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Max |V_PI − V_VI| = 0</w:t>
            </w:r>
          </w:p>
        </w:tc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757AF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Achieved (V1)</w:t>
            </w:r>
          </w:p>
        </w:tc>
      </w:tr>
      <w:tr w:rsidR="0060446D" w:rsidRPr="0099543B" w14:paraId="730B7DCE" w14:textId="77777777" w:rsidTr="00855080"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CC713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Model-Free Convergence</w:t>
            </w:r>
          </w:p>
        </w:tc>
        <w:tc>
          <w:tcPr>
            <w:tcW w:w="3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E223B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TD/MC converges within 1000 eps.</w:t>
            </w:r>
          </w:p>
        </w:tc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414B7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Planned (V2)</w:t>
            </w:r>
          </w:p>
        </w:tc>
      </w:tr>
      <w:tr w:rsidR="0060446D" w:rsidRPr="0099543B" w14:paraId="700124E9" w14:textId="77777777" w:rsidTr="00855080"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63310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Adaptive Cost Weighting</w:t>
            </w:r>
          </w:p>
        </w:tc>
        <w:tc>
          <w:tcPr>
            <w:tcW w:w="336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19D98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FN penalty &gt; FP (2:1 ratio)</w:t>
            </w:r>
          </w:p>
        </w:tc>
        <w:tc>
          <w:tcPr>
            <w:tcW w:w="3000" w:type="dxa"/>
            <w:tcBorders>
              <w:top w:val="single" w:sz="4" w:space="0" w:color="BFBFBF"/>
              <w:bottom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78D36" w14:textId="77777777" w:rsidR="0060446D" w:rsidRPr="0099543B" w:rsidRDefault="0060446D" w:rsidP="0085508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99543B">
              <w:rPr>
                <w:rFonts w:eastAsia="Calibri"/>
                <w:color w:val="000000" w:themeColor="text1"/>
                <w:sz w:val="24"/>
                <w:szCs w:val="24"/>
              </w:rPr>
              <w:t>Achieved (V1)</w:t>
            </w:r>
          </w:p>
        </w:tc>
      </w:tr>
    </w:tbl>
    <w:p w14:paraId="76F1E5BE" w14:textId="77777777" w:rsidR="0060446D" w:rsidRPr="0099543B" w:rsidRDefault="0060446D" w:rsidP="0060446D">
      <w:pPr>
        <w:spacing w:after="160"/>
        <w:rPr>
          <w:color w:val="000000" w:themeColor="text1"/>
          <w:sz w:val="24"/>
          <w:szCs w:val="24"/>
        </w:rPr>
      </w:pPr>
    </w:p>
    <w:p w14:paraId="75BE48F4" w14:textId="77777777" w:rsidR="0060446D" w:rsidRPr="0099543B" w:rsidRDefault="0060446D" w:rsidP="0060446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543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5.3 Research Contributions</w:t>
      </w:r>
    </w:p>
    <w:p w14:paraId="2001A9C9" w14:textId="77777777" w:rsidR="0060446D" w:rsidRPr="0099543B" w:rsidRDefault="0060446D" w:rsidP="0060446D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Beyond course requirements, this project contributes:</w:t>
      </w:r>
    </w:p>
    <w:p w14:paraId="7ADB4248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 principled MDP formulation for real-time network security that generalizes to other intrusion detection settings.</w:t>
      </w:r>
    </w:p>
    <w:p w14:paraId="488AC22F" w14:textId="77777777" w:rsidR="0060446D" w:rsidRPr="0099543B" w:rsidRDefault="0060446D" w:rsidP="0060446D">
      <w:pPr>
        <w:spacing w:after="8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An empirical comparison of planning-based (DP) and learning-based (model-free RL) approaches on real SDN traffic data.</w:t>
      </w:r>
    </w:p>
    <w:p w14:paraId="0E4872FF" w14:textId="77777777" w:rsidR="0060446D" w:rsidRDefault="0060446D" w:rsidP="0060446D">
      <w:pPr>
        <w:spacing w:after="80"/>
        <w:jc w:val="both"/>
        <w:rPr>
          <w:rFonts w:eastAsia="Calibri"/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A modular, open-source framework that provides a reproducible foundation for future deep RL and multi-agent network security research.</w:t>
      </w:r>
    </w:p>
    <w:p w14:paraId="473F62C4" w14:textId="77777777" w:rsidR="001F0823" w:rsidRPr="0099543B" w:rsidRDefault="001F0823" w:rsidP="0060446D">
      <w:pPr>
        <w:spacing w:after="80"/>
        <w:jc w:val="both"/>
        <w:rPr>
          <w:color w:val="000000" w:themeColor="text1"/>
          <w:sz w:val="24"/>
          <w:szCs w:val="24"/>
        </w:rPr>
      </w:pPr>
    </w:p>
    <w:p w14:paraId="653E8BA3" w14:textId="13E674EB" w:rsidR="0060446D" w:rsidRPr="001F0823" w:rsidRDefault="0060446D" w:rsidP="0060446D">
      <w:pPr>
        <w:jc w:val="both"/>
        <w:rPr>
          <w:b/>
          <w:bCs/>
          <w:sz w:val="24"/>
          <w:szCs w:val="24"/>
        </w:rPr>
      </w:pPr>
      <w:r w:rsidRPr="001F0823">
        <w:rPr>
          <w:b/>
          <w:bCs/>
          <w:sz w:val="24"/>
          <w:szCs w:val="24"/>
        </w:rPr>
        <w:t>6. References</w:t>
      </w:r>
    </w:p>
    <w:p w14:paraId="3883C26D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[1]</w:t>
      </w:r>
      <w:r w:rsidRPr="0099543B">
        <w:rPr>
          <w:rFonts w:eastAsia="Calibri"/>
          <w:color w:val="000000" w:themeColor="text1"/>
          <w:sz w:val="24"/>
          <w:szCs w:val="24"/>
        </w:rPr>
        <w:tab/>
        <w:t xml:space="preserve">O.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Yoachimik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and J. Pacheco, "Record-breaking 5.6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Tbps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DDoS attack and global DDoS trends for 2024 Q4," Cloudflare Blog, Jan. 2025.</w:t>
      </w:r>
    </w:p>
    <w:p w14:paraId="31C692BC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[2]</w:t>
      </w:r>
      <w:r w:rsidRPr="0099543B">
        <w:rPr>
          <w:rFonts w:eastAsia="Calibri"/>
          <w:color w:val="000000" w:themeColor="text1"/>
          <w:sz w:val="24"/>
          <w:szCs w:val="24"/>
        </w:rPr>
        <w:tab/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Vercara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(DigiCert), "Annual DDoS report 2024: Trends and insights," 2025.</w:t>
      </w:r>
    </w:p>
    <w:p w14:paraId="29F8068C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[3]</w:t>
      </w:r>
      <w:r w:rsidRPr="0099543B">
        <w:rPr>
          <w:rFonts w:eastAsia="Calibri"/>
          <w:color w:val="000000" w:themeColor="text1"/>
          <w:sz w:val="24"/>
          <w:szCs w:val="24"/>
        </w:rPr>
        <w:tab/>
        <w:t xml:space="preserve">S. Y. Alornyo, D. Agyapong, J. K. Kibiwott, and E. Kim, "Real-time analysis of DDoS attack detection and mitigation measures using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XGBoost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 xml:space="preserve"> machine learning algorithm," Univ. North Dakota, 2025.</w:t>
      </w:r>
    </w:p>
    <w:p w14:paraId="2B1FF0F1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[4]</w:t>
      </w:r>
      <w:r w:rsidRPr="0099543B">
        <w:rPr>
          <w:rFonts w:eastAsia="Calibri"/>
          <w:color w:val="000000" w:themeColor="text1"/>
          <w:sz w:val="24"/>
          <w:szCs w:val="24"/>
        </w:rPr>
        <w:tab/>
        <w:t>R. S. Sutton and A. G. Barto, Reinforcement Learning: An Introduction, 2nd ed. Cambridge, MA, USA: MIT Press, 2018.</w:t>
      </w:r>
    </w:p>
    <w:p w14:paraId="036B1D5A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t>[5]</w:t>
      </w:r>
      <w:r w:rsidRPr="0099543B">
        <w:rPr>
          <w:rFonts w:eastAsia="Calibri"/>
          <w:color w:val="000000" w:themeColor="text1"/>
          <w:sz w:val="24"/>
          <w:szCs w:val="24"/>
        </w:rPr>
        <w:tab/>
        <w:t xml:space="preserve">P. S. Saini, S. Behal, and S. Bhatia, "Detection of DDoS attacks using machine learning algorithms," in Proc. </w:t>
      </w:r>
      <w:proofErr w:type="spellStart"/>
      <w:r w:rsidRPr="0099543B">
        <w:rPr>
          <w:rFonts w:eastAsia="Calibri"/>
          <w:color w:val="000000" w:themeColor="text1"/>
          <w:sz w:val="24"/>
          <w:szCs w:val="24"/>
        </w:rPr>
        <w:t>INDIACom</w:t>
      </w:r>
      <w:proofErr w:type="spellEnd"/>
      <w:r w:rsidRPr="0099543B">
        <w:rPr>
          <w:rFonts w:eastAsia="Calibri"/>
          <w:color w:val="000000" w:themeColor="text1"/>
          <w:sz w:val="24"/>
          <w:szCs w:val="24"/>
        </w:rPr>
        <w:t>, 2020, pp. 16–21.</w:t>
      </w:r>
    </w:p>
    <w:p w14:paraId="3F51CA54" w14:textId="77777777" w:rsidR="0060446D" w:rsidRPr="0099543B" w:rsidRDefault="0060446D" w:rsidP="0060446D">
      <w:pPr>
        <w:spacing w:after="80"/>
        <w:ind w:left="400" w:hanging="400"/>
        <w:jc w:val="both"/>
        <w:rPr>
          <w:color w:val="000000" w:themeColor="text1"/>
          <w:sz w:val="24"/>
          <w:szCs w:val="24"/>
        </w:rPr>
      </w:pPr>
      <w:r w:rsidRPr="0099543B">
        <w:rPr>
          <w:rFonts w:eastAsia="Calibri"/>
          <w:color w:val="000000" w:themeColor="text1"/>
          <w:sz w:val="24"/>
          <w:szCs w:val="24"/>
        </w:rPr>
        <w:lastRenderedPageBreak/>
        <w:t>[6]</w:t>
      </w:r>
      <w:r w:rsidRPr="0099543B">
        <w:rPr>
          <w:rFonts w:eastAsia="Calibri"/>
          <w:color w:val="000000" w:themeColor="text1"/>
          <w:sz w:val="24"/>
          <w:szCs w:val="24"/>
        </w:rPr>
        <w:tab/>
        <w:t>N. Moustafa and J. Slay, "A hybrid feature selection for network intrusion detection systems," arXiv:1707.05505, 2017.</w:t>
      </w:r>
    </w:p>
    <w:p w14:paraId="41A38074" w14:textId="77777777" w:rsidR="0060446D" w:rsidRPr="0099543B" w:rsidRDefault="0060446D" w:rsidP="0060446D">
      <w:pPr>
        <w:jc w:val="both"/>
      </w:pPr>
    </w:p>
    <w:sectPr w:rsidR="0060446D" w:rsidRPr="0099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264D"/>
    <w:multiLevelType w:val="hybridMultilevel"/>
    <w:tmpl w:val="2E7465F6"/>
    <w:lvl w:ilvl="0" w:tplc="288E34D6">
      <w:start w:val="1"/>
      <w:numFmt w:val="bullet"/>
      <w:lvlText w:val="•"/>
      <w:lvlJc w:val="left"/>
      <w:pPr>
        <w:ind w:left="560" w:hanging="280"/>
      </w:pPr>
    </w:lvl>
    <w:lvl w:ilvl="1" w:tplc="44DE6B98">
      <w:start w:val="1"/>
      <w:numFmt w:val="bullet"/>
      <w:lvlText w:val="◦"/>
      <w:lvlJc w:val="left"/>
      <w:pPr>
        <w:ind w:left="1000" w:hanging="280"/>
      </w:pPr>
    </w:lvl>
    <w:lvl w:ilvl="2" w:tplc="33187AF8">
      <w:numFmt w:val="decimal"/>
      <w:lvlText w:val=""/>
      <w:lvlJc w:val="left"/>
    </w:lvl>
    <w:lvl w:ilvl="3" w:tplc="0A34AE86">
      <w:numFmt w:val="decimal"/>
      <w:lvlText w:val=""/>
      <w:lvlJc w:val="left"/>
    </w:lvl>
    <w:lvl w:ilvl="4" w:tplc="BB8EC0CE">
      <w:numFmt w:val="decimal"/>
      <w:lvlText w:val=""/>
      <w:lvlJc w:val="left"/>
    </w:lvl>
    <w:lvl w:ilvl="5" w:tplc="4C70FB4A">
      <w:numFmt w:val="decimal"/>
      <w:lvlText w:val=""/>
      <w:lvlJc w:val="left"/>
    </w:lvl>
    <w:lvl w:ilvl="6" w:tplc="0B425432">
      <w:numFmt w:val="decimal"/>
      <w:lvlText w:val=""/>
      <w:lvlJc w:val="left"/>
    </w:lvl>
    <w:lvl w:ilvl="7" w:tplc="988CCFC8">
      <w:numFmt w:val="decimal"/>
      <w:lvlText w:val=""/>
      <w:lvlJc w:val="left"/>
    </w:lvl>
    <w:lvl w:ilvl="8" w:tplc="C24EA2EA">
      <w:numFmt w:val="decimal"/>
      <w:lvlText w:val=""/>
      <w:lvlJc w:val="left"/>
    </w:lvl>
  </w:abstractNum>
  <w:abstractNum w:abstractNumId="1" w15:restartNumberingAfterBreak="0">
    <w:nsid w:val="3A190147"/>
    <w:multiLevelType w:val="hybridMultilevel"/>
    <w:tmpl w:val="71EC0DAC"/>
    <w:lvl w:ilvl="0" w:tplc="ED2E7FD4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620983">
    <w:abstractNumId w:val="0"/>
    <w:lvlOverride w:ilvl="0">
      <w:startOverride w:val="1"/>
    </w:lvlOverride>
  </w:num>
  <w:num w:numId="2" w16cid:durableId="186937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6D"/>
    <w:rsid w:val="000A0B40"/>
    <w:rsid w:val="000F247B"/>
    <w:rsid w:val="001F0823"/>
    <w:rsid w:val="00292D17"/>
    <w:rsid w:val="003B1789"/>
    <w:rsid w:val="00481812"/>
    <w:rsid w:val="004E38B2"/>
    <w:rsid w:val="00580F05"/>
    <w:rsid w:val="0060446D"/>
    <w:rsid w:val="007D66D9"/>
    <w:rsid w:val="00821942"/>
    <w:rsid w:val="0099543B"/>
    <w:rsid w:val="009E69BA"/>
    <w:rsid w:val="00A30558"/>
    <w:rsid w:val="00AB7BA5"/>
    <w:rsid w:val="00B00CB8"/>
    <w:rsid w:val="00C04A30"/>
    <w:rsid w:val="00D04A56"/>
    <w:rsid w:val="00DD0B59"/>
    <w:rsid w:val="00EE248E"/>
    <w:rsid w:val="00EF7321"/>
    <w:rsid w:val="00F360BB"/>
    <w:rsid w:val="00F75CBF"/>
    <w:rsid w:val="00FD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6C20"/>
  <w15:chartTrackingRefBased/>
  <w15:docId w15:val="{8E90615C-C235-46E5-916A-EF0426A0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46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6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0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4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th.alornyo@ndu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7a091-b9a6-47e5-98d0-903d4a419203}" enabled="0" method="" siteId="{ec37a091-b9a6-47e5-98d0-903d4a4192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1434</Words>
  <Characters>8806</Characters>
  <Application>Microsoft Office Word</Application>
  <DocSecurity>0</DocSecurity>
  <Lines>225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Alornyo, Seth Yao</dc:creator>
  <cp:keywords/>
  <dc:description/>
  <cp:lastModifiedBy>Alornyo, Seth Yao</cp:lastModifiedBy>
  <cp:revision>2</cp:revision>
  <dcterms:created xsi:type="dcterms:W3CDTF">2026-03-13T16:37:00Z</dcterms:created>
  <dcterms:modified xsi:type="dcterms:W3CDTF">2026-03-13T16:37:00Z</dcterms:modified>
</cp:coreProperties>
</file>