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06FC8D">
      <w:pPr>
        <w:pStyle w:val="31"/>
        <w:widowControl/>
      </w:pPr>
      <w:bookmarkStart w:id="0" w:name="_GoBack"/>
      <w:bookmarkEnd w:id="0"/>
      <w:r>
        <w:t>深圳润泽千川科技有限公司</w:t>
      </w:r>
      <w:r>
        <w:br w:type="textWrapping"/>
      </w:r>
      <w:r>
        <w:t>HelloBot / Bot招聘 自动续费规则</w:t>
      </w:r>
    </w:p>
    <w:p w14:paraId="3626F1C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版本号：V1.0    更新日期：【2026年4月27日】    生效日期：【2026年4月27日】</w:t>
      </w:r>
    </w:p>
    <w:p w14:paraId="190B1FFC"/>
    <w:p w14:paraId="631EEB9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重要提示：本规则适用于 HelloBot / Bot招聘提供的周服务、月服务或其他具有自动展期、自动续费、自动扣款属性的周期性数字化服务。您开通自动续费前，请重点阅读关于开通方式、扣款时间、扣款金额、价格变更、取消路径、退款限制和平台处置权的条款。</w:t>
      </w:r>
    </w:p>
    <w:p w14:paraId="0F72D727">
      <w:pPr>
        <w:pStyle w:val="3"/>
        <w:numPr>
          <w:ilvl w:val="0"/>
          <w:numId w:val="7"/>
        </w:numPr>
        <w:topLinePunct w:val="0"/>
        <w:ind w:left="0" w:leftChars="0" w:firstLine="0" w:firstLineChars="0"/>
        <w:rPr>
          <w:rFonts w:hint="eastAsia" w:ascii="黑体" w:hAnsi="黑体" w:eastAsia="黑体" w:cs="黑体"/>
          <w:b w:val="0"/>
          <w:bdr w:val="none" w:sz="0" w:space="0"/>
        </w:rPr>
      </w:pPr>
      <w:r>
        <w:t>适用范围与规则效力</w:t>
      </w:r>
    </w:p>
    <w:p w14:paraId="117B7706">
      <w:pPr>
        <w:pStyle w:val="19"/>
        <w:widowControl/>
        <w:numPr>
          <w:ilvl w:val="0"/>
          <w:numId w:val="8"/>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本规则适用于由深圳润泽千川科技有限公司运营的 HelloBot / Bot招聘产品中，采用自动展期、自动续费或自动扣款方式提供的订阅型、周期型、连续包周、连续包月或其他连续性数字化服务。</w:t>
      </w:r>
    </w:p>
    <w:p w14:paraId="315EADD7">
      <w:pPr>
        <w:pStyle w:val="19"/>
        <w:widowControl/>
        <w:numPr>
          <w:ilvl w:val="0"/>
          <w:numId w:val="8"/>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本规则是《用户服务协议》的组成部分；如本规则与订单页、支付页、活动页、弹窗说明、会员权益说明就同一事项存在更具体约定的，在不违反法律法规强制性规定的前提下，以更具体的页面展示或说明为准。</w:t>
      </w:r>
    </w:p>
    <w:p w14:paraId="34C0A4E9">
      <w:pPr>
        <w:pStyle w:val="19"/>
        <w:widowControl/>
        <w:numPr>
          <w:ilvl w:val="0"/>
          <w:numId w:val="8"/>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本服务仅向年满十八周岁的用户提供。未满十八周岁的用户不得开通、购买或使用自动续费服务。</w:t>
      </w:r>
    </w:p>
    <w:p w14:paraId="730FF069">
      <w:pPr>
        <w:pStyle w:val="3"/>
        <w:numPr>
          <w:ilvl w:val="0"/>
          <w:numId w:val="7"/>
        </w:numPr>
        <w:topLinePunct w:val="0"/>
        <w:ind w:left="0" w:leftChars="0" w:firstLine="0" w:firstLineChars="0"/>
        <w:rPr>
          <w:rFonts w:hint="eastAsia" w:ascii="黑体" w:hAnsi="黑体" w:eastAsia="黑体" w:cs="黑体"/>
          <w:b w:val="0"/>
          <w:bdr w:val="none" w:sz="0" w:space="0"/>
        </w:rPr>
      </w:pPr>
      <w:r>
        <w:t>定义</w:t>
      </w:r>
    </w:p>
    <w:p w14:paraId="0E3BA452">
      <w:pPr>
        <w:pStyle w:val="19"/>
        <w:widowControl/>
        <w:numPr>
          <w:ilvl w:val="0"/>
          <w:numId w:val="9"/>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“周期服务”指按周、按月或其他连续周期向您提供的数字化服务、订阅权益、虚拟角色雇佣周期、增值能力或其他连续性服务。</w:t>
      </w:r>
    </w:p>
    <w:p w14:paraId="2E7A7295">
      <w:pPr>
        <w:pStyle w:val="19"/>
        <w:widowControl/>
        <w:numPr>
          <w:ilvl w:val="0"/>
          <w:numId w:val="9"/>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“自动续费服务”指在您明确授权的前提下，在当前服务周期届满前或届满时，通过您绑定的支付方式自动扣取下一周期费用，从而使服务周期自动延续的服务。</w:t>
      </w:r>
    </w:p>
    <w:p w14:paraId="53353285">
      <w:pPr>
        <w:pStyle w:val="19"/>
        <w:widowControl/>
        <w:numPr>
          <w:ilvl w:val="0"/>
          <w:numId w:val="9"/>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“支付渠道”指您选择并绑定的支付工具、应用内支付账户、银行卡或其他支付方式。</w:t>
      </w:r>
    </w:p>
    <w:p w14:paraId="14C2B6D4">
      <w:pPr>
        <w:pStyle w:val="3"/>
        <w:numPr>
          <w:ilvl w:val="0"/>
          <w:numId w:val="7"/>
        </w:numPr>
        <w:topLinePunct w:val="0"/>
        <w:ind w:left="0" w:leftChars="0" w:firstLine="0" w:firstLineChars="0"/>
        <w:rPr>
          <w:rFonts w:hint="eastAsia" w:ascii="黑体" w:hAnsi="黑体" w:eastAsia="黑体" w:cs="黑体"/>
          <w:b w:val="0"/>
          <w:bdr w:val="none" w:sz="0" w:space="0"/>
        </w:rPr>
      </w:pPr>
      <w:r>
        <w:t>开通条件与明示同意</w:t>
      </w:r>
    </w:p>
    <w:p w14:paraId="53EF023F">
      <w:pPr>
        <w:pStyle w:val="19"/>
        <w:widowControl/>
        <w:numPr>
          <w:ilvl w:val="0"/>
          <w:numId w:val="10"/>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自动续费服务仅在您主动勾选、点击确认或以其他清晰、积极的方式作出授权时开通。平台不会以默认勾选、捆绑同意、误导点击或隐藏关键提示的方式替您开通自动续费。</w:t>
      </w:r>
    </w:p>
    <w:p w14:paraId="6CEEA8E4">
      <w:pPr>
        <w:pStyle w:val="19"/>
        <w:widowControl/>
        <w:numPr>
          <w:ilvl w:val="0"/>
          <w:numId w:val="10"/>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您在开通前，应仔细确认服务名称、权益范围、首期价格、续费价格、计费周期、扣款时间、试用规则、优惠到期后的价格、取消路径及退款限制。</w:t>
      </w:r>
    </w:p>
    <w:p w14:paraId="0C355C09">
      <w:pPr>
        <w:pStyle w:val="19"/>
        <w:widowControl/>
        <w:numPr>
          <w:ilvl w:val="0"/>
          <w:numId w:val="10"/>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您确认并同意：一旦开通自动续费，平台将在您授权范围内，于每个服务周期届满前后按照本规则和页面展示通过支付渠道自动发起扣款。</w:t>
      </w:r>
    </w:p>
    <w:p w14:paraId="5CFFB65B">
      <w:pPr>
        <w:pStyle w:val="3"/>
        <w:numPr>
          <w:ilvl w:val="0"/>
          <w:numId w:val="7"/>
        </w:numPr>
        <w:topLinePunct w:val="0"/>
        <w:ind w:left="0" w:leftChars="0" w:firstLine="0" w:firstLineChars="0"/>
        <w:rPr>
          <w:rFonts w:hint="eastAsia" w:ascii="黑体" w:hAnsi="黑体" w:eastAsia="黑体" w:cs="黑体"/>
          <w:b w:val="0"/>
          <w:bdr w:val="none" w:sz="0" w:space="0"/>
        </w:rPr>
      </w:pPr>
      <w:r>
        <w:t>扣款与提醒规则</w:t>
      </w:r>
    </w:p>
    <w:p w14:paraId="3D4B759B">
      <w:pPr>
        <w:pStyle w:val="19"/>
        <w:widowControl/>
        <w:numPr>
          <w:ilvl w:val="0"/>
          <w:numId w:val="11"/>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平台将在法律法规要求的期限内，以站内信、弹窗、消息中心、短信、电子邮件、Push 通知或其他显著方式提醒您自动续费事项；通常情况下，提醒将不晚于自动续费日期前五日发出。</w:t>
      </w:r>
    </w:p>
    <w:p w14:paraId="7A0D8933">
      <w:pPr>
        <w:pStyle w:val="19"/>
        <w:widowControl/>
        <w:numPr>
          <w:ilvl w:val="0"/>
          <w:numId w:val="11"/>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提醒内容通常包括：续费服务名称、下一周期价格、预计扣款时间、取消方式、适用支付渠道以及价格变化提示。具体提醒方式以您在产品内的通知设置和平台实际支持能力为准。</w:t>
      </w:r>
    </w:p>
    <w:p w14:paraId="4A820084">
      <w:pPr>
        <w:pStyle w:val="19"/>
        <w:widowControl/>
        <w:numPr>
          <w:ilvl w:val="0"/>
          <w:numId w:val="11"/>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如您参加首期优惠、限时折扣、试用转正或其他价格优惠活动，平台有权在优惠期届满后，按照届时页面公示或已向您提示的标准价格进行续费。</w:t>
      </w:r>
    </w:p>
    <w:p w14:paraId="64B0F648">
      <w:pPr>
        <w:pStyle w:val="19"/>
        <w:widowControl/>
        <w:numPr>
          <w:ilvl w:val="0"/>
          <w:numId w:val="11"/>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若平台调整续费价格、权益范围、周期设置或自动续费规则，将在生效前以显著方式提示；法律法规要求取得您另行同意的，平台将重新征得您的同意。</w:t>
      </w:r>
    </w:p>
    <w:p w14:paraId="20CB9952">
      <w:pPr>
        <w:pStyle w:val="3"/>
        <w:numPr>
          <w:ilvl w:val="0"/>
          <w:numId w:val="7"/>
        </w:numPr>
        <w:topLinePunct w:val="0"/>
        <w:ind w:left="0" w:leftChars="0" w:firstLine="0" w:firstLineChars="0"/>
        <w:rPr>
          <w:rFonts w:hint="eastAsia" w:ascii="黑体" w:hAnsi="黑体" w:eastAsia="黑体" w:cs="黑体"/>
          <w:b w:val="0"/>
          <w:bdr w:val="none" w:sz="0" w:space="0"/>
        </w:rPr>
      </w:pPr>
      <w:r>
        <w:t>扣款失败、服务中断与平台处置</w:t>
      </w:r>
    </w:p>
    <w:p w14:paraId="39D91A5E">
      <w:pPr>
        <w:pStyle w:val="19"/>
        <w:widowControl/>
        <w:numPr>
          <w:ilvl w:val="0"/>
          <w:numId w:val="12"/>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如因余额不足、银行卡状态异常、支付渠道限制、风控拦截、网络故障、系统异常或其他非因平台故意或重大过失导致的原因造成扣款失败，平台不保证续费一定成功。</w:t>
      </w:r>
    </w:p>
    <w:p w14:paraId="566DAD26">
      <w:pPr>
        <w:pStyle w:val="19"/>
        <w:widowControl/>
        <w:numPr>
          <w:ilvl w:val="0"/>
          <w:numId w:val="12"/>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扣款失败后，平台有权视业务规则暂停、降级或终止相应周期服务；部分角色、权益、配置、雇佣周期、展示状态、优惠资格或历史连续订阅权益可能因此失效。</w:t>
      </w:r>
    </w:p>
    <w:p w14:paraId="3ECA381A">
      <w:pPr>
        <w:pStyle w:val="19"/>
        <w:widowControl/>
        <w:numPr>
          <w:ilvl w:val="0"/>
          <w:numId w:val="12"/>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如平台已实际扣款但未向您提供对应服务，平台将依法依规核实并处理，包括补发权益、顺延周期或原路退款。</w:t>
      </w:r>
    </w:p>
    <w:p w14:paraId="0AEDBF7B">
      <w:pPr>
        <w:pStyle w:val="3"/>
        <w:numPr>
          <w:ilvl w:val="0"/>
          <w:numId w:val="7"/>
        </w:numPr>
        <w:topLinePunct w:val="0"/>
        <w:ind w:left="0" w:leftChars="0" w:firstLine="0" w:firstLineChars="0"/>
        <w:rPr>
          <w:rFonts w:hint="eastAsia" w:ascii="黑体" w:hAnsi="黑体" w:eastAsia="黑体" w:cs="黑体"/>
          <w:b w:val="0"/>
          <w:bdr w:val="none" w:sz="0" w:space="0"/>
        </w:rPr>
      </w:pPr>
      <w:r>
        <w:t>取消、变更与生效时间</w:t>
      </w:r>
    </w:p>
    <w:p w14:paraId="6E9AF580">
      <w:pPr>
        <w:pStyle w:val="19"/>
        <w:widowControl/>
        <w:numPr>
          <w:ilvl w:val="0"/>
          <w:numId w:val="13"/>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您可按照产品内公示路径随时取消自动续费。取消操作通常在当前周期届满后生效；已扣取的当期费用一般不予退还，但法律法规另有规定、页面另有明确承诺或因平台原因导致的除外。</w:t>
      </w:r>
    </w:p>
    <w:p w14:paraId="39547DAB">
      <w:pPr>
        <w:pStyle w:val="19"/>
        <w:widowControl/>
        <w:numPr>
          <w:ilvl w:val="0"/>
          <w:numId w:val="13"/>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您取消自动续费后，当前已生效周期内的服务通常持续至该周期届满；届满后平台不再自动扣款。</w:t>
      </w:r>
    </w:p>
    <w:p w14:paraId="684C4D2F">
      <w:pPr>
        <w:pStyle w:val="19"/>
        <w:widowControl/>
        <w:numPr>
          <w:ilvl w:val="0"/>
          <w:numId w:val="13"/>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如您变更支付渠道、解绑支付方式、切换客户端或删除账户，自动续费状态是否继续生效，以届时页面展示、支付渠道规则和平台实际支持能力为准。</w:t>
      </w:r>
    </w:p>
    <w:p w14:paraId="5BAB0CC4">
      <w:pPr>
        <w:pStyle w:val="3"/>
        <w:numPr>
          <w:ilvl w:val="0"/>
          <w:numId w:val="7"/>
        </w:numPr>
        <w:topLinePunct w:val="0"/>
        <w:ind w:left="0" w:leftChars="0" w:firstLine="0" w:firstLineChars="0"/>
        <w:rPr>
          <w:rFonts w:hint="eastAsia" w:ascii="黑体" w:hAnsi="黑体" w:eastAsia="黑体" w:cs="黑体"/>
          <w:b w:val="0"/>
          <w:bdr w:val="none" w:sz="0" w:space="0"/>
        </w:rPr>
      </w:pPr>
      <w:r>
        <w:t>退款与争议处理</w:t>
      </w:r>
    </w:p>
    <w:p w14:paraId="145656AE">
      <w:pPr>
        <w:pStyle w:val="19"/>
        <w:widowControl/>
        <w:numPr>
          <w:ilvl w:val="0"/>
          <w:numId w:val="14"/>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自动续费属于连续性数字化服务。除法律法规另有规定、平台另有明确承诺，或存在未实际开通、未实际履行、重复扣费、错扣费、平台系统故障等情形外，已经生效或已经开始履行的当期服务原则上不支持无理由退款。</w:t>
      </w:r>
    </w:p>
    <w:p w14:paraId="0095AB1E">
      <w:pPr>
        <w:pStyle w:val="19"/>
        <w:widowControl/>
        <w:numPr>
          <w:ilvl w:val="0"/>
          <w:numId w:val="14"/>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若您对自动续费扣款存在异议，应及时通过平台公示的客服或投诉渠道反馈，并提交账号信息、订单号、扣款截图及其他必要材料。平台将在核实后于合理期限内处理。</w:t>
      </w:r>
    </w:p>
    <w:p w14:paraId="07120694">
      <w:pPr>
        <w:pStyle w:val="19"/>
        <w:widowControl/>
        <w:numPr>
          <w:ilvl w:val="0"/>
          <w:numId w:val="14"/>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如争议涉及第三方支付渠道，您知悉平台可能需要与相关支付机构共同核查交易状态、退款路径和资金流向。</w:t>
      </w:r>
    </w:p>
    <w:p w14:paraId="44C8523E">
      <w:pPr>
        <w:pStyle w:val="3"/>
        <w:numPr>
          <w:ilvl w:val="0"/>
          <w:numId w:val="7"/>
        </w:numPr>
        <w:topLinePunct w:val="0"/>
        <w:ind w:left="0" w:leftChars="0" w:firstLine="0" w:firstLineChars="0"/>
        <w:rPr>
          <w:rFonts w:hint="eastAsia" w:ascii="黑体" w:hAnsi="黑体" w:eastAsia="黑体" w:cs="黑体"/>
          <w:b w:val="0"/>
          <w:bdr w:val="none" w:sz="0" w:space="0"/>
        </w:rPr>
      </w:pPr>
      <w:r>
        <w:t>禁止行为与风险提示</w:t>
      </w:r>
    </w:p>
    <w:p w14:paraId="2766C513">
      <w:pPr>
        <w:pStyle w:val="19"/>
        <w:widowControl/>
        <w:numPr>
          <w:ilvl w:val="0"/>
          <w:numId w:val="15"/>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您不得利用自动续费功能实施盗刷、套现、洗钱、异常套利、恶意拒付、虚假申诉、批量开通、支付作弊或其他违法违规行为。</w:t>
      </w:r>
    </w:p>
    <w:p w14:paraId="651C01B8">
      <w:pPr>
        <w:pStyle w:val="19"/>
        <w:widowControl/>
        <w:numPr>
          <w:ilvl w:val="0"/>
          <w:numId w:val="15"/>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对于存在前述高风险行为的账号，平台有权采取暂停扣款、冻结权益、限制功能、拒绝退款、关闭服务、保存证据并向有关主管部门报告等措施。</w:t>
      </w:r>
    </w:p>
    <w:p w14:paraId="357B487D">
      <w:pPr>
        <w:pStyle w:val="19"/>
        <w:widowControl/>
        <w:numPr>
          <w:ilvl w:val="0"/>
          <w:numId w:val="15"/>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sz w:val="24"/>
          <w:szCs w:val="24"/>
        </w:rPr>
        <w:t>自动续费提醒、消息推送或短信通知可能受到设备设置、网络环境、通信服务商、邮箱过滤规则等因素影响。提醒送达失败不当然影响已明确授权的自动续费服务之效力。</w:t>
      </w:r>
    </w:p>
    <w:p w14:paraId="01101C48">
      <w:pPr>
        <w:pStyle w:val="3"/>
        <w:numPr>
          <w:ilvl w:val="0"/>
          <w:numId w:val="7"/>
        </w:numPr>
        <w:topLinePunct w:val="0"/>
        <w:ind w:left="0" w:leftChars="0" w:firstLine="0" w:firstLineChars="0"/>
        <w:rPr>
          <w:rFonts w:hint="eastAsia" w:ascii="黑体" w:hAnsi="黑体" w:eastAsia="黑体" w:cs="黑体"/>
          <w:b w:val="0"/>
          <w:bdr w:val="none" w:sz="0" w:space="0"/>
        </w:rPr>
      </w:pPr>
      <w:r>
        <w:t>联系我们</w:t>
      </w:r>
    </w:p>
    <w:p w14:paraId="17AED1B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如您对自动续费服务有任何疑问，可通过以下方式联系我们：</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6912"/>
      </w:tblGrid>
      <w:tr w14:paraId="054E4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D9EAF7"/>
            <w:vAlign w:val="center"/>
          </w:tcPr>
          <w:p w14:paraId="335210D3">
            <w:pPr>
              <w:spacing w:after="0" w:line="240" w:lineRule="auto"/>
              <w:jc w:val="center"/>
            </w:pPr>
            <w:r>
              <w:rPr>
                <w:rFonts w:ascii="Noto Sans CJK SC" w:hAnsi="Noto Sans CJK SC" w:eastAsia="Noto Sans CJK SC"/>
                <w:b/>
              </w:rPr>
              <w:t>事项</w:t>
            </w:r>
          </w:p>
        </w:tc>
        <w:tc>
          <w:tcPr>
            <w:tcW w:w="6912" w:type="dxa"/>
            <w:shd w:val="clear" w:color="auto" w:fill="D9EAF7"/>
            <w:vAlign w:val="center"/>
          </w:tcPr>
          <w:p w14:paraId="4A223FE0">
            <w:pPr>
              <w:spacing w:after="0" w:line="240" w:lineRule="auto"/>
              <w:jc w:val="center"/>
            </w:pPr>
            <w:r>
              <w:rPr>
                <w:rFonts w:ascii="Noto Sans CJK SC" w:hAnsi="Noto Sans CJK SC" w:eastAsia="Noto Sans CJK SC"/>
                <w:b/>
              </w:rPr>
              <w:t>联系方式</w:t>
            </w:r>
          </w:p>
        </w:tc>
      </w:tr>
      <w:tr w14:paraId="6F6D8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7FEC1CB3">
            <w:pPr>
              <w:spacing w:after="0" w:line="240" w:lineRule="auto"/>
            </w:pPr>
            <w:r>
              <w:rPr>
                <w:rFonts w:ascii="Noto Sans CJK SC" w:hAnsi="Noto Sans CJK SC" w:eastAsia="Noto Sans CJK SC"/>
              </w:rPr>
              <w:t>主体名称</w:t>
            </w:r>
          </w:p>
        </w:tc>
        <w:tc>
          <w:tcPr>
            <w:tcW w:w="6912" w:type="dxa"/>
            <w:vAlign w:val="center"/>
          </w:tcPr>
          <w:p w14:paraId="0F12FFC8">
            <w:pPr>
              <w:spacing w:after="0" w:line="240" w:lineRule="auto"/>
            </w:pPr>
            <w:r>
              <w:rPr>
                <w:rFonts w:ascii="Noto Sans CJK SC" w:hAnsi="Noto Sans CJK SC" w:eastAsia="Noto Sans CJK SC"/>
              </w:rPr>
              <w:t>深圳润泽千川科技有限公司</w:t>
            </w:r>
          </w:p>
        </w:tc>
      </w:tr>
      <w:tr w14:paraId="2F1F6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4FB121C">
            <w:pPr>
              <w:spacing w:after="0" w:line="240" w:lineRule="auto"/>
            </w:pPr>
            <w:r>
              <w:rPr>
                <w:rFonts w:ascii="Noto Sans CJK SC" w:hAnsi="Noto Sans CJK SC" w:eastAsia="Noto Sans CJK SC"/>
              </w:rPr>
              <w:t>客服邮箱</w:t>
            </w:r>
          </w:p>
        </w:tc>
        <w:tc>
          <w:tcPr>
            <w:tcW w:w="6912" w:type="dxa"/>
            <w:vAlign w:val="center"/>
          </w:tcPr>
          <w:p w14:paraId="15C562A1">
            <w:pPr>
              <w:spacing w:after="0" w:line="240" w:lineRule="auto"/>
            </w:pPr>
            <w:r>
              <w:rPr>
                <w:rFonts w:ascii="Noto Sans CJK SC" w:hAnsi="Noto Sans CJK SC" w:eastAsia="Noto Sans CJK SC"/>
              </w:rPr>
              <w:t>contact@rainzortech.com</w:t>
            </w:r>
          </w:p>
        </w:tc>
      </w:tr>
      <w:tr w14:paraId="185EF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62AD324D">
            <w:pPr>
              <w:spacing w:after="0" w:line="240" w:lineRule="auto"/>
            </w:pPr>
            <w:r>
              <w:rPr>
                <w:rFonts w:ascii="Noto Sans CJK SC" w:hAnsi="Noto Sans CJK SC" w:eastAsia="Noto Sans CJK SC"/>
              </w:rPr>
              <w:t>投诉举报邮箱</w:t>
            </w:r>
          </w:p>
        </w:tc>
        <w:tc>
          <w:tcPr>
            <w:tcW w:w="6912" w:type="dxa"/>
            <w:vAlign w:val="center"/>
          </w:tcPr>
          <w:p w14:paraId="4A772491">
            <w:pPr>
              <w:spacing w:after="0" w:line="240" w:lineRule="auto"/>
            </w:pPr>
            <w:r>
              <w:rPr>
                <w:rFonts w:ascii="Noto Sans CJK SC" w:hAnsi="Noto Sans CJK SC" w:eastAsia="Noto Sans CJK SC"/>
              </w:rPr>
              <w:t>service@rainzortech.com</w:t>
            </w:r>
          </w:p>
        </w:tc>
      </w:tr>
      <w:tr w14:paraId="0059C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35EBEB92">
            <w:pPr>
              <w:spacing w:after="0" w:line="240" w:lineRule="auto"/>
            </w:pPr>
            <w:r>
              <w:rPr>
                <w:rFonts w:ascii="Noto Sans CJK SC" w:hAnsi="Noto Sans CJK SC" w:eastAsia="Noto Sans CJK SC"/>
              </w:rPr>
              <w:t>联系地址</w:t>
            </w:r>
          </w:p>
        </w:tc>
        <w:tc>
          <w:tcPr>
            <w:tcW w:w="6912" w:type="dxa"/>
            <w:vAlign w:val="center"/>
          </w:tcPr>
          <w:p w14:paraId="5C3067E6">
            <w:pPr>
              <w:spacing w:after="0" w:line="240" w:lineRule="auto"/>
            </w:pPr>
            <w:r>
              <w:rPr>
                <w:rFonts w:ascii="Noto Sans CJK SC" w:hAnsi="Noto Sans CJK SC" w:eastAsia="Noto Sans CJK SC"/>
              </w:rPr>
              <w:t>深圳市南山区南头街道大汪山社区桃园路8号田厦国际中心B座2002</w:t>
            </w:r>
          </w:p>
        </w:tc>
      </w:tr>
      <w:tr w14:paraId="75D92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310BF396">
            <w:pPr>
              <w:spacing w:after="0" w:line="240" w:lineRule="auto"/>
            </w:pPr>
            <w:r>
              <w:rPr>
                <w:rFonts w:ascii="Noto Sans CJK SC" w:hAnsi="Noto Sans CJK SC" w:eastAsia="Noto Sans CJK SC"/>
              </w:rPr>
              <w:t>工作时间</w:t>
            </w:r>
          </w:p>
        </w:tc>
        <w:tc>
          <w:tcPr>
            <w:tcW w:w="6912" w:type="dxa"/>
            <w:vAlign w:val="center"/>
          </w:tcPr>
          <w:p w14:paraId="470384BF">
            <w:pPr>
              <w:spacing w:after="0" w:line="240" w:lineRule="auto"/>
            </w:pPr>
            <w:r>
              <w:rPr>
                <w:rFonts w:ascii="Noto Sans CJK SC" w:hAnsi="Noto Sans CJK SC" w:eastAsia="Noto Sans CJK SC"/>
              </w:rPr>
              <w:t>法定工作日 9:00 - 17:00</w:t>
            </w:r>
          </w:p>
        </w:tc>
      </w:tr>
    </w:tbl>
    <w:p w14:paraId="3CAD4307"/>
    <w:p w14:paraId="75ABF13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平台有权根据法律法规变化、监管要求、业务调整、产品策略及风险控制需要，对本规则进行修订，并通过公告、弹窗、站内信、消息中心或其他合理方式通知您。</w:t>
      </w:r>
    </w:p>
    <w:sectPr>
      <w:pgSz w:w="12240" w:h="15840"/>
      <w:pgMar w:top="1296" w:right="1296" w:bottom="1224"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C16CF2"/>
    <w:multiLevelType w:val="singleLevel"/>
    <w:tmpl w:val="90C16CF2"/>
    <w:lvl w:ilvl="0" w:tentative="0">
      <w:start w:val="1"/>
      <w:numFmt w:val="decimal"/>
      <w:suff w:val="space"/>
      <w:lvlText w:val="%1."/>
      <w:lvlJc w:val="left"/>
      <w:pPr>
        <w:ind w:left="0" w:firstLine="482"/>
      </w:pPr>
      <w:rPr>
        <w:rFonts w:hint="default"/>
      </w:rPr>
    </w:lvl>
  </w:abstractNum>
  <w:abstractNum w:abstractNumId="1">
    <w:nsid w:val="AC18C846"/>
    <w:multiLevelType w:val="singleLevel"/>
    <w:tmpl w:val="AC18C846"/>
    <w:lvl w:ilvl="0" w:tentative="0">
      <w:start w:val="1"/>
      <w:numFmt w:val="decimal"/>
      <w:suff w:val="space"/>
      <w:lvlText w:val="%1."/>
      <w:lvlJc w:val="left"/>
      <w:pPr>
        <w:ind w:left="0" w:firstLine="482"/>
      </w:pPr>
      <w:rPr>
        <w:rFonts w:hint="default"/>
      </w:rPr>
    </w:lvl>
  </w:abstractNum>
  <w:abstractNum w:abstractNumId="2">
    <w:nsid w:val="C4792BB0"/>
    <w:multiLevelType w:val="singleLevel"/>
    <w:tmpl w:val="C4792BB0"/>
    <w:lvl w:ilvl="0" w:tentative="0">
      <w:start w:val="1"/>
      <w:numFmt w:val="decimal"/>
      <w:suff w:val="space"/>
      <w:lvlText w:val="%1."/>
      <w:lvlJc w:val="left"/>
      <w:pPr>
        <w:ind w:left="0" w:firstLine="482"/>
      </w:pPr>
      <w:rPr>
        <w:rFonts w:hint="default"/>
      </w:rPr>
    </w:lvl>
  </w:abstractNum>
  <w:abstractNum w:abstractNumId="3">
    <w:nsid w:val="E8F52919"/>
    <w:multiLevelType w:val="singleLevel"/>
    <w:tmpl w:val="E8F52919"/>
    <w:lvl w:ilvl="0" w:tentative="0">
      <w:start w:val="1"/>
      <w:numFmt w:val="decimal"/>
      <w:suff w:val="space"/>
      <w:lvlText w:val="%1."/>
      <w:lvlJc w:val="left"/>
      <w:pPr>
        <w:ind w:left="0" w:firstLine="482"/>
      </w:pPr>
      <w:rPr>
        <w:rFonts w:hint="default"/>
      </w:rPr>
    </w:lvl>
  </w:abstractNum>
  <w:abstractNum w:abstractNumId="4">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0">
    <w:nsid w:val="0A3CDD2D"/>
    <w:multiLevelType w:val="singleLevel"/>
    <w:tmpl w:val="0A3CDD2D"/>
    <w:lvl w:ilvl="0" w:tentative="0">
      <w:start w:val="1"/>
      <w:numFmt w:val="decimal"/>
      <w:suff w:val="space"/>
      <w:lvlText w:val="%1."/>
      <w:lvlJc w:val="left"/>
      <w:pPr>
        <w:ind w:left="0" w:firstLine="482"/>
      </w:pPr>
      <w:rPr>
        <w:rFonts w:hint="default"/>
      </w:rPr>
    </w:lvl>
  </w:abstractNum>
  <w:abstractNum w:abstractNumId="11">
    <w:nsid w:val="12FB9324"/>
    <w:multiLevelType w:val="singleLevel"/>
    <w:tmpl w:val="12FB9324"/>
    <w:lvl w:ilvl="0" w:tentative="0">
      <w:start w:val="1"/>
      <w:numFmt w:val="decimal"/>
      <w:suff w:val="space"/>
      <w:lvlText w:val="%1."/>
      <w:lvlJc w:val="left"/>
      <w:pPr>
        <w:ind w:left="0" w:firstLine="482"/>
      </w:pPr>
      <w:rPr>
        <w:rFonts w:hint="default"/>
      </w:rPr>
    </w:lvl>
  </w:abstractNum>
  <w:abstractNum w:abstractNumId="12">
    <w:nsid w:val="19EEABDD"/>
    <w:multiLevelType w:val="singleLevel"/>
    <w:tmpl w:val="19EEABDD"/>
    <w:lvl w:ilvl="0" w:tentative="0">
      <w:start w:val="1"/>
      <w:numFmt w:val="decimal"/>
      <w:suff w:val="space"/>
      <w:lvlText w:val="%1."/>
      <w:lvlJc w:val="left"/>
      <w:pPr>
        <w:ind w:left="0" w:firstLine="482"/>
      </w:pPr>
      <w:rPr>
        <w:rFonts w:hint="default"/>
      </w:rPr>
    </w:lvl>
  </w:abstractNum>
  <w:abstractNum w:abstractNumId="13">
    <w:nsid w:val="1B60E8B0"/>
    <w:multiLevelType w:val="singleLevel"/>
    <w:tmpl w:val="1B60E8B0"/>
    <w:lvl w:ilvl="0" w:tentative="0">
      <w:start w:val="1"/>
      <w:numFmt w:val="decimal"/>
      <w:suff w:val="space"/>
      <w:lvlText w:val="%1."/>
      <w:lvlJc w:val="left"/>
      <w:pPr>
        <w:ind w:left="0" w:firstLine="482"/>
      </w:pPr>
      <w:rPr>
        <w:rFonts w:hint="default"/>
      </w:rPr>
    </w:lvl>
  </w:abstractNum>
  <w:abstractNum w:abstractNumId="14">
    <w:nsid w:val="51A71FDD"/>
    <w:multiLevelType w:val="singleLevel"/>
    <w:tmpl w:val="51A71FDD"/>
    <w:lvl w:ilvl="0" w:tentative="0">
      <w:start w:val="1"/>
      <w:numFmt w:val="chineseCounting"/>
      <w:suff w:val="nothing"/>
      <w:lvlText w:val="%1、"/>
      <w:lvlJc w:val="left"/>
      <w:pPr>
        <w:ind w:left="0" w:firstLine="0"/>
      </w:pPr>
      <w:rPr>
        <w:rFonts w:hint="eastAsia"/>
      </w:rPr>
    </w:lvl>
  </w:abstractNum>
  <w:num w:numId="1">
    <w:abstractNumId w:val="5"/>
  </w:num>
  <w:num w:numId="2">
    <w:abstractNumId w:val="8"/>
  </w:num>
  <w:num w:numId="3">
    <w:abstractNumId w:val="9"/>
  </w:num>
  <w:num w:numId="4">
    <w:abstractNumId w:val="6"/>
  </w:num>
  <w:num w:numId="5">
    <w:abstractNumId w:val="4"/>
  </w:num>
  <w:num w:numId="6">
    <w:abstractNumId w:val="7"/>
  </w:num>
  <w:num w:numId="7">
    <w:abstractNumId w:val="14"/>
  </w:num>
  <w:num w:numId="8">
    <w:abstractNumId w:val="3"/>
  </w:num>
  <w:num w:numId="9">
    <w:abstractNumId w:val="12"/>
  </w:num>
  <w:num w:numId="10">
    <w:abstractNumId w:val="11"/>
  </w:num>
  <w:num w:numId="11">
    <w:abstractNumId w:val="1"/>
  </w:num>
  <w:num w:numId="12">
    <w:abstractNumId w:val="13"/>
  </w:num>
  <w:num w:numId="13">
    <w:abstractNumId w:val="0"/>
  </w:num>
  <w:num w:numId="14">
    <w:abstractNumId w:val="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34430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2"/>
      <w:szCs w:val="22"/>
      <w:lang w:val="en-US" w:eastAsia="en-US" w:bidi="ar-SA"/>
    </w:rPr>
  </w:style>
  <w:style w:type="paragraph" w:styleId="3">
    <w:name w:val="heading 1"/>
    <w:next w:val="1"/>
    <w:link w:val="138"/>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1"/>
    <w:link w:val="151"/>
    <w:semiHidden/>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1"/>
    <w:link w:val="152"/>
    <w:semiHidden/>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1"/>
    <w:link w:val="153"/>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1"/>
    <w:link w:val="154"/>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1"/>
    <w:link w:val="155"/>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56"/>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39">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next w:val="1"/>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next w:val="1"/>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6">
    <w:name w:val="Light Shading Accent 2"/>
    <w:basedOn w:val="32"/>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37">
    <w:name w:val="Light Shading Accent 3"/>
    <w:basedOn w:val="32"/>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38">
    <w:name w:val="Light Shading Accent 4"/>
    <w:basedOn w:val="32"/>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39">
    <w:name w:val="Light Shading Accent 5"/>
    <w:basedOn w:val="32"/>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0">
    <w:name w:val="Light Shading Accent 6"/>
    <w:basedOn w:val="32"/>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3">
    <w:name w:val="Light List Accent 2"/>
    <w:basedOn w:val="32"/>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4">
    <w:name w:val="Light List Accent 3"/>
    <w:basedOn w:val="32"/>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5">
    <w:name w:val="Light List Accent 4"/>
    <w:basedOn w:val="32"/>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6">
    <w:name w:val="Light List Accent 5"/>
    <w:basedOn w:val="32"/>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47">
    <w:name w:val="Light List Accent 6"/>
    <w:basedOn w:val="32"/>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5">
    <w:name w:val="Medium Grid 1 Accent 2"/>
    <w:basedOn w:val="32"/>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6">
    <w:name w:val="Medium Grid 1 Accent 3"/>
    <w:basedOn w:val="32"/>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87">
    <w:name w:val="Medium Grid 1 Accent 4"/>
    <w:basedOn w:val="32"/>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88">
    <w:name w:val="Medium Grid 1 Accent 5"/>
    <w:basedOn w:val="32"/>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89">
    <w:name w:val="Medium Grid 1 Accent 6"/>
    <w:basedOn w:val="32"/>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3">
    <w:name w:val="Strong"/>
    <w:basedOn w:val="139"/>
    <w:qFormat/>
    <w:uiPriority w:val="22"/>
    <w:rPr>
      <w:b/>
      <w:bCs/>
    </w:rPr>
  </w:style>
  <w:style w:type="character" w:styleId="134">
    <w:name w:val="Emphasis"/>
    <w:basedOn w:val="139"/>
    <w:qFormat/>
    <w:uiPriority w:val="20"/>
    <w:rPr>
      <w:i/>
      <w:iCs/>
    </w:rPr>
  </w:style>
  <w:style w:type="character" w:customStyle="1" w:styleId="135">
    <w:name w:val="Header Char"/>
    <w:basedOn w:val="139"/>
    <w:link w:val="25"/>
    <w:uiPriority w:val="99"/>
  </w:style>
  <w:style w:type="character" w:customStyle="1" w:styleId="136">
    <w:name w:val="Footer Char"/>
    <w:basedOn w:val="139"/>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9"/>
    <w:link w:val="3"/>
    <w:uiPriority w:val="9"/>
    <w:rPr>
      <w:rFonts w:ascii="Times New Roman" w:hAnsi="Times New Roman" w:eastAsia="黑体" w:cs="Times New Roman"/>
      <w:color w:val="000000"/>
      <w:kern w:val="44"/>
      <w:sz w:val="32"/>
      <w:szCs w:val="44"/>
    </w:rPr>
  </w:style>
  <w:style w:type="character" w:customStyle="1" w:styleId="140">
    <w:name w:val="Heading 2 Char"/>
    <w:basedOn w:val="139"/>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1">
    <w:name w:val="Heading 3 Char"/>
    <w:basedOn w:val="139"/>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2">
    <w:name w:val="Title Char"/>
    <w:basedOn w:val="139"/>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3">
    <w:name w:val="Subtitle Char"/>
    <w:basedOn w:val="139"/>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9"/>
    <w:qFormat/>
    <w:uiPriority w:val="99"/>
  </w:style>
  <w:style w:type="character" w:customStyle="1" w:styleId="146">
    <w:name w:val="Body Text 2 Char"/>
    <w:basedOn w:val="139"/>
    <w:link w:val="28"/>
    <w:qFormat/>
    <w:uiPriority w:val="99"/>
  </w:style>
  <w:style w:type="character" w:customStyle="1" w:styleId="147">
    <w:name w:val="Body Text 3 Char"/>
    <w:basedOn w:val="139"/>
    <w:link w:val="17"/>
    <w:uiPriority w:val="99"/>
    <w:rPr>
      <w:sz w:val="16"/>
      <w:szCs w:val="16"/>
    </w:rPr>
  </w:style>
  <w:style w:type="character" w:customStyle="1" w:styleId="148">
    <w:name w:val="Macro Text Char"/>
    <w:basedOn w:val="139"/>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9"/>
    <w:link w:val="149"/>
    <w:uiPriority w:val="29"/>
    <w:rPr>
      <w:i/>
      <w:iCs/>
      <w:color w:val="000000" w:themeColor="text1"/>
      <w14:textFill>
        <w14:solidFill>
          <w14:schemeClr w14:val="tx1"/>
        </w14:solidFill>
      </w14:textFill>
    </w:rPr>
  </w:style>
  <w:style w:type="character" w:customStyle="1" w:styleId="151">
    <w:name w:val="Heading 4 Char"/>
    <w:basedOn w:val="139"/>
    <w:link w:val="6"/>
    <w:semiHidden/>
    <w:uiPriority w:val="9"/>
    <w:rPr>
      <w:rFonts w:ascii="Times New Roman" w:hAnsi="Times New Roman" w:eastAsia="黑体" w:cs="Times New Roman"/>
      <w:bCs/>
      <w:kern w:val="2"/>
      <w:sz w:val="28"/>
      <w:szCs w:val="28"/>
    </w:rPr>
  </w:style>
  <w:style w:type="character" w:customStyle="1" w:styleId="152">
    <w:name w:val="Heading 5 Char"/>
    <w:basedOn w:val="139"/>
    <w:link w:val="7"/>
    <w:semiHidden/>
    <w:qFormat/>
    <w:uiPriority w:val="9"/>
    <w:rPr>
      <w:rFonts w:ascii="Times New Roman" w:hAnsi="Times New Roman" w:eastAsia="黑体" w:cs="Times New Roman"/>
      <w:bCs/>
      <w:kern w:val="2"/>
      <w:sz w:val="28"/>
      <w:szCs w:val="28"/>
    </w:rPr>
  </w:style>
  <w:style w:type="character" w:customStyle="1" w:styleId="153">
    <w:name w:val="Heading 6 Char"/>
    <w:basedOn w:val="139"/>
    <w:link w:val="8"/>
    <w:semiHidden/>
    <w:qFormat/>
    <w:uiPriority w:val="9"/>
    <w:rPr>
      <w:rFonts w:ascii="Times New Roman" w:hAnsi="Times New Roman" w:eastAsia="黑体" w:cs="Times New Roman"/>
      <w:bCs/>
      <w:kern w:val="2"/>
      <w:sz w:val="28"/>
      <w:szCs w:val="24"/>
    </w:rPr>
  </w:style>
  <w:style w:type="character" w:customStyle="1" w:styleId="154">
    <w:name w:val="Heading 7 Char"/>
    <w:basedOn w:val="139"/>
    <w:link w:val="9"/>
    <w:semiHidden/>
    <w:uiPriority w:val="9"/>
    <w:rPr>
      <w:rFonts w:ascii="Times New Roman" w:hAnsi="Times New Roman" w:eastAsia="黑体" w:cs="Times New Roman"/>
      <w:bCs/>
      <w:kern w:val="2"/>
      <w:sz w:val="24"/>
      <w:szCs w:val="24"/>
    </w:rPr>
  </w:style>
  <w:style w:type="character" w:customStyle="1" w:styleId="155">
    <w:name w:val="Heading 8 Char"/>
    <w:basedOn w:val="139"/>
    <w:link w:val="10"/>
    <w:semiHidden/>
    <w:uiPriority w:val="9"/>
    <w:rPr>
      <w:rFonts w:ascii="Times New Roman" w:hAnsi="Times New Roman" w:eastAsia="黑体" w:cs="Times New Roman"/>
      <w:kern w:val="2"/>
      <w:sz w:val="24"/>
      <w:szCs w:val="24"/>
    </w:rPr>
  </w:style>
  <w:style w:type="character" w:customStyle="1" w:styleId="156">
    <w:name w:val="Heading 9 Char"/>
    <w:basedOn w:val="139"/>
    <w:link w:val="11"/>
    <w:semiHidden/>
    <w:uiPriority w:val="9"/>
    <w:rPr>
      <w:rFonts w:ascii="Times New Roman" w:hAnsi="Times New Roman" w:eastAsia="黑体" w:cs="Times New Roman"/>
      <w:kern w:val="2"/>
      <w:sz w:val="21"/>
      <w:szCs w:val="21"/>
    </w:rPr>
  </w:style>
  <w:style w:type="paragraph" w:styleId="157">
    <w:name w:val="Intense Quote"/>
    <w:basedOn w:val="1"/>
    <w:next w:val="1"/>
    <w:link w:val="158"/>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58">
    <w:name w:val="Intense Quote Char"/>
    <w:basedOn w:val="139"/>
    <w:link w:val="157"/>
    <w:uiPriority w:val="30"/>
    <w:rPr>
      <w:b/>
      <w:bCs/>
      <w:i/>
      <w:iCs/>
      <w:color w:val="4874CB" w:themeColor="accent1"/>
      <w14:textFill>
        <w14:solidFill>
          <w14:schemeClr w14:val="accent1"/>
        </w14:solidFill>
      </w14:textFill>
    </w:rPr>
  </w:style>
  <w:style w:type="character" w:customStyle="1" w:styleId="159">
    <w:name w:val="Subtle Emphasis"/>
    <w:basedOn w:val="139"/>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9"/>
    <w:qFormat/>
    <w:uiPriority w:val="21"/>
    <w:rPr>
      <w:b/>
      <w:bCs/>
      <w:i/>
      <w:iCs/>
      <w:color w:val="4874CB" w:themeColor="accent1"/>
      <w14:textFill>
        <w14:solidFill>
          <w14:schemeClr w14:val="accent1"/>
        </w14:solidFill>
      </w14:textFill>
    </w:rPr>
  </w:style>
  <w:style w:type="character" w:customStyle="1" w:styleId="161">
    <w:name w:val="Subtle Reference"/>
    <w:basedOn w:val="139"/>
    <w:qFormat/>
    <w:uiPriority w:val="31"/>
    <w:rPr>
      <w:smallCaps/>
      <w:color w:val="EE822F" w:themeColor="accent2"/>
      <w:u w:val="single"/>
      <w14:textFill>
        <w14:solidFill>
          <w14:schemeClr w14:val="accent2"/>
        </w14:solidFill>
      </w14:textFill>
    </w:rPr>
  </w:style>
  <w:style w:type="character" w:customStyle="1" w:styleId="162">
    <w:name w:val="Intense Reference"/>
    <w:basedOn w:val="139"/>
    <w:qFormat/>
    <w:uiPriority w:val="32"/>
    <w:rPr>
      <w:b/>
      <w:bCs/>
      <w:smallCaps/>
      <w:color w:val="EE822F" w:themeColor="accent2"/>
      <w:spacing w:val="5"/>
      <w:u w:val="single"/>
      <w14:textFill>
        <w14:solidFill>
          <w14:schemeClr w14:val="accent2"/>
        </w14:solidFill>
      </w14:textFill>
    </w:rPr>
  </w:style>
  <w:style w:type="character" w:customStyle="1" w:styleId="163">
    <w:name w:val="Book Title"/>
    <w:basedOn w:val="139"/>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1508</Words>
  <Characters>1568</Characters>
  <Lines>0</Lines>
  <Paragraphs>0</Paragraphs>
  <TotalTime>3</TotalTime>
  <ScaleCrop>false</ScaleCrop>
  <LinksUpToDate>false</LinksUpToDate>
  <CharactersWithSpaces>1605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Jerry Hwang</cp:lastModifiedBy>
  <dcterms:modified xsi:type="dcterms:W3CDTF">2026-04-27T13:05:20Z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eyJoZGlkIjoiZTUzOTZkZjVmM2JlNzdlOTRmNThjNzYxYmYyNzA1MzAiLCJ1c2VySWQiOiIxNTkwNzQ0NzYyIn0=</vt:lpwstr>
  </property>
  <property fmtid="{D5CDD505-2E9C-101B-9397-08002B2CF9AE}" pid="3" name="KSOProductBuildVer">
    <vt:lpwstr>2052-12.1.0.25865</vt:lpwstr>
  </property>
  <property fmtid="{D5CDD505-2E9C-101B-9397-08002B2CF9AE}" pid="4" name="ICV">
    <vt:lpwstr>D40F766EBDE44CF29EEB5D2776504FA5_12</vt:lpwstr>
  </property>
</Properties>
</file>