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A9AF9">
      <w:pPr>
        <w:pStyle w:val="31"/>
        <w:widowControl/>
      </w:pPr>
      <w:bookmarkStart w:id="0" w:name="_GoBack"/>
      <w:bookmarkEnd w:id="0"/>
      <w:r>
        <w:t>深圳润泽千川科技有限公司</w:t>
      </w:r>
      <w:r>
        <w:br w:type="textWrapping"/>
      </w:r>
      <w:r>
        <w:t>HelloBot / Bot招聘 充值、虚拟权益与退款规则</w:t>
      </w:r>
    </w:p>
    <w:p w14:paraId="5131766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版本号：V1.0    更新日期：【2026年4月27日】    生效日期：【2026年4月27日】</w:t>
      </w:r>
    </w:p>
    <w:p w14:paraId="7E2281CC"/>
    <w:p w14:paraId="4AD1586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重要提示：本规则适用于 HelloBot / Bot招聘产品中的充值、购买、持有、使用“钞能力”及其他虚拟权益、数字化服务额度、周期服务与相关退款处理。请您在购买前重点阅读虚拟权益的性质、使用边界、不可提现限制、退款条件、风控处置和“破产清算”规则。</w:t>
      </w:r>
    </w:p>
    <w:p w14:paraId="48BB73EB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适用范围与基本原则</w:t>
      </w:r>
    </w:p>
    <w:p w14:paraId="10226907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本规则适用于您在 HelloBot / Bot招聘产品中进行充值、购买、消耗、查询、管理和争议处理的全部虚拟权益及相关数字化服务。</w:t>
      </w:r>
    </w:p>
    <w:p w14:paraId="2A8F98E9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本规则是《用户服务协议》的组成部分；与订单页、支付页、活动页、充值页、道具页、会员页、客服说明或其他页面规则不一致的，以对具体交易更明确、更具体的页面说明为准。</w:t>
      </w:r>
    </w:p>
    <w:p w14:paraId="0E82E985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本产品仅向年满十八周岁的用户提供相关付费服务。未满十八周岁的用户不得充值、购买、订阅或使用相关付费能力。</w:t>
      </w:r>
    </w:p>
    <w:p w14:paraId="46C4005A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虚拟权益的定义与法律属性</w:t>
      </w:r>
    </w:p>
    <w:p w14:paraId="1E5BC9E2">
      <w:pPr>
        <w:pStyle w:val="19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“钞能力”及平台内其他虚拟权益、服务额度、道具、数字化身份、周期权益、补充权益，仅为平台内部用于结算、记账、展示或兑换数字化服务的虚拟载体，不具有法定货币、金融产品、证券、存款、理财产品、预付卡法定替代物或可提现财产的法律属性。</w:t>
      </w:r>
    </w:p>
    <w:p w14:paraId="1CB81A66">
      <w:pPr>
        <w:pStyle w:val="19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前述虚拟权益仅可在平台内按照页面规则和服务说明使用，不得在平台外流通，不得回兑人民币或其他法币，不得进行场外交易、私下买卖、转让、借用、质押、继承、担保、套现或其他未经授权的流转行为。</w:t>
      </w:r>
    </w:p>
    <w:p w14:paraId="589A61A1">
      <w:pPr>
        <w:pStyle w:val="19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除法律法规另有规定或平台页面另有明确说明外，虚拟权益不对应任何现实世界中的工资、薪酬、补偿金、财产权利或投资收益。</w:t>
      </w:r>
    </w:p>
    <w:p w14:paraId="5A493F00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充值与购买规则</w:t>
      </w:r>
    </w:p>
    <w:p w14:paraId="6C87F2C2">
      <w:pPr>
        <w:pStyle w:val="19"/>
        <w:widowControl/>
        <w:numPr>
          <w:ilvl w:val="0"/>
          <w:numId w:val="10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您可通过平台支持的支付渠道购买相应虚拟权益或数字化服务。具体充值档位、价格、折扣、赠送规则、支付方式和到账规则，以交易页面实时展示为准。</w:t>
      </w:r>
    </w:p>
    <w:p w14:paraId="60DAE6A5">
      <w:pPr>
        <w:pStyle w:val="19"/>
        <w:widowControl/>
        <w:numPr>
          <w:ilvl w:val="0"/>
          <w:numId w:val="10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完成支付后，平台将在正常情况下按照页面规则向您的账号发放相应权益；若出现延迟到账、交易状态异常或支付结果未同步，请及时联系客服并提供必要订单信息。</w:t>
      </w:r>
    </w:p>
    <w:p w14:paraId="62BD9605">
      <w:pPr>
        <w:pStyle w:val="19"/>
        <w:widowControl/>
        <w:numPr>
          <w:ilvl w:val="0"/>
          <w:numId w:val="10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您应确保支付来源合法、支付账户可用、交易行为真实，不得利用信用卡盗刷、洗钱、虚假支付、恶意退款、异常脚本、羊毛套利或其他违法违规方式获取虚拟权益。</w:t>
      </w:r>
    </w:p>
    <w:p w14:paraId="1A832313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虚拟权益的使用与扣减</w:t>
      </w:r>
    </w:p>
    <w:p w14:paraId="44AB91EC">
      <w:pPr>
        <w:pStyle w:val="19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虚拟权益的使用场景、扣减逻辑、有效期限和适用限制，以产品页面、活动说明和订单展示为准。平台可根据业务需要区分通用权益、活动赠送权益、订阅型权益、一次性权益、限时权益或其他不同类型权益。</w:t>
      </w:r>
    </w:p>
    <w:p w14:paraId="3E88E381">
      <w:pPr>
        <w:pStyle w:val="19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不同来源、不同类型的虚拟权益可能存在不同的优先扣减顺序、有效期限、退款属性和使用限制。若页面未作特别说明，平台有权按照先到期先消耗、先赠送后充值或其他合理顺序进行扣减。</w:t>
      </w:r>
    </w:p>
    <w:p w14:paraId="394A10A4">
      <w:pPr>
        <w:pStyle w:val="19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因角色设定和产品玩法需要，平台可能以“发工资”“周薪”“月薪”“补偿”“请喝咖啡”“请吃饭”“复合维生素静脉注射”等修辞化名称描述扣费、补充、续费或消耗逻辑；前述表述仅为平台内部数字化服务规则，不具有现实劳动报酬、医疗服务、经济补偿或其他现实法律关系含义。</w:t>
      </w:r>
    </w:p>
    <w:p w14:paraId="5E4030AF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退款规则</w:t>
      </w:r>
    </w:p>
    <w:p w14:paraId="3DCAC359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除法律法规另有规定、平台另有明确承诺或存在平台原因导致未实际开通、未实际履行、重复扣费、错扣费、系统故障等情形外，已充值成功、已发放到账、已实际消耗、已开始履行或已生效的数字化服务原则上不支持无理由退款。</w:t>
      </w:r>
    </w:p>
    <w:p w14:paraId="395B714B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活动赠送权益、补贴权益、补偿性发放权益、风控纠偏发放权益、体验权益或其他免费发放权益，原则上不支持折现、退款或转化为现金。</w:t>
      </w:r>
    </w:p>
    <w:p w14:paraId="6D723B9F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如您的退款请求经平台核实成立，退款将一般按照原支付路径退回；实际到账时间受支付渠道、银行、应用商店或第三方支付机构处理时效影响。</w:t>
      </w:r>
    </w:p>
    <w:p w14:paraId="774E5DB1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如您系通过 Apple App Store、Google Play、应用商店代扣或其他第三方商店渠道购买，退款受相应商店规则约束；平台将在合理范围内协助核查，但不对第三方渠道的退款审批结果承担保证责任。</w:t>
      </w:r>
    </w:p>
    <w:p w14:paraId="21237659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“破产清算”、重置操作与权益处理</w:t>
      </w:r>
    </w:p>
    <w:p w14:paraId="60B0288E">
      <w:pPr>
        <w:pStyle w:val="19"/>
        <w:widowControl/>
        <w:numPr>
          <w:ilvl w:val="0"/>
          <w:numId w:val="1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“破产清算”“重置公司”或类似命名的功能，仅为产品化经营玩法，不等同于现实法律意义上的破产、清算或注销。</w:t>
      </w:r>
    </w:p>
    <w:p w14:paraId="4DC9BF62">
      <w:pPr>
        <w:pStyle w:val="19"/>
        <w:widowControl/>
        <w:numPr>
          <w:ilvl w:val="0"/>
          <w:numId w:val="1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用户主动触发“破产清算”或类似不可逆重置操作的，视为其自愿放弃当前产品空间中与公司经营、角色状态、部分互动关系、任务进度、活动资格及页面明确标注将随重置失效的虚拟权益和相关数据。</w:t>
      </w:r>
    </w:p>
    <w:p w14:paraId="5EC6F62C">
      <w:pPr>
        <w:pStyle w:val="19"/>
        <w:widowControl/>
        <w:numPr>
          <w:ilvl w:val="0"/>
          <w:numId w:val="1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除法律法规另有规定或页面另有明确承诺外，因用户主动发起前述重置操作而导致的权益失效、配置丢失、资格消灭或历史数据删除，平台无需承担退款、补偿、赔偿或恢复责任。</w:t>
      </w:r>
    </w:p>
    <w:p w14:paraId="4BBD087B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风控、冻结与扣回</w:t>
      </w:r>
    </w:p>
    <w:p w14:paraId="72AD6A96">
      <w:pPr>
        <w:pStyle w:val="19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对于异常充值、异常退款、盗刷、拒付、虚假申诉、套现、洗钱、黑灰产活动、恶意套利、脚本作弊、账号买卖或其他违反法律法规、平台规则的行为，平台有权采取冻结账号、暂停服务、限制支付、扣回权益、取消活动资格、拒绝退款、关闭账号、追究损失等措施。</w:t>
      </w:r>
    </w:p>
    <w:p w14:paraId="36A6451B">
      <w:pPr>
        <w:pStyle w:val="19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如平台基于风控、审计、监管要求或投诉举报发现您的权益取得存在重大异常，平台有权在核查期间暂时冻结相关权益或限制部分功能。</w:t>
      </w:r>
    </w:p>
    <w:p w14:paraId="08A033A2">
      <w:pPr>
        <w:pStyle w:val="19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对于因技术错误、系统故障、活动配置异常、接口异常或其他非正常原因多发、错发、超发的虚拟权益，平台有权更正、撤回、扣回或限制使用。</w:t>
      </w:r>
    </w:p>
    <w:p w14:paraId="60E08679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用户义务与风险提示</w:t>
      </w:r>
    </w:p>
    <w:p w14:paraId="002D18B8">
      <w:pPr>
        <w:pStyle w:val="19"/>
        <w:widowControl/>
        <w:numPr>
          <w:ilvl w:val="0"/>
          <w:numId w:val="1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请您妥善保管账号、验证码、支付密码、支付设备和身份凭证。因您保管不善、共用设备、轻信诈骗、点击钓鱼链接或泄露账号造成的损失，由您自行承担；法律法规另有规定或因平台故意、重大过失导致的除外。</w:t>
      </w:r>
    </w:p>
    <w:p w14:paraId="6281BB78">
      <w:pPr>
        <w:pStyle w:val="19"/>
        <w:widowControl/>
        <w:numPr>
          <w:ilvl w:val="0"/>
          <w:numId w:val="1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虚拟权益可能受到账号状态、产品版本、活动政策、客户端限制、支付渠道规则、监管要求和平台风控措施影响。您应在购买前充分了解适用条件和限制。</w:t>
      </w:r>
    </w:p>
    <w:p w14:paraId="12B6A991">
      <w:pPr>
        <w:pStyle w:val="19"/>
        <w:widowControl/>
        <w:numPr>
          <w:ilvl w:val="0"/>
          <w:numId w:val="1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平台不建议您以囤积、投机、代持、对赌或其他偏离正常消费目的的方式购买、持有或处置虚拟权益。</w:t>
      </w:r>
    </w:p>
    <w:p w14:paraId="487AAC5B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争议处理与联系我们</w:t>
      </w:r>
    </w:p>
    <w:p w14:paraId="5A8100D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如您对充值、到账、扣减、退款、冻结、扣回或其他虚拟权益事项存在疑问，可通过以下方式联系我们：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912"/>
      </w:tblGrid>
      <w:tr w14:paraId="5D232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B0C44A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事项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04A9807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联系方式</w:t>
            </w:r>
          </w:p>
        </w:tc>
      </w:tr>
      <w:tr w14:paraId="5E53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34B52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主体名称</w:t>
            </w:r>
          </w:p>
        </w:tc>
        <w:tc>
          <w:tcPr>
            <w:tcW w:w="6912" w:type="dxa"/>
            <w:vAlign w:val="center"/>
          </w:tcPr>
          <w:p w14:paraId="1CDDE5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深圳润泽千川科技有限公司</w:t>
            </w:r>
          </w:p>
        </w:tc>
      </w:tr>
      <w:tr w14:paraId="15F9A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712D1B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客服邮箱</w:t>
            </w:r>
          </w:p>
        </w:tc>
        <w:tc>
          <w:tcPr>
            <w:tcW w:w="6912" w:type="dxa"/>
            <w:vAlign w:val="center"/>
          </w:tcPr>
          <w:p w14:paraId="38A853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contact@rainzortech.com</w:t>
            </w:r>
          </w:p>
        </w:tc>
      </w:tr>
      <w:tr w14:paraId="309CF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3B3861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投诉举报邮箱</w:t>
            </w:r>
          </w:p>
        </w:tc>
        <w:tc>
          <w:tcPr>
            <w:tcW w:w="6912" w:type="dxa"/>
            <w:vAlign w:val="center"/>
          </w:tcPr>
          <w:p w14:paraId="39E42A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service@rainzortech.com</w:t>
            </w:r>
          </w:p>
        </w:tc>
      </w:tr>
      <w:tr w14:paraId="3667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647F1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联系地址</w:t>
            </w:r>
          </w:p>
        </w:tc>
        <w:tc>
          <w:tcPr>
            <w:tcW w:w="6912" w:type="dxa"/>
            <w:vAlign w:val="center"/>
          </w:tcPr>
          <w:p w14:paraId="2B43A6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深圳市南山区南头街道大汪山社区桃园路8号田厦国际中心B座2002</w:t>
            </w:r>
          </w:p>
        </w:tc>
      </w:tr>
      <w:tr w14:paraId="008C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51893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工作时间</w:t>
            </w:r>
          </w:p>
        </w:tc>
        <w:tc>
          <w:tcPr>
            <w:tcW w:w="6912" w:type="dxa"/>
            <w:vAlign w:val="center"/>
          </w:tcPr>
          <w:p w14:paraId="7B5FDF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法定工作日 9:00 - 17:00</w:t>
            </w:r>
          </w:p>
        </w:tc>
      </w:tr>
    </w:tbl>
    <w:p w14:paraId="07CF5C68"/>
    <w:p w14:paraId="7BCA72F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平台有权根据法律法规变化、监管要求、交易规则、业务调整和风险控制需要，对本规则进行修订，并通过公告、弹窗、消息中心、站内信或其他合理方式通知您。</w:t>
      </w:r>
    </w:p>
    <w:sectPr>
      <w:pgSz w:w="12240" w:h="15840"/>
      <w:pgMar w:top="1296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B5EA3"/>
    <w:multiLevelType w:val="singleLevel"/>
    <w:tmpl w:val="883B5EA3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">
    <w:nsid w:val="AC9B1FEB"/>
    <w:multiLevelType w:val="singleLevel"/>
    <w:tmpl w:val="AC9B1FEB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2">
    <w:nsid w:val="AE52C980"/>
    <w:multiLevelType w:val="singleLevel"/>
    <w:tmpl w:val="AE52C980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3">
    <w:nsid w:val="D16AE3B7"/>
    <w:multiLevelType w:val="singleLevel"/>
    <w:tmpl w:val="D16AE3B7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4">
    <w:nsid w:val="EAC5BD1E"/>
    <w:multiLevelType w:val="singleLevel"/>
    <w:tmpl w:val="EAC5BD1E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3D8D5E9A"/>
    <w:multiLevelType w:val="singleLevel"/>
    <w:tmpl w:val="3D8D5E9A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2">
    <w:nsid w:val="49CED3F1"/>
    <w:multiLevelType w:val="singleLevel"/>
    <w:tmpl w:val="49CED3F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">
    <w:nsid w:val="4F8C3CC0"/>
    <w:multiLevelType w:val="singleLevel"/>
    <w:tmpl w:val="4F8C3CC0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4">
    <w:nsid w:val="59D62431"/>
    <w:multiLevelType w:val="singleLevel"/>
    <w:tmpl w:val="59D62431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12"/>
  </w:num>
  <w:num w:numId="8">
    <w:abstractNumId w:val="4"/>
  </w:num>
  <w:num w:numId="9">
    <w:abstractNumId w:val="11"/>
  </w:num>
  <w:num w:numId="10">
    <w:abstractNumId w:val="3"/>
  </w:num>
  <w:num w:numId="11">
    <w:abstractNumId w:val="14"/>
  </w:num>
  <w:num w:numId="12">
    <w:abstractNumId w:val="1"/>
  </w:num>
  <w:num w:numId="13">
    <w:abstractNumId w:val="0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5A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uiPriority w:val="99"/>
  </w:style>
  <w:style w:type="character" w:customStyle="1" w:styleId="146">
    <w:name w:val="Body Text 2 Char"/>
    <w:basedOn w:val="139"/>
    <w:link w:val="28"/>
    <w:uiPriority w:val="99"/>
  </w:style>
  <w:style w:type="character" w:customStyle="1" w:styleId="147">
    <w:name w:val="Body Text 3 Char"/>
    <w:basedOn w:val="139"/>
    <w:link w:val="17"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2431</Words>
  <Characters>2573</Characters>
  <Lines>0</Lines>
  <Paragraphs>0</Paragraphs>
  <TotalTime>0</TotalTime>
  <ScaleCrop>false</ScaleCrop>
  <LinksUpToDate>false</LinksUpToDate>
  <CharactersWithSpaces>2622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Jerry Hwang</cp:lastModifiedBy>
  <dcterms:modified xsi:type="dcterms:W3CDTF">2026-04-27T13:06:47Z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eyJoZGlkIjoiZTUzOTZkZjVmM2JlNzdlOTRmNThjNzYxYmYyNzA1MzAiLCJ1c2VySWQiOiIxNTkwNzQ0NzYyIn0=</vt:lpwstr>
  </property>
  <property fmtid="{D5CDD505-2E9C-101B-9397-08002B2CF9AE}" pid="3" name="KSOProductBuildVer">
    <vt:lpwstr>2052-12.1.0.25865</vt:lpwstr>
  </property>
  <property fmtid="{D5CDD505-2E9C-101B-9397-08002B2CF9AE}" pid="4" name="ICV">
    <vt:lpwstr>7F3EC5A4D7954D92B973EA3FB98120F8_12</vt:lpwstr>
  </property>
</Properties>
</file>