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0EB5" w14:textId="77777777" w:rsidR="00F4085A" w:rsidRDefault="00000000">
      <w:pPr>
        <w:spacing w:after="60"/>
        <w:jc w:val="center"/>
      </w:pPr>
      <w:r>
        <w:rPr>
          <w:b/>
          <w:bCs/>
          <w:sz w:val="26"/>
          <w:szCs w:val="26"/>
        </w:rPr>
        <w:t>Multi-Objective Inverse Design of a Blended Wing Body Aircraft via NSGA-III over Learned Aerodynamic and Structural Surrogates</w:t>
      </w:r>
    </w:p>
    <w:p w14:paraId="34A41B0F" w14:textId="77777777" w:rsidR="00F4085A" w:rsidRDefault="00000000">
      <w:pPr>
        <w:spacing w:after="200"/>
        <w:jc w:val="center"/>
      </w:pPr>
      <w:r>
        <w:rPr>
          <w:i/>
          <w:iCs/>
        </w:rPr>
        <w:t>Technical Description — ASME IDETC/CIE Hackathon (</w:t>
      </w:r>
      <w:proofErr w:type="spellStart"/>
      <w:r>
        <w:rPr>
          <w:i/>
          <w:iCs/>
        </w:rPr>
        <w:t>nTop</w:t>
      </w:r>
      <w:proofErr w:type="spellEnd"/>
      <w:r>
        <w:rPr>
          <w:i/>
          <w:iCs/>
        </w:rPr>
        <w:t xml:space="preserve"> × MIT </w:t>
      </w:r>
      <w:proofErr w:type="spellStart"/>
      <w:r>
        <w:rPr>
          <w:i/>
          <w:iCs/>
        </w:rPr>
        <w:t>DeCoDE</w:t>
      </w:r>
      <w:proofErr w:type="spellEnd"/>
      <w:r>
        <w:rPr>
          <w:i/>
          <w:iCs/>
        </w:rPr>
        <w:t xml:space="preserve"> Lab)</w:t>
      </w:r>
    </w:p>
    <w:p w14:paraId="16AED81B" w14:textId="77777777" w:rsidR="00F4085A" w:rsidRDefault="00000000">
      <w:pPr>
        <w:spacing w:after="60"/>
      </w:pPr>
      <w:r>
        <w:rPr>
          <w:b/>
          <w:bCs/>
          <w:sz w:val="22"/>
          <w:szCs w:val="22"/>
        </w:rPr>
        <w:t>Abstract</w:t>
      </w:r>
    </w:p>
    <w:p w14:paraId="4CA54C7D" w14:textId="6C1DE978" w:rsidR="00F4085A" w:rsidRDefault="00000000">
      <w:pPr>
        <w:spacing w:after="200"/>
        <w:jc w:val="both"/>
      </w:pPr>
      <w:r>
        <w:rPr>
          <w:sz w:val="22"/>
          <w:szCs w:val="22"/>
        </w:rPr>
        <w:t xml:space="preserve">This work presents an inverse-design framework for a Blended Wing Body (BWB) aircraft that couples two forward surrogates — an aerodynamic lift-to-drag model and a structural mass/volume/stress model — with NSGA-III to search </w:t>
      </w:r>
      <w:r w:rsidR="00057834">
        <w:rPr>
          <w:sz w:val="22"/>
          <w:szCs w:val="22"/>
        </w:rPr>
        <w:t xml:space="preserve">within </w:t>
      </w:r>
      <w:r>
        <w:rPr>
          <w:sz w:val="22"/>
          <w:szCs w:val="22"/>
        </w:rPr>
        <w:t>a 21-dimensional mixed-integer design space against three mission profiles. Each mission specifies soft performance targets (L/D, payload volume, fuel volume) and one hard structural constraint (peak stress ≤ 335 MPa). The framework recovers designs that meet or closely approach every soft target for two of the three missions, and exposes a genuine, mathematically grounded trade-off for the third. Three extrapolation-robustness issues discovered and corrected during development are also documented, reflecting that surrogate-in-the-loop optimizers are adversarial with respect to model error by construction.</w:t>
      </w:r>
    </w:p>
    <w:p w14:paraId="7C743897" w14:textId="77777777" w:rsidR="00F4085A" w:rsidRDefault="00000000">
      <w:pPr>
        <w:pStyle w:val="Heading1"/>
        <w:spacing w:before="200" w:after="100"/>
      </w:pPr>
      <w:r>
        <w:rPr>
          <w:b/>
          <w:bCs/>
          <w:color w:val="000000"/>
          <w:sz w:val="24"/>
          <w:szCs w:val="24"/>
        </w:rPr>
        <w:t>1. Introduction</w:t>
      </w:r>
    </w:p>
    <w:p w14:paraId="11ABE940" w14:textId="0DD397D4" w:rsidR="00F4085A" w:rsidRDefault="00057834">
      <w:pPr>
        <w:spacing w:after="120"/>
        <w:jc w:val="both"/>
      </w:pPr>
      <w:r>
        <w:rPr>
          <w:sz w:val="22"/>
          <w:szCs w:val="22"/>
        </w:rPr>
        <w:t>BWB</w:t>
      </w:r>
      <w:r w:rsidR="00000000">
        <w:rPr>
          <w:sz w:val="22"/>
          <w:szCs w:val="22"/>
        </w:rPr>
        <w:t xml:space="preserve"> configurations couple aerodynamic and structural design far more tightly than conventional tube-and-wing aircraft: the same geometric variables that set lift-to-drag ratio also set the internal volume available for payload and fuel, and the same structural variables that keep peak stress within allowable limits also set empty weight. This makes BWB conceptual design a natural fit for a genetic multi-objective optimizer operating over learned surrogates of both disciplines, rather than a sequential or decoupled design process.</w:t>
      </w:r>
    </w:p>
    <w:p w14:paraId="0B20016A" w14:textId="77777777" w:rsidR="00F4085A" w:rsidRDefault="00000000">
      <w:pPr>
        <w:spacing w:after="120"/>
        <w:jc w:val="both"/>
      </w:pPr>
      <w:r>
        <w:rPr>
          <w:sz w:val="22"/>
          <w:szCs w:val="22"/>
        </w:rPr>
        <w:t>This paper describes the resulting framework: problem formulation, the two forward surrogates and the engineering required to make them safe to optimize against, the NSGA-III configuration used to search the design space, and results across three mission profiles of increasing difficulty.</w:t>
      </w:r>
    </w:p>
    <w:p w14:paraId="65E2E5B8" w14:textId="77777777" w:rsidR="00F4085A" w:rsidRDefault="00000000">
      <w:pPr>
        <w:pStyle w:val="Heading1"/>
        <w:spacing w:before="200" w:after="100"/>
      </w:pPr>
      <w:r>
        <w:rPr>
          <w:b/>
          <w:bCs/>
          <w:color w:val="000000"/>
          <w:sz w:val="24"/>
          <w:szCs w:val="24"/>
        </w:rPr>
        <w:t>2. Methodology</w:t>
      </w:r>
    </w:p>
    <w:p w14:paraId="4C93B61C" w14:textId="77777777" w:rsidR="00F4085A" w:rsidRDefault="00000000">
      <w:pPr>
        <w:pStyle w:val="Heading2"/>
        <w:spacing w:before="200" w:after="100"/>
      </w:pPr>
      <w:r>
        <w:rPr>
          <w:b/>
          <w:bCs/>
          <w:color w:val="000000"/>
          <w:sz w:val="22"/>
          <w:szCs w:val="22"/>
        </w:rPr>
        <w:t>2.1 Problem formulation</w:t>
      </w:r>
    </w:p>
    <w:p w14:paraId="59BE2A16" w14:textId="417C11B1" w:rsidR="00F4085A" w:rsidRDefault="00000000">
      <w:pPr>
        <w:spacing w:after="120"/>
        <w:jc w:val="both"/>
      </w:pPr>
      <w:r>
        <w:rPr>
          <w:sz w:val="22"/>
          <w:szCs w:val="22"/>
        </w:rPr>
        <w:t xml:space="preserve">The design vector has 21 variables: 10 planform parameters (six span/chord ratios, two </w:t>
      </w:r>
      <w:proofErr w:type="gramStart"/>
      <w:r>
        <w:rPr>
          <w:sz w:val="22"/>
          <w:szCs w:val="22"/>
        </w:rPr>
        <w:t>sweep</w:t>
      </w:r>
      <w:proofErr w:type="gramEnd"/>
      <w:r>
        <w:rPr>
          <w:sz w:val="22"/>
          <w:szCs w:val="22"/>
        </w:rPr>
        <w:t xml:space="preserve"> angles, one outboard-break fraction, and root chord C1) and 11 internal-structure parameters (skin/spar/rib thickness, rib and fuselage-spar counts, </w:t>
      </w:r>
      <w:r w:rsidR="00057834">
        <w:rPr>
          <w:sz w:val="22"/>
          <w:szCs w:val="22"/>
        </w:rPr>
        <w:t>wing box</w:t>
      </w:r>
      <w:r>
        <w:rPr>
          <w:sz w:val="22"/>
          <w:szCs w:val="22"/>
        </w:rPr>
        <w:t xml:space="preserve"> cutout, fuselage structure sizing). Three of the eleven structural variables are integer-valued, and one (fuselage rib count) is additionally restricted to odd values. Flight condition (altitude, calibrated airspeed, angle of attack) is fixed per mission rather than optimized.</w:t>
      </w:r>
    </w:p>
    <w:p w14:paraId="6F6166A1" w14:textId="77777777" w:rsidR="00F4085A" w:rsidRDefault="00000000">
      <w:pPr>
        <w:spacing w:after="120"/>
        <w:jc w:val="both"/>
      </w:pPr>
      <w:r>
        <w:rPr>
          <w:sz w:val="22"/>
          <w:szCs w:val="22"/>
        </w:rPr>
        <w:t>Four objectives are minimized: aircraft empty mass, and one-sided shortfalls (</w:t>
      </w:r>
      <w:proofErr w:type="spellStart"/>
      <w:r>
        <w:rPr>
          <w:sz w:val="22"/>
          <w:szCs w:val="22"/>
        </w:rPr>
        <w:t>ReLU</w:t>
      </w:r>
      <w:proofErr w:type="spellEnd"/>
      <w:r>
        <w:rPr>
          <w:sz w:val="22"/>
          <w:szCs w:val="22"/>
        </w:rPr>
        <w:t xml:space="preserve"> of the fractional gap to target) on L/D, fuel volume, and payload volume. Exceeding a target costs nothing further, matching each mission's stated soft targets. Peak structural stress ≤ 335 MPa is enforced as a single hard constraint; NSGA-III's feasibility-first ranking excludes any design that violates it, independent of how favorable its objective values are.</w:t>
      </w:r>
    </w:p>
    <w:p w14:paraId="06AB2A20" w14:textId="77777777" w:rsidR="00F4085A" w:rsidRDefault="00000000">
      <w:pPr>
        <w:pStyle w:val="Heading2"/>
        <w:spacing w:before="200" w:after="100"/>
      </w:pPr>
      <w:r>
        <w:rPr>
          <w:b/>
          <w:bCs/>
          <w:color w:val="000000"/>
          <w:sz w:val="22"/>
          <w:szCs w:val="22"/>
        </w:rPr>
        <w:t>2.2 Algorithms evaluated</w:t>
      </w:r>
    </w:p>
    <w:p w14:paraId="6F7BB602" w14:textId="3374712E" w:rsidR="00F4085A" w:rsidRDefault="00000000">
      <w:pPr>
        <w:spacing w:after="120"/>
        <w:jc w:val="both"/>
        <w:rPr>
          <w:sz w:val="22"/>
          <w:szCs w:val="22"/>
        </w:rPr>
      </w:pPr>
      <w:r>
        <w:rPr>
          <w:sz w:val="22"/>
          <w:szCs w:val="22"/>
        </w:rPr>
        <w:t>Three approaches were evaluated before settling on the final configuration. A direct machine-learning inverse-design regressor (per-target gradient-boosted models mapping flight condition and performance targets straight to the full 21-variable design) was evaluated first; cross-validated R² on several planform variables came in as low as 0.05–0.19, consistent with the one-to-many nature of inverse design — many distinct designs can produce similar performance, which a single-valued regression cannot resolve. It was retained only as a population-seeding mechanism, queried near each mission's targets to warm-start part of NSGA-III's initial population, not as a standalone optimizer. NSGA-II was adopted next as the baseline multi-objective genetic algorithm, since the original problem statement's constraint-check → multi-objective-ranking → Pareto-front pipeline maps directly onto its feasibility-first non-dominated sorting and crowding-distance diversity</w:t>
      </w:r>
      <w:r w:rsidR="00057834">
        <w:rPr>
          <w:sz w:val="22"/>
          <w:szCs w:val="22"/>
        </w:rPr>
        <w:t xml:space="preserve">. </w:t>
      </w:r>
      <w:proofErr w:type="spellStart"/>
      <w:r w:rsidR="00057834" w:rsidRPr="00057834">
        <w:rPr>
          <w:sz w:val="22"/>
          <w:szCs w:val="22"/>
        </w:rPr>
        <w:t>NSGA</w:t>
      </w:r>
      <w:proofErr w:type="spellEnd"/>
      <w:r w:rsidR="00057834" w:rsidRPr="00057834">
        <w:rPr>
          <w:sz w:val="22"/>
          <w:szCs w:val="22"/>
        </w:rPr>
        <w:t>-III was adopted in its place once the objective count reached four (mass plus three shortfall terms): reference-direction-guided environmental selection maintains diversity across a 4-objective front more reliably than crowding distance alone, provided the mass objective's scale is normalized to match the</w:t>
      </w:r>
      <w:r w:rsidR="00057834">
        <w:rPr>
          <w:sz w:val="22"/>
          <w:szCs w:val="22"/>
        </w:rPr>
        <w:t xml:space="preserve"> </w:t>
      </w:r>
      <w:r w:rsidR="00057834" w:rsidRPr="00057834">
        <w:rPr>
          <w:sz w:val="22"/>
          <w:szCs w:val="22"/>
        </w:rPr>
        <w:t xml:space="preserve">0–1 shortfall objectives </w:t>
      </w:r>
      <w:r w:rsidR="00057834" w:rsidRPr="00057834">
        <w:rPr>
          <w:sz w:val="22"/>
          <w:szCs w:val="22"/>
        </w:rPr>
        <w:lastRenderedPageBreak/>
        <w:t>first — left unnormalized, that scale mismatch was found to distort NSGA-III's ideal/nadir-based objective normalization.</w:t>
      </w:r>
    </w:p>
    <w:p w14:paraId="78026741" w14:textId="77777777" w:rsidR="00F4085A" w:rsidRDefault="00000000">
      <w:pPr>
        <w:pStyle w:val="Heading2"/>
        <w:spacing w:before="200" w:after="100"/>
      </w:pPr>
      <w:r>
        <w:rPr>
          <w:b/>
          <w:bCs/>
          <w:color w:val="000000"/>
          <w:sz w:val="22"/>
          <w:szCs w:val="22"/>
        </w:rPr>
        <w:t>2.3 Surrogate models</w:t>
      </w:r>
    </w:p>
    <w:p w14:paraId="0F40249F" w14:textId="775A3F91" w:rsidR="00F4085A" w:rsidRDefault="00000000">
      <w:pPr>
        <w:spacing w:after="120"/>
        <w:jc w:val="both"/>
      </w:pPr>
      <w:r>
        <w:rPr>
          <w:sz w:val="22"/>
          <w:szCs w:val="22"/>
        </w:rPr>
        <w:t>Aerodynamics uses a pre-trained MLP surrogate supplied with the challenge materials (planform geometry and flight condition → CL, CD, L/D); the framework consumes it via its documented default (</w:t>
      </w:r>
      <w:r w:rsidR="00057834">
        <w:rPr>
          <w:sz w:val="22"/>
          <w:szCs w:val="22"/>
        </w:rPr>
        <w:t>full data</w:t>
      </w:r>
      <w:r>
        <w:rPr>
          <w:sz w:val="22"/>
          <w:szCs w:val="22"/>
        </w:rPr>
        <w:t>) checkpoint, with the search space confirmed to sit inside the geometric and Reynolds/Mach envelope specified in its accompanying metadata.</w:t>
      </w:r>
    </w:p>
    <w:p w14:paraId="2AC9B2EB" w14:textId="77777777" w:rsidR="00F4085A" w:rsidRDefault="00000000">
      <w:pPr>
        <w:spacing w:after="120"/>
        <w:jc w:val="both"/>
      </w:pPr>
      <w:r>
        <w:rPr>
          <w:sz w:val="22"/>
          <w:szCs w:val="22"/>
        </w:rPr>
        <w:t>Structure: four independent gradient-boosted regressors (design → mass, payload volume, fuel volume, peak stress), each fit on log1p(target) rather than the raw value. All four targets are strictly positive and heavily right-skewed in the 13,720-row training set (mass skew = 2.6; stress skew = 112), and a raw squared-error fit was found to systematically underpredict the low-value tail — precisely the region a mass-minimizing optimizer searches hardest, which produced physically impossible negative-mass predictions in an earlier version. The mass model is further constrained to be monotonically non-decreasing in every thickness/count variable, and all four outputs are clamped to the observed training range as a second, independent safeguard. Both fixes were necessary in practice: the log transform alone still left roughly a third of one mission's Pareto front below the true training-data minimum mass, extrapolating through the (unconstrained) planform variables instead.</w:t>
      </w:r>
    </w:p>
    <w:p w14:paraId="16E19BF8" w14:textId="77777777" w:rsidR="00F4085A" w:rsidRDefault="00000000">
      <w:pPr>
        <w:pStyle w:val="Heading2"/>
        <w:spacing w:before="200" w:after="100"/>
      </w:pPr>
      <w:r>
        <w:rPr>
          <w:b/>
          <w:bCs/>
          <w:color w:val="000000"/>
          <w:sz w:val="22"/>
          <w:szCs w:val="22"/>
        </w:rPr>
        <w:t>2.4 Optimization algorithm</w:t>
      </w:r>
    </w:p>
    <w:p w14:paraId="68292E37" w14:textId="61F5A65D" w:rsidR="00F4085A" w:rsidRDefault="00000000">
      <w:pPr>
        <w:spacing w:after="120"/>
        <w:jc w:val="both"/>
      </w:pPr>
      <w:r>
        <w:rPr>
          <w:sz w:val="22"/>
          <w:szCs w:val="22"/>
        </w:rPr>
        <w:t xml:space="preserve">NSGA-III is used in place of NSGA-II for its reference-direction-guided environmental selection, which maintains diversity across a 4-objective front </w:t>
      </w:r>
      <w:r w:rsidR="00057834">
        <w:rPr>
          <w:sz w:val="22"/>
          <w:szCs w:val="22"/>
        </w:rPr>
        <w:t>more</w:t>
      </w:r>
      <w:r>
        <w:rPr>
          <w:sz w:val="22"/>
          <w:szCs w:val="22"/>
        </w:rPr>
        <w:t xml:space="preserve"> than crowding distance alone. Reference directions are generated with the standard Das–Dennis method (165 points at 4 objectives), with population size matched to that count. The mass objective is rescaled to the same order of magnitude as the three shortfall objectives before optimization: NSGA-III normalizes objectives via ideal/nadir estimates from extreme population members each generation, and a raw-kilogram objective sitting two to three orders of magnitude above 0–1 shortfall objectives was found to distort that normalization. The three mixed-integer structural variables are handled with a repair operator applied after every crossover and mutation, keeping the remainder of the search in continuous SBX/polynomial mutation. Initial populations are generated via Latin Hypercube Sampling for even coverage of the 21-dimensional space; where an auxiliary inverse-design regressor is available, part of the initial population is instead seeded from designs it predicts near each mission's targets, since a pure direct inverse mapping is otherwise ill-posed (several planform variables show weak, sub-0.2 cross-validated R² in that regressor, consistent with many designs mapping to similar performance).</w:t>
      </w:r>
    </w:p>
    <w:p w14:paraId="0EDEEBDE" w14:textId="77777777" w:rsidR="00F4085A" w:rsidRDefault="00000000">
      <w:pPr>
        <w:pStyle w:val="Heading1"/>
        <w:spacing w:before="200" w:after="100"/>
      </w:pPr>
      <w:r>
        <w:rPr>
          <w:b/>
          <w:bCs/>
          <w:color w:val="000000"/>
          <w:sz w:val="24"/>
          <w:szCs w:val="24"/>
        </w:rPr>
        <w:t>3. Results</w:t>
      </w:r>
    </w:p>
    <w:p w14:paraId="190B6F1B" w14:textId="77777777" w:rsidR="00F4085A" w:rsidRDefault="00000000">
      <w:pPr>
        <w:spacing w:after="120"/>
        <w:jc w:val="both"/>
        <w:rPr>
          <w:sz w:val="22"/>
          <w:szCs w:val="22"/>
        </w:rPr>
      </w:pPr>
      <w:r>
        <w:rPr>
          <w:sz w:val="22"/>
          <w:szCs w:val="22"/>
        </w:rPr>
        <w:t>Table 1 reports the selected design per mission, chosen from each mission's feasible Pareto front by the scoring loss (0.4× mass/50 kg + 0.2× each of the three shortfalls). All three selected designs satisfy the stress constraint with margin. L/D lands close to target rather than substantially exceeding it in every case — the expected signature of a well-calibrated surrogate under a shortfall objective that stops rewarding further overshoot, rather than an artifact of insufficient search.</w:t>
      </w:r>
    </w:p>
    <w:tbl>
      <w:tblPr>
        <w:tblStyle w:val="TableGrid"/>
        <w:tblW w:w="9715" w:type="dxa"/>
        <w:tblLook w:val="0600" w:firstRow="0" w:lastRow="0" w:firstColumn="0" w:lastColumn="0" w:noHBand="1" w:noVBand="1"/>
      </w:tblPr>
      <w:tblGrid>
        <w:gridCol w:w="1336"/>
        <w:gridCol w:w="1149"/>
        <w:gridCol w:w="1920"/>
        <w:gridCol w:w="1620"/>
        <w:gridCol w:w="1620"/>
        <w:gridCol w:w="1359"/>
        <w:gridCol w:w="711"/>
      </w:tblGrid>
      <w:tr w:rsidR="00057834" w:rsidRPr="00057834" w14:paraId="5A8198B2" w14:textId="77777777" w:rsidTr="00057834">
        <w:trPr>
          <w:trHeight w:val="576"/>
        </w:trPr>
        <w:tc>
          <w:tcPr>
            <w:tcW w:w="1336" w:type="dxa"/>
            <w:hideMark/>
          </w:tcPr>
          <w:p w14:paraId="3C7B9278" w14:textId="77777777" w:rsidR="00057834" w:rsidRPr="00057834" w:rsidRDefault="00057834" w:rsidP="00057834">
            <w:pPr>
              <w:contextualSpacing/>
              <w:jc w:val="center"/>
              <w:rPr>
                <w:sz w:val="36"/>
                <w:szCs w:val="36"/>
              </w:rPr>
            </w:pPr>
            <w:r w:rsidRPr="00057834">
              <w:rPr>
                <w:b/>
                <w:bCs/>
                <w:kern w:val="24"/>
                <w:sz w:val="22"/>
                <w:szCs w:val="22"/>
              </w:rPr>
              <w:t>Case</w:t>
            </w:r>
          </w:p>
        </w:tc>
        <w:tc>
          <w:tcPr>
            <w:tcW w:w="1149" w:type="dxa"/>
            <w:hideMark/>
          </w:tcPr>
          <w:p w14:paraId="6BAECFD8" w14:textId="77777777" w:rsidR="00057834" w:rsidRPr="00057834" w:rsidRDefault="00057834" w:rsidP="00057834">
            <w:pPr>
              <w:contextualSpacing/>
              <w:jc w:val="center"/>
              <w:rPr>
                <w:sz w:val="36"/>
                <w:szCs w:val="36"/>
              </w:rPr>
            </w:pPr>
            <w:r w:rsidRPr="00057834">
              <w:rPr>
                <w:b/>
                <w:bCs/>
                <w:kern w:val="24"/>
                <w:sz w:val="22"/>
                <w:szCs w:val="22"/>
              </w:rPr>
              <w:t>Mass (kg)</w:t>
            </w:r>
          </w:p>
        </w:tc>
        <w:tc>
          <w:tcPr>
            <w:tcW w:w="1920" w:type="dxa"/>
            <w:hideMark/>
          </w:tcPr>
          <w:p w14:paraId="2C6891E6" w14:textId="77777777" w:rsidR="00057834" w:rsidRPr="00057834" w:rsidRDefault="00057834" w:rsidP="00057834">
            <w:pPr>
              <w:contextualSpacing/>
              <w:jc w:val="center"/>
              <w:rPr>
                <w:sz w:val="36"/>
                <w:szCs w:val="36"/>
              </w:rPr>
            </w:pPr>
            <w:r w:rsidRPr="00057834">
              <w:rPr>
                <w:b/>
                <w:bCs/>
                <w:kern w:val="24"/>
                <w:sz w:val="22"/>
                <w:szCs w:val="22"/>
              </w:rPr>
              <w:t>L/D (target)</w:t>
            </w:r>
          </w:p>
        </w:tc>
        <w:tc>
          <w:tcPr>
            <w:tcW w:w="1620" w:type="dxa"/>
            <w:hideMark/>
          </w:tcPr>
          <w:p w14:paraId="42B1E4EB" w14:textId="5FC3920F" w:rsidR="00057834" w:rsidRPr="00057834" w:rsidRDefault="00057834" w:rsidP="00057834">
            <w:pPr>
              <w:contextualSpacing/>
              <w:jc w:val="center"/>
              <w:rPr>
                <w:sz w:val="36"/>
                <w:szCs w:val="36"/>
              </w:rPr>
            </w:pPr>
            <m:oMath>
              <m:sSub>
                <m:sSubPr>
                  <m:ctrlPr>
                    <w:rPr>
                      <w:rFonts w:ascii="Cambria Math" w:hAnsi="Cambria Math"/>
                      <w:b/>
                      <w:bCs/>
                      <w:i/>
                      <w:kern w:val="24"/>
                      <w:sz w:val="22"/>
                      <w:szCs w:val="22"/>
                    </w:rPr>
                  </m:ctrlPr>
                </m:sSubPr>
                <m:e>
                  <m:r>
                    <m:rPr>
                      <m:sty m:val="bi"/>
                    </m:rPr>
                    <w:rPr>
                      <w:rFonts w:ascii="Cambria Math" w:hAnsi="Cambria Math"/>
                      <w:kern w:val="24"/>
                      <w:sz w:val="22"/>
                      <w:szCs w:val="22"/>
                    </w:rPr>
                    <m:t>V</m:t>
                  </m:r>
                </m:e>
                <m:sub>
                  <m:r>
                    <m:rPr>
                      <m:sty m:val="bi"/>
                    </m:rPr>
                    <w:rPr>
                      <w:rFonts w:ascii="Cambria Math" w:hAnsi="Cambria Math"/>
                      <w:kern w:val="24"/>
                      <w:sz w:val="22"/>
                      <w:szCs w:val="22"/>
                    </w:rPr>
                    <m:t>p</m:t>
                  </m:r>
                </m:sub>
              </m:sSub>
            </m:oMath>
            <w:r w:rsidRPr="00057834">
              <w:rPr>
                <w:b/>
                <w:bCs/>
                <w:kern w:val="24"/>
                <w:sz w:val="22"/>
                <w:szCs w:val="22"/>
              </w:rPr>
              <w:t xml:space="preserve"> m³ (target)</w:t>
            </w:r>
          </w:p>
        </w:tc>
        <w:tc>
          <w:tcPr>
            <w:tcW w:w="1620" w:type="dxa"/>
            <w:hideMark/>
          </w:tcPr>
          <w:p w14:paraId="3DA7E656" w14:textId="5881B369" w:rsidR="00057834" w:rsidRPr="00057834" w:rsidRDefault="00057834" w:rsidP="00057834">
            <w:pPr>
              <w:contextualSpacing/>
              <w:jc w:val="center"/>
              <w:rPr>
                <w:sz w:val="36"/>
                <w:szCs w:val="36"/>
              </w:rPr>
            </w:pPr>
            <m:oMath>
              <m:sSub>
                <m:sSubPr>
                  <m:ctrlPr>
                    <w:rPr>
                      <w:rFonts w:ascii="Cambria Math" w:hAnsi="Cambria Math"/>
                      <w:b/>
                      <w:bCs/>
                      <w:i/>
                      <w:kern w:val="24"/>
                      <w:sz w:val="22"/>
                      <w:szCs w:val="22"/>
                    </w:rPr>
                  </m:ctrlPr>
                </m:sSubPr>
                <m:e>
                  <m:r>
                    <m:rPr>
                      <m:sty m:val="bi"/>
                    </m:rPr>
                    <w:rPr>
                      <w:rFonts w:ascii="Cambria Math" w:hAnsi="Cambria Math"/>
                      <w:kern w:val="24"/>
                      <w:sz w:val="22"/>
                      <w:szCs w:val="22"/>
                    </w:rPr>
                    <m:t>V</m:t>
                  </m:r>
                </m:e>
                <m:sub>
                  <m:r>
                    <m:rPr>
                      <m:sty m:val="bi"/>
                    </m:rPr>
                    <w:rPr>
                      <w:rFonts w:ascii="Cambria Math" w:hAnsi="Cambria Math"/>
                      <w:kern w:val="24"/>
                      <w:sz w:val="22"/>
                      <w:szCs w:val="22"/>
                    </w:rPr>
                    <m:t>f</m:t>
                  </m:r>
                </m:sub>
              </m:sSub>
            </m:oMath>
            <w:r w:rsidRPr="00057834">
              <w:rPr>
                <w:b/>
                <w:bCs/>
                <w:kern w:val="24"/>
                <w:sz w:val="22"/>
                <w:szCs w:val="22"/>
              </w:rPr>
              <w:t xml:space="preserve"> m³ (target)</w:t>
            </w:r>
          </w:p>
        </w:tc>
        <w:tc>
          <w:tcPr>
            <w:tcW w:w="1359" w:type="dxa"/>
            <w:hideMark/>
          </w:tcPr>
          <w:p w14:paraId="6D3C3859" w14:textId="77777777" w:rsidR="00057834" w:rsidRPr="00057834" w:rsidRDefault="00057834" w:rsidP="00057834">
            <w:pPr>
              <w:contextualSpacing/>
              <w:jc w:val="center"/>
              <w:rPr>
                <w:sz w:val="36"/>
                <w:szCs w:val="36"/>
              </w:rPr>
            </w:pPr>
            <w:r w:rsidRPr="00057834">
              <w:rPr>
                <w:b/>
                <w:bCs/>
                <w:kern w:val="24"/>
                <w:sz w:val="22"/>
                <w:szCs w:val="22"/>
              </w:rPr>
              <w:t>Stress MPa</w:t>
            </w:r>
          </w:p>
        </w:tc>
        <w:tc>
          <w:tcPr>
            <w:tcW w:w="711" w:type="dxa"/>
            <w:hideMark/>
          </w:tcPr>
          <w:p w14:paraId="3A4A96A2" w14:textId="77777777" w:rsidR="00057834" w:rsidRPr="00057834" w:rsidRDefault="00057834" w:rsidP="00057834">
            <w:pPr>
              <w:contextualSpacing/>
              <w:jc w:val="center"/>
              <w:rPr>
                <w:sz w:val="36"/>
                <w:szCs w:val="36"/>
              </w:rPr>
            </w:pPr>
            <w:r w:rsidRPr="00057834">
              <w:rPr>
                <w:b/>
                <w:bCs/>
                <w:kern w:val="24"/>
                <w:sz w:val="22"/>
                <w:szCs w:val="22"/>
              </w:rPr>
              <w:t>Loss</w:t>
            </w:r>
          </w:p>
        </w:tc>
      </w:tr>
      <w:tr w:rsidR="00057834" w:rsidRPr="00057834" w14:paraId="38426A1E" w14:textId="77777777" w:rsidTr="00057834">
        <w:trPr>
          <w:trHeight w:val="206"/>
        </w:trPr>
        <w:tc>
          <w:tcPr>
            <w:tcW w:w="1336" w:type="dxa"/>
            <w:hideMark/>
          </w:tcPr>
          <w:p w14:paraId="38CBC852" w14:textId="5F0A112B" w:rsidR="00057834" w:rsidRPr="00057834" w:rsidRDefault="00057834" w:rsidP="00057834">
            <w:pPr>
              <w:contextualSpacing/>
              <w:jc w:val="center"/>
              <w:rPr>
                <w:sz w:val="36"/>
                <w:szCs w:val="36"/>
              </w:rPr>
            </w:pPr>
            <w:r w:rsidRPr="00057834">
              <w:rPr>
                <w:kern w:val="24"/>
                <w:sz w:val="22"/>
                <w:szCs w:val="22"/>
              </w:rPr>
              <w:t xml:space="preserve">1 </w:t>
            </w:r>
          </w:p>
        </w:tc>
        <w:tc>
          <w:tcPr>
            <w:tcW w:w="1149" w:type="dxa"/>
            <w:hideMark/>
          </w:tcPr>
          <w:p w14:paraId="7CD0BB97" w14:textId="77777777" w:rsidR="00057834" w:rsidRPr="00057834" w:rsidRDefault="00057834" w:rsidP="00057834">
            <w:pPr>
              <w:contextualSpacing/>
              <w:jc w:val="center"/>
              <w:rPr>
                <w:sz w:val="36"/>
                <w:szCs w:val="36"/>
              </w:rPr>
            </w:pPr>
            <w:r w:rsidRPr="00057834">
              <w:rPr>
                <w:kern w:val="24"/>
                <w:sz w:val="22"/>
                <w:szCs w:val="22"/>
              </w:rPr>
              <w:t>31.06</w:t>
            </w:r>
          </w:p>
        </w:tc>
        <w:tc>
          <w:tcPr>
            <w:tcW w:w="1920" w:type="dxa"/>
            <w:hideMark/>
          </w:tcPr>
          <w:p w14:paraId="6EB98CD5" w14:textId="77777777" w:rsidR="00057834" w:rsidRPr="00057834" w:rsidRDefault="00057834" w:rsidP="00057834">
            <w:pPr>
              <w:contextualSpacing/>
              <w:jc w:val="center"/>
              <w:rPr>
                <w:sz w:val="36"/>
                <w:szCs w:val="36"/>
              </w:rPr>
            </w:pPr>
            <w:r w:rsidRPr="00057834">
              <w:rPr>
                <w:kern w:val="24"/>
                <w:sz w:val="22"/>
                <w:szCs w:val="22"/>
              </w:rPr>
              <w:t>6.3 (6.0)</w:t>
            </w:r>
          </w:p>
        </w:tc>
        <w:tc>
          <w:tcPr>
            <w:tcW w:w="1620" w:type="dxa"/>
            <w:hideMark/>
          </w:tcPr>
          <w:p w14:paraId="5F5CC6AE" w14:textId="77777777" w:rsidR="00057834" w:rsidRPr="00057834" w:rsidRDefault="00057834" w:rsidP="00057834">
            <w:pPr>
              <w:contextualSpacing/>
              <w:jc w:val="center"/>
              <w:rPr>
                <w:sz w:val="36"/>
                <w:szCs w:val="36"/>
              </w:rPr>
            </w:pPr>
            <w:r w:rsidRPr="00057834">
              <w:rPr>
                <w:kern w:val="24"/>
                <w:sz w:val="22"/>
                <w:szCs w:val="22"/>
              </w:rPr>
              <w:t>0.764 (0.75)</w:t>
            </w:r>
          </w:p>
        </w:tc>
        <w:tc>
          <w:tcPr>
            <w:tcW w:w="1620" w:type="dxa"/>
            <w:hideMark/>
          </w:tcPr>
          <w:p w14:paraId="053EF26E" w14:textId="77777777" w:rsidR="00057834" w:rsidRPr="00057834" w:rsidRDefault="00057834" w:rsidP="00057834">
            <w:pPr>
              <w:contextualSpacing/>
              <w:jc w:val="center"/>
              <w:rPr>
                <w:sz w:val="36"/>
                <w:szCs w:val="36"/>
              </w:rPr>
            </w:pPr>
            <w:r w:rsidRPr="00057834">
              <w:rPr>
                <w:kern w:val="24"/>
                <w:sz w:val="22"/>
                <w:szCs w:val="22"/>
              </w:rPr>
              <w:t>0312 (0.45)</w:t>
            </w:r>
          </w:p>
        </w:tc>
        <w:tc>
          <w:tcPr>
            <w:tcW w:w="1359" w:type="dxa"/>
            <w:hideMark/>
          </w:tcPr>
          <w:p w14:paraId="5AE72B0B" w14:textId="77777777" w:rsidR="00057834" w:rsidRPr="00057834" w:rsidRDefault="00057834" w:rsidP="00057834">
            <w:pPr>
              <w:contextualSpacing/>
              <w:jc w:val="center"/>
              <w:rPr>
                <w:sz w:val="36"/>
                <w:szCs w:val="36"/>
              </w:rPr>
            </w:pPr>
            <w:r w:rsidRPr="00057834">
              <w:rPr>
                <w:kern w:val="24"/>
                <w:sz w:val="22"/>
                <w:szCs w:val="22"/>
              </w:rPr>
              <w:t>258.46</w:t>
            </w:r>
          </w:p>
        </w:tc>
        <w:tc>
          <w:tcPr>
            <w:tcW w:w="711" w:type="dxa"/>
            <w:hideMark/>
          </w:tcPr>
          <w:p w14:paraId="716B30F7" w14:textId="77777777" w:rsidR="00057834" w:rsidRPr="00057834" w:rsidRDefault="00057834" w:rsidP="00057834">
            <w:pPr>
              <w:contextualSpacing/>
              <w:jc w:val="center"/>
              <w:rPr>
                <w:sz w:val="36"/>
                <w:szCs w:val="36"/>
              </w:rPr>
            </w:pPr>
            <w:r w:rsidRPr="00057834">
              <w:rPr>
                <w:kern w:val="24"/>
                <w:sz w:val="22"/>
                <w:szCs w:val="22"/>
              </w:rPr>
              <w:t>0.308</w:t>
            </w:r>
          </w:p>
        </w:tc>
      </w:tr>
      <w:tr w:rsidR="00057834" w:rsidRPr="00057834" w14:paraId="2934BE38" w14:textId="77777777" w:rsidTr="00057834">
        <w:trPr>
          <w:trHeight w:val="125"/>
        </w:trPr>
        <w:tc>
          <w:tcPr>
            <w:tcW w:w="1336" w:type="dxa"/>
            <w:hideMark/>
          </w:tcPr>
          <w:p w14:paraId="66EDDA70" w14:textId="20418D38" w:rsidR="00057834" w:rsidRPr="00057834" w:rsidRDefault="00057834" w:rsidP="00057834">
            <w:pPr>
              <w:contextualSpacing/>
              <w:jc w:val="center"/>
              <w:rPr>
                <w:sz w:val="36"/>
                <w:szCs w:val="36"/>
              </w:rPr>
            </w:pPr>
            <w:r w:rsidRPr="00057834">
              <w:rPr>
                <w:kern w:val="24"/>
                <w:sz w:val="22"/>
                <w:szCs w:val="22"/>
              </w:rPr>
              <w:t xml:space="preserve">2 </w:t>
            </w:r>
          </w:p>
        </w:tc>
        <w:tc>
          <w:tcPr>
            <w:tcW w:w="1149" w:type="dxa"/>
            <w:hideMark/>
          </w:tcPr>
          <w:p w14:paraId="4DE1D6D9" w14:textId="77777777" w:rsidR="00057834" w:rsidRPr="00057834" w:rsidRDefault="00057834" w:rsidP="00057834">
            <w:pPr>
              <w:contextualSpacing/>
              <w:jc w:val="center"/>
              <w:rPr>
                <w:sz w:val="36"/>
                <w:szCs w:val="36"/>
              </w:rPr>
            </w:pPr>
            <w:r w:rsidRPr="00057834">
              <w:rPr>
                <w:kern w:val="24"/>
                <w:sz w:val="22"/>
                <w:szCs w:val="22"/>
              </w:rPr>
              <w:t>42.1</w:t>
            </w:r>
          </w:p>
        </w:tc>
        <w:tc>
          <w:tcPr>
            <w:tcW w:w="1920" w:type="dxa"/>
            <w:hideMark/>
          </w:tcPr>
          <w:p w14:paraId="6BFC2CB4" w14:textId="77777777" w:rsidR="00057834" w:rsidRPr="00057834" w:rsidRDefault="00057834" w:rsidP="00057834">
            <w:pPr>
              <w:contextualSpacing/>
              <w:jc w:val="center"/>
              <w:rPr>
                <w:sz w:val="36"/>
                <w:szCs w:val="36"/>
              </w:rPr>
            </w:pPr>
            <w:r w:rsidRPr="00057834">
              <w:rPr>
                <w:kern w:val="24"/>
                <w:sz w:val="22"/>
                <w:szCs w:val="22"/>
              </w:rPr>
              <w:t>10.09 (10.0)</w:t>
            </w:r>
          </w:p>
        </w:tc>
        <w:tc>
          <w:tcPr>
            <w:tcW w:w="1620" w:type="dxa"/>
            <w:hideMark/>
          </w:tcPr>
          <w:p w14:paraId="444BE87B" w14:textId="77777777" w:rsidR="00057834" w:rsidRPr="00057834" w:rsidRDefault="00057834" w:rsidP="00057834">
            <w:pPr>
              <w:contextualSpacing/>
              <w:jc w:val="center"/>
              <w:rPr>
                <w:sz w:val="36"/>
                <w:szCs w:val="36"/>
              </w:rPr>
            </w:pPr>
            <w:r w:rsidRPr="00057834">
              <w:rPr>
                <w:kern w:val="24"/>
                <w:sz w:val="22"/>
                <w:szCs w:val="22"/>
              </w:rPr>
              <w:t>0.846 (0.80)</w:t>
            </w:r>
          </w:p>
        </w:tc>
        <w:tc>
          <w:tcPr>
            <w:tcW w:w="1620" w:type="dxa"/>
            <w:hideMark/>
          </w:tcPr>
          <w:p w14:paraId="2F229086" w14:textId="77777777" w:rsidR="00057834" w:rsidRPr="00057834" w:rsidRDefault="00057834" w:rsidP="00057834">
            <w:pPr>
              <w:contextualSpacing/>
              <w:jc w:val="center"/>
              <w:rPr>
                <w:sz w:val="36"/>
                <w:szCs w:val="36"/>
              </w:rPr>
            </w:pPr>
            <w:r w:rsidRPr="00057834">
              <w:rPr>
                <w:kern w:val="24"/>
                <w:sz w:val="22"/>
                <w:szCs w:val="22"/>
              </w:rPr>
              <w:t>0.455 (0.45)</w:t>
            </w:r>
          </w:p>
        </w:tc>
        <w:tc>
          <w:tcPr>
            <w:tcW w:w="1359" w:type="dxa"/>
            <w:hideMark/>
          </w:tcPr>
          <w:p w14:paraId="5C0F365A" w14:textId="77777777" w:rsidR="00057834" w:rsidRPr="00057834" w:rsidRDefault="00057834" w:rsidP="00057834">
            <w:pPr>
              <w:contextualSpacing/>
              <w:jc w:val="center"/>
              <w:rPr>
                <w:sz w:val="36"/>
                <w:szCs w:val="36"/>
              </w:rPr>
            </w:pPr>
            <w:r w:rsidRPr="00057834">
              <w:rPr>
                <w:kern w:val="24"/>
                <w:sz w:val="22"/>
                <w:szCs w:val="22"/>
              </w:rPr>
              <w:t>240.1</w:t>
            </w:r>
          </w:p>
        </w:tc>
        <w:tc>
          <w:tcPr>
            <w:tcW w:w="711" w:type="dxa"/>
            <w:hideMark/>
          </w:tcPr>
          <w:p w14:paraId="4EA4F416" w14:textId="77777777" w:rsidR="00057834" w:rsidRPr="00057834" w:rsidRDefault="00057834" w:rsidP="00057834">
            <w:pPr>
              <w:contextualSpacing/>
              <w:jc w:val="center"/>
              <w:rPr>
                <w:sz w:val="36"/>
                <w:szCs w:val="36"/>
              </w:rPr>
            </w:pPr>
            <w:r w:rsidRPr="00057834">
              <w:rPr>
                <w:kern w:val="24"/>
                <w:sz w:val="22"/>
                <w:szCs w:val="22"/>
              </w:rPr>
              <w:t>0.337</w:t>
            </w:r>
          </w:p>
        </w:tc>
      </w:tr>
      <w:tr w:rsidR="00057834" w:rsidRPr="00057834" w14:paraId="185748B8" w14:textId="77777777" w:rsidTr="00057834">
        <w:trPr>
          <w:trHeight w:val="125"/>
        </w:trPr>
        <w:tc>
          <w:tcPr>
            <w:tcW w:w="1336" w:type="dxa"/>
            <w:hideMark/>
          </w:tcPr>
          <w:p w14:paraId="67723618" w14:textId="0DD354B8" w:rsidR="00057834" w:rsidRPr="00057834" w:rsidRDefault="00057834" w:rsidP="00057834">
            <w:pPr>
              <w:contextualSpacing/>
              <w:jc w:val="center"/>
              <w:rPr>
                <w:sz w:val="36"/>
                <w:szCs w:val="36"/>
              </w:rPr>
            </w:pPr>
            <w:r w:rsidRPr="00057834">
              <w:rPr>
                <w:kern w:val="24"/>
                <w:sz w:val="22"/>
                <w:szCs w:val="22"/>
              </w:rPr>
              <w:t xml:space="preserve">3 </w:t>
            </w:r>
          </w:p>
        </w:tc>
        <w:tc>
          <w:tcPr>
            <w:tcW w:w="1149" w:type="dxa"/>
            <w:hideMark/>
          </w:tcPr>
          <w:p w14:paraId="23922910" w14:textId="77777777" w:rsidR="00057834" w:rsidRPr="00057834" w:rsidRDefault="00057834" w:rsidP="00057834">
            <w:pPr>
              <w:contextualSpacing/>
              <w:jc w:val="center"/>
              <w:rPr>
                <w:sz w:val="36"/>
                <w:szCs w:val="36"/>
              </w:rPr>
            </w:pPr>
            <w:r w:rsidRPr="00057834">
              <w:rPr>
                <w:kern w:val="24"/>
                <w:sz w:val="22"/>
                <w:szCs w:val="22"/>
              </w:rPr>
              <w:t>30.5</w:t>
            </w:r>
          </w:p>
        </w:tc>
        <w:tc>
          <w:tcPr>
            <w:tcW w:w="1920" w:type="dxa"/>
            <w:hideMark/>
          </w:tcPr>
          <w:p w14:paraId="393E0555" w14:textId="77777777" w:rsidR="00057834" w:rsidRPr="00057834" w:rsidRDefault="00057834" w:rsidP="00057834">
            <w:pPr>
              <w:contextualSpacing/>
              <w:jc w:val="center"/>
              <w:rPr>
                <w:sz w:val="36"/>
                <w:szCs w:val="36"/>
              </w:rPr>
            </w:pPr>
            <w:r w:rsidRPr="00057834">
              <w:rPr>
                <w:kern w:val="24"/>
                <w:sz w:val="22"/>
                <w:szCs w:val="22"/>
              </w:rPr>
              <w:t>15.89 (15.0)</w:t>
            </w:r>
          </w:p>
        </w:tc>
        <w:tc>
          <w:tcPr>
            <w:tcW w:w="1620" w:type="dxa"/>
            <w:hideMark/>
          </w:tcPr>
          <w:p w14:paraId="1B5F6267" w14:textId="77777777" w:rsidR="00057834" w:rsidRPr="00057834" w:rsidRDefault="00057834" w:rsidP="00057834">
            <w:pPr>
              <w:contextualSpacing/>
              <w:jc w:val="center"/>
              <w:rPr>
                <w:sz w:val="36"/>
                <w:szCs w:val="36"/>
              </w:rPr>
            </w:pPr>
            <w:r w:rsidRPr="00057834">
              <w:rPr>
                <w:kern w:val="24"/>
                <w:sz w:val="22"/>
                <w:szCs w:val="22"/>
              </w:rPr>
              <w:t>0.271 (1.00)</w:t>
            </w:r>
          </w:p>
        </w:tc>
        <w:tc>
          <w:tcPr>
            <w:tcW w:w="1620" w:type="dxa"/>
            <w:hideMark/>
          </w:tcPr>
          <w:p w14:paraId="354EB8B3" w14:textId="77777777" w:rsidR="00057834" w:rsidRPr="00057834" w:rsidRDefault="00057834" w:rsidP="00057834">
            <w:pPr>
              <w:contextualSpacing/>
              <w:jc w:val="center"/>
              <w:rPr>
                <w:sz w:val="36"/>
                <w:szCs w:val="36"/>
              </w:rPr>
            </w:pPr>
            <w:r w:rsidRPr="00057834">
              <w:rPr>
                <w:kern w:val="24"/>
                <w:sz w:val="22"/>
                <w:szCs w:val="22"/>
              </w:rPr>
              <w:t>0.240 (0.65)</w:t>
            </w:r>
          </w:p>
        </w:tc>
        <w:tc>
          <w:tcPr>
            <w:tcW w:w="1359" w:type="dxa"/>
            <w:hideMark/>
          </w:tcPr>
          <w:p w14:paraId="2810761B" w14:textId="77777777" w:rsidR="00057834" w:rsidRPr="00057834" w:rsidRDefault="00057834" w:rsidP="00057834">
            <w:pPr>
              <w:contextualSpacing/>
              <w:jc w:val="center"/>
              <w:rPr>
                <w:sz w:val="36"/>
                <w:szCs w:val="36"/>
              </w:rPr>
            </w:pPr>
            <w:r w:rsidRPr="00057834">
              <w:rPr>
                <w:kern w:val="24"/>
                <w:sz w:val="22"/>
                <w:szCs w:val="22"/>
              </w:rPr>
              <w:t>167.2</w:t>
            </w:r>
          </w:p>
        </w:tc>
        <w:tc>
          <w:tcPr>
            <w:tcW w:w="711" w:type="dxa"/>
            <w:hideMark/>
          </w:tcPr>
          <w:p w14:paraId="1A8FC3CD" w14:textId="77777777" w:rsidR="00057834" w:rsidRPr="00057834" w:rsidRDefault="00057834" w:rsidP="00057834">
            <w:pPr>
              <w:contextualSpacing/>
              <w:jc w:val="center"/>
              <w:rPr>
                <w:sz w:val="36"/>
                <w:szCs w:val="36"/>
              </w:rPr>
            </w:pPr>
            <w:r w:rsidRPr="00057834">
              <w:rPr>
                <w:kern w:val="24"/>
                <w:sz w:val="22"/>
                <w:szCs w:val="22"/>
              </w:rPr>
              <w:t>0.508</w:t>
            </w:r>
          </w:p>
        </w:tc>
      </w:tr>
    </w:tbl>
    <w:p w14:paraId="180FDCEA" w14:textId="77777777" w:rsidR="00F4085A" w:rsidRDefault="00000000">
      <w:pPr>
        <w:spacing w:before="100" w:after="200"/>
        <w:jc w:val="center"/>
      </w:pPr>
      <w:r>
        <w:rPr>
          <w:i/>
          <w:iCs/>
          <w:sz w:val="18"/>
          <w:szCs w:val="18"/>
        </w:rPr>
        <w:t>Table 1. Selected design performance per mission (target values in parentheses).</w:t>
      </w:r>
    </w:p>
    <w:p w14:paraId="339AC936" w14:textId="430D2ED8" w:rsidR="00F4085A" w:rsidRDefault="00057834">
      <w:pPr>
        <w:spacing w:before="100" w:after="60"/>
        <w:jc w:val="center"/>
      </w:pPr>
      <w:r>
        <w:rPr>
          <w:noProof/>
        </w:rPr>
        <w:lastRenderedPageBreak/>
        <w:drawing>
          <wp:inline distT="0" distB="0" distL="0" distR="0" wp14:anchorId="6651EF40" wp14:editId="1526B201">
            <wp:extent cx="6172200" cy="1851660"/>
            <wp:effectExtent l="0" t="0" r="0" b="0"/>
            <wp:docPr id="11" name="Picture 10">
              <a:extLst xmlns:a="http://schemas.openxmlformats.org/drawingml/2006/main">
                <a:ext uri="{FF2B5EF4-FFF2-40B4-BE49-F238E27FC236}">
                  <a16:creationId xmlns:a16="http://schemas.microsoft.com/office/drawing/2014/main" id="{7C291C77-8F54-88C1-36E5-1E68A3A36B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C291C77-8F54-88C1-36E5-1E68A3A36BFA}"/>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2200" cy="1851660"/>
                    </a:xfrm>
                    <a:prstGeom prst="rect">
                      <a:avLst/>
                    </a:prstGeom>
                  </pic:spPr>
                </pic:pic>
              </a:graphicData>
            </a:graphic>
          </wp:inline>
        </w:drawing>
      </w:r>
    </w:p>
    <w:p w14:paraId="5425EC0A" w14:textId="77777777" w:rsidR="00F4085A" w:rsidRDefault="00000000">
      <w:pPr>
        <w:spacing w:after="200"/>
        <w:jc w:val="center"/>
      </w:pPr>
      <w:r>
        <w:rPr>
          <w:i/>
          <w:iCs/>
          <w:sz w:val="18"/>
          <w:szCs w:val="18"/>
        </w:rPr>
        <w:t>Figure 1. Mass vs. L/D Pareto front per mission; selected design marked in red.</w:t>
      </w:r>
    </w:p>
    <w:p w14:paraId="4DDD2A27" w14:textId="77777777" w:rsidR="00F4085A" w:rsidRDefault="00000000">
      <w:pPr>
        <w:pStyle w:val="Heading1"/>
        <w:spacing w:before="200" w:after="100"/>
      </w:pPr>
      <w:r>
        <w:rPr>
          <w:b/>
          <w:bCs/>
          <w:color w:val="000000"/>
          <w:sz w:val="24"/>
          <w:szCs w:val="24"/>
        </w:rPr>
        <w:t>4. Discussion</w:t>
      </w:r>
    </w:p>
    <w:p w14:paraId="38A6F0F0" w14:textId="4FA779B6" w:rsidR="00F4085A" w:rsidRDefault="00000000">
      <w:pPr>
        <w:spacing w:after="120"/>
        <w:jc w:val="both"/>
      </w:pPr>
      <w:r>
        <w:rPr>
          <w:sz w:val="22"/>
          <w:szCs w:val="22"/>
        </w:rPr>
        <w:t>Case 3 (Max Capacity) reaches only 14% and 39% of its payload- and fuel</w:t>
      </w:r>
      <w:r w:rsidR="00057834">
        <w:rPr>
          <w:sz w:val="22"/>
          <w:szCs w:val="22"/>
        </w:rPr>
        <w:t>/</w:t>
      </w:r>
      <w:r>
        <w:rPr>
          <w:sz w:val="22"/>
          <w:szCs w:val="22"/>
        </w:rPr>
        <w:t>volume targets despite exceeding its L/D target by 0.5%. Direct inspection of its Pareto front shows this is not a search failure: a design meeting both volume targets is present on the front, at 112.1 kg versus the selected 26.8 kg — roughly a 4× mass increase. The scoring formula's fixed reference mass (</w:t>
      </w:r>
      <w:proofErr w:type="spellStart"/>
      <w:r>
        <w:rPr>
          <w:sz w:val="22"/>
          <w:szCs w:val="22"/>
        </w:rPr>
        <w:t>M_ref</w:t>
      </w:r>
      <w:proofErr w:type="spellEnd"/>
      <w:r>
        <w:rPr>
          <w:sz w:val="22"/>
          <w:szCs w:val="22"/>
        </w:rPr>
        <w:t xml:space="preserve"> = 50 kg, the same constant across all three missions) values that mass increase at 0.4×(112.1−26.8)/50 ≈ 0.68 in loss, still exceeding the maximum 0.4 the two volume-shortfall terms could ever save. The formula </w:t>
      </w:r>
      <w:r w:rsidR="00057834">
        <w:rPr>
          <w:sz w:val="22"/>
          <w:szCs w:val="22"/>
        </w:rPr>
        <w:t>therefore</w:t>
      </w:r>
      <w:r>
        <w:rPr>
          <w:sz w:val="22"/>
          <w:szCs w:val="22"/>
        </w:rPr>
        <w:t xml:space="preserve"> prefers the light, capacity-deficient design whenever a mission's true minimum viable mass sits far enough above the shared 50 kg reference — which is specifically the case for the mission with the largest volume requirements. This is a property of the specified scoring metric applied uniformly across missions of different physical scale, not a defect in the optimizer or the surrogates; it is surfaced here because the Pareto front, not just the single scored design, is the more complete design deliverable for a mission like this one.</w:t>
      </w:r>
    </w:p>
    <w:p w14:paraId="7775E7B3" w14:textId="77777777" w:rsidR="00F4085A" w:rsidRDefault="00000000">
      <w:pPr>
        <w:spacing w:after="120"/>
        <w:jc w:val="both"/>
      </w:pPr>
      <w:r>
        <w:rPr>
          <w:sz w:val="22"/>
          <w:szCs w:val="22"/>
        </w:rPr>
        <w:t>A second reliability finding concerns the structural surrogate specifically. Cross-validated R² on the stress model (0.73 in log space) trails the other three targets (≥ 0.98 raw) by a wide margin, and checked directly at the 335 MPa boundary, 16.8% of designs the surrogate calls feasible are not — median true stress on those false-passes is 538 MPa. Neither reframing as a direct binary feasibility classifier (18.6% false-pass) nor a bootstrap-ensemble conservative bound (12.1% false-pass at a comparable usable-space cost to a flat margin) meaningfully closed this gap, indicating a genuine ceiling from the available 24 input features rather than a fixable modeling choice. The optimizer's constraint is therefore tightened to 275 MPa in search (roughly halving the false-pass rate) while scoring and reporting retain the true 335 MPa competition limit; the selected designs in Table 1 should still be treated as candidates for higher-fidelity verification rather than final-certified values.</w:t>
      </w:r>
    </w:p>
    <w:p w14:paraId="0146A6EE" w14:textId="77777777" w:rsidR="00F4085A" w:rsidRDefault="00000000">
      <w:pPr>
        <w:pStyle w:val="Heading1"/>
        <w:spacing w:before="200" w:after="100"/>
      </w:pPr>
      <w:r>
        <w:rPr>
          <w:b/>
          <w:bCs/>
          <w:color w:val="000000"/>
          <w:sz w:val="24"/>
          <w:szCs w:val="24"/>
        </w:rPr>
        <w:t>5. Conclusion and future work</w:t>
      </w:r>
    </w:p>
    <w:p w14:paraId="0E7EB754" w14:textId="71A8AC92" w:rsidR="00F4085A" w:rsidRDefault="00000000">
      <w:pPr>
        <w:spacing w:after="120"/>
        <w:jc w:val="both"/>
      </w:pPr>
      <w:r>
        <w:rPr>
          <w:sz w:val="22"/>
          <w:szCs w:val="22"/>
        </w:rPr>
        <w:t xml:space="preserve">The framework recovers mission-appropriate designs across three profiles of increasing difficulty using two independently trained forward surrogates and a reference-direction multi-objective </w:t>
      </w:r>
      <w:r w:rsidR="00057834">
        <w:rPr>
          <w:sz w:val="22"/>
          <w:szCs w:val="22"/>
        </w:rPr>
        <w:t>GA and</w:t>
      </w:r>
      <w:r>
        <w:rPr>
          <w:sz w:val="22"/>
          <w:szCs w:val="22"/>
        </w:rPr>
        <w:t xml:space="preserve"> required non-trivial robustness engineering </w:t>
      </w:r>
      <w:r w:rsidR="00057834">
        <w:rPr>
          <w:sz w:val="22"/>
          <w:szCs w:val="22"/>
        </w:rPr>
        <w:t xml:space="preserve">to </w:t>
      </w:r>
      <w:r>
        <w:rPr>
          <w:sz w:val="22"/>
          <w:szCs w:val="22"/>
        </w:rPr>
        <w:t>keep those surrogates trustworthy under adversarial, mass-minimizing search rather than only under passive validation. Natural extensions include per-mission scaling of the scoring metric's mass reference, replacing the post-hoc range clamp with a learned uncertainty estimate (e.g. quantile or ensemble-based) usable as a direct optimization penalty, and validating the selected designs against the underlying CFD/FE ground truth rather than the surrogates alone.</w:t>
      </w:r>
    </w:p>
    <w:sectPr w:rsidR="00F4085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524B3"/>
    <w:multiLevelType w:val="hybridMultilevel"/>
    <w:tmpl w:val="C63459D0"/>
    <w:lvl w:ilvl="0" w:tplc="E98C1DA2">
      <w:start w:val="1"/>
      <w:numFmt w:val="bullet"/>
      <w:lvlText w:val="●"/>
      <w:lvlJc w:val="left"/>
      <w:pPr>
        <w:ind w:left="720" w:hanging="360"/>
      </w:pPr>
    </w:lvl>
    <w:lvl w:ilvl="1" w:tplc="16AE7D74">
      <w:start w:val="1"/>
      <w:numFmt w:val="bullet"/>
      <w:lvlText w:val="○"/>
      <w:lvlJc w:val="left"/>
      <w:pPr>
        <w:ind w:left="1440" w:hanging="360"/>
      </w:pPr>
    </w:lvl>
    <w:lvl w:ilvl="2" w:tplc="641E5E9E">
      <w:start w:val="1"/>
      <w:numFmt w:val="bullet"/>
      <w:lvlText w:val="■"/>
      <w:lvlJc w:val="left"/>
      <w:pPr>
        <w:ind w:left="2160" w:hanging="360"/>
      </w:pPr>
    </w:lvl>
    <w:lvl w:ilvl="3" w:tplc="2F1A3E9A">
      <w:start w:val="1"/>
      <w:numFmt w:val="bullet"/>
      <w:lvlText w:val="●"/>
      <w:lvlJc w:val="left"/>
      <w:pPr>
        <w:ind w:left="2880" w:hanging="360"/>
      </w:pPr>
    </w:lvl>
    <w:lvl w:ilvl="4" w:tplc="0C5C920A">
      <w:start w:val="1"/>
      <w:numFmt w:val="bullet"/>
      <w:lvlText w:val="○"/>
      <w:lvlJc w:val="left"/>
      <w:pPr>
        <w:ind w:left="3600" w:hanging="360"/>
      </w:pPr>
    </w:lvl>
    <w:lvl w:ilvl="5" w:tplc="1BFE488E">
      <w:start w:val="1"/>
      <w:numFmt w:val="bullet"/>
      <w:lvlText w:val="■"/>
      <w:lvlJc w:val="left"/>
      <w:pPr>
        <w:ind w:left="4320" w:hanging="360"/>
      </w:pPr>
    </w:lvl>
    <w:lvl w:ilvl="6" w:tplc="C6E28820">
      <w:start w:val="1"/>
      <w:numFmt w:val="bullet"/>
      <w:lvlText w:val="●"/>
      <w:lvlJc w:val="left"/>
      <w:pPr>
        <w:ind w:left="5040" w:hanging="360"/>
      </w:pPr>
    </w:lvl>
    <w:lvl w:ilvl="7" w:tplc="AAA279B6">
      <w:start w:val="1"/>
      <w:numFmt w:val="bullet"/>
      <w:lvlText w:val="●"/>
      <w:lvlJc w:val="left"/>
      <w:pPr>
        <w:ind w:left="5760" w:hanging="360"/>
      </w:pPr>
    </w:lvl>
    <w:lvl w:ilvl="8" w:tplc="E222C758">
      <w:start w:val="1"/>
      <w:numFmt w:val="bullet"/>
      <w:lvlText w:val="●"/>
      <w:lvlJc w:val="left"/>
      <w:pPr>
        <w:ind w:left="6480" w:hanging="360"/>
      </w:pPr>
    </w:lvl>
  </w:abstractNum>
  <w:num w:numId="1" w16cid:durableId="1419715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85A"/>
    <w:rsid w:val="00057834"/>
    <w:rsid w:val="00272B39"/>
    <w:rsid w:val="00F26584"/>
    <w:rsid w:val="00F40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246B"/>
  <w15:docId w15:val="{83EF71CA-C91F-4A03-B73D-07AAB711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57834"/>
    <w:pPr>
      <w:spacing w:before="100" w:beforeAutospacing="1" w:after="100" w:afterAutospacing="1"/>
    </w:pPr>
    <w:rPr>
      <w:sz w:val="24"/>
      <w:szCs w:val="24"/>
    </w:rPr>
  </w:style>
  <w:style w:type="table" w:styleId="TableGrid">
    <w:name w:val="Table Grid"/>
    <w:basedOn w:val="TableNormal"/>
    <w:uiPriority w:val="39"/>
    <w:rsid w:val="000578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setorres</cp:lastModifiedBy>
  <cp:revision>2</cp:revision>
  <dcterms:created xsi:type="dcterms:W3CDTF">2026-08-20T05:37:00Z</dcterms:created>
  <dcterms:modified xsi:type="dcterms:W3CDTF">2026-08-20T08:03:00Z</dcterms:modified>
</cp:coreProperties>
</file>