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64D9" w14:textId="3B62AB07" w:rsidR="00002630" w:rsidRPr="00002630" w:rsidRDefault="00002630" w:rsidP="00002630">
      <w:pPr>
        <w:spacing w:line="240" w:lineRule="auto"/>
        <w:jc w:val="center"/>
        <w:rPr>
          <w:rFonts w:ascii="Arial" w:hAnsi="Arial" w:cs="Arial"/>
          <w:sz w:val="36"/>
          <w:szCs w:val="36"/>
          <w:lang w:val="en-GB"/>
        </w:rPr>
      </w:pPr>
      <w:r w:rsidRPr="00002630">
        <w:rPr>
          <w:rFonts w:ascii="Arial" w:hAnsi="Arial" w:cs="Arial"/>
          <w:b/>
          <w:bCs/>
          <w:sz w:val="36"/>
          <w:szCs w:val="36"/>
          <w:lang w:val="en-GB"/>
        </w:rPr>
        <w:t>Stock Market Analysis — Jun–Jul 2025</w:t>
      </w:r>
    </w:p>
    <w:p w14:paraId="1197C4D6" w14:textId="44F5379B" w:rsidR="00002630" w:rsidRPr="00DC7DE3" w:rsidRDefault="00002630" w:rsidP="00DC7DE3">
      <w:pPr>
        <w:jc w:val="center"/>
        <w:rPr>
          <w:rFonts w:ascii="Arial" w:hAnsi="Arial" w:cs="Arial"/>
          <w:i/>
          <w:iCs/>
          <w:sz w:val="20"/>
          <w:szCs w:val="20"/>
          <w:lang w:val="en-GB"/>
        </w:rPr>
      </w:pPr>
      <w:r w:rsidRPr="00DC7DE3">
        <w:rPr>
          <w:rFonts w:ascii="Arial" w:hAnsi="Arial" w:cs="Arial"/>
          <w:i/>
          <w:iCs/>
          <w:sz w:val="20"/>
          <w:szCs w:val="20"/>
          <w:lang w:val="en-GB"/>
        </w:rPr>
        <w:t xml:space="preserve">Three </w:t>
      </w:r>
      <w:proofErr w:type="gramStart"/>
      <w:r w:rsidRPr="00DC7DE3">
        <w:rPr>
          <w:rFonts w:ascii="Arial" w:hAnsi="Arial" w:cs="Arial"/>
          <w:i/>
          <w:iCs/>
          <w:sz w:val="20"/>
          <w:szCs w:val="20"/>
          <w:lang w:val="en-GB"/>
        </w:rPr>
        <w:t>Datasets  ·</w:t>
      </w:r>
      <w:proofErr w:type="gramEnd"/>
      <w:r w:rsidRPr="00DC7DE3">
        <w:rPr>
          <w:rFonts w:ascii="Arial" w:hAnsi="Arial" w:cs="Arial"/>
          <w:i/>
          <w:iCs/>
          <w:sz w:val="20"/>
          <w:szCs w:val="20"/>
          <w:lang w:val="en-GB"/>
        </w:rPr>
        <w:t xml:space="preserve">  6,719 </w:t>
      </w:r>
      <w:proofErr w:type="gramStart"/>
      <w:r w:rsidRPr="00DC7DE3">
        <w:rPr>
          <w:rFonts w:ascii="Arial" w:hAnsi="Arial" w:cs="Arial"/>
          <w:i/>
          <w:iCs/>
          <w:sz w:val="20"/>
          <w:szCs w:val="20"/>
          <w:lang w:val="en-GB"/>
        </w:rPr>
        <w:t>Records  ·</w:t>
      </w:r>
      <w:proofErr w:type="gramEnd"/>
      <w:r w:rsidR="004905EB" w:rsidRPr="00DC7DE3">
        <w:rPr>
          <w:rFonts w:ascii="Arial" w:hAnsi="Arial" w:cs="Arial"/>
          <w:i/>
          <w:iCs/>
          <w:sz w:val="20"/>
          <w:szCs w:val="20"/>
          <w:lang w:val="en-GB"/>
        </w:rPr>
        <w:t xml:space="preserve"> 1735 Total Tickers · </w:t>
      </w:r>
      <w:r w:rsidRPr="00DC7DE3">
        <w:rPr>
          <w:rFonts w:ascii="Arial" w:hAnsi="Arial" w:cs="Arial"/>
          <w:i/>
          <w:iCs/>
          <w:sz w:val="20"/>
          <w:szCs w:val="20"/>
          <w:lang w:val="en-GB"/>
        </w:rPr>
        <w:t xml:space="preserve">82 Core </w:t>
      </w:r>
      <w:proofErr w:type="gramStart"/>
      <w:r w:rsidRPr="00DC7DE3">
        <w:rPr>
          <w:rFonts w:ascii="Arial" w:hAnsi="Arial" w:cs="Arial"/>
          <w:i/>
          <w:iCs/>
          <w:sz w:val="20"/>
          <w:szCs w:val="20"/>
          <w:lang w:val="en-GB"/>
        </w:rPr>
        <w:t>Tickers  ·</w:t>
      </w:r>
      <w:proofErr w:type="gramEnd"/>
      <w:r w:rsidRPr="00DC7DE3">
        <w:rPr>
          <w:rFonts w:ascii="Arial" w:hAnsi="Arial" w:cs="Arial"/>
          <w:i/>
          <w:iCs/>
          <w:sz w:val="20"/>
          <w:szCs w:val="20"/>
          <w:lang w:val="en-GB"/>
        </w:rPr>
        <w:t xml:space="preserve">  11 Sectors</w:t>
      </w:r>
    </w:p>
    <w:p w14:paraId="2FC5DD80" w14:textId="77777777" w:rsidR="00002630" w:rsidRPr="00002630" w:rsidRDefault="00002630" w:rsidP="00002630">
      <w:pPr>
        <w:spacing w:line="240" w:lineRule="auto"/>
        <w:jc w:val="both"/>
        <w:rPr>
          <w:rFonts w:ascii="Arial" w:hAnsi="Arial" w:cs="Arial"/>
          <w:sz w:val="22"/>
          <w:szCs w:val="22"/>
          <w:lang w:val="en-GB"/>
        </w:rPr>
      </w:pPr>
    </w:p>
    <w:p w14:paraId="0666FEEB" w14:textId="77777777" w:rsidR="00002630" w:rsidRPr="00002630" w:rsidRDefault="00002630" w:rsidP="00002630">
      <w:pPr>
        <w:spacing w:line="240" w:lineRule="auto"/>
        <w:jc w:val="both"/>
        <w:rPr>
          <w:rFonts w:ascii="Arial" w:hAnsi="Arial" w:cs="Arial"/>
          <w:sz w:val="28"/>
          <w:szCs w:val="28"/>
          <w:lang w:val="en-GB"/>
        </w:rPr>
      </w:pPr>
      <w:r w:rsidRPr="00002630">
        <w:rPr>
          <w:rFonts w:ascii="Arial" w:hAnsi="Arial" w:cs="Arial"/>
          <w:b/>
          <w:bCs/>
          <w:sz w:val="28"/>
          <w:szCs w:val="28"/>
          <w:lang w:val="en-GB"/>
        </w:rPr>
        <w:t>Introduction</w:t>
      </w:r>
    </w:p>
    <w:p w14:paraId="384E2130" w14:textId="30A6E5D2" w:rsidR="00002630" w:rsidRPr="00002630" w:rsidRDefault="00002630" w:rsidP="00002630">
      <w:pPr>
        <w:spacing w:line="360" w:lineRule="auto"/>
        <w:jc w:val="both"/>
        <w:rPr>
          <w:rFonts w:ascii="Arial" w:hAnsi="Arial" w:cs="Arial"/>
          <w:sz w:val="22"/>
          <w:szCs w:val="22"/>
          <w:lang w:val="en-GB"/>
        </w:rPr>
      </w:pPr>
      <w:r w:rsidRPr="00002630">
        <w:rPr>
          <w:rFonts w:ascii="Arial" w:hAnsi="Arial" w:cs="Arial"/>
          <w:sz w:val="22"/>
          <w:szCs w:val="22"/>
          <w:lang w:val="en-GB"/>
        </w:rPr>
        <w:t>This analysis draws on three datasets covering stock market activity between June 1 and July 31, 2025. After cleaning and merging the data, 6,719 daily trading records formed the basis of the analysis. The aim was to identify which sectors and stocks performed strongest over the period, how volatility varied across the market, and what the valuation landscape looked like heading into late July.</w:t>
      </w:r>
    </w:p>
    <w:p w14:paraId="2CC1BEE6" w14:textId="77777777" w:rsidR="00002630" w:rsidRPr="00002630" w:rsidRDefault="00002630" w:rsidP="00002630">
      <w:pPr>
        <w:spacing w:line="240" w:lineRule="auto"/>
        <w:jc w:val="both"/>
        <w:rPr>
          <w:rFonts w:ascii="Arial" w:hAnsi="Arial" w:cs="Arial"/>
          <w:sz w:val="22"/>
          <w:szCs w:val="22"/>
          <w:lang w:val="en-GB"/>
        </w:rPr>
      </w:pPr>
    </w:p>
    <w:p w14:paraId="285C0189" w14:textId="77777777" w:rsidR="00002630" w:rsidRPr="00002630" w:rsidRDefault="00002630" w:rsidP="00002630">
      <w:pPr>
        <w:spacing w:line="240" w:lineRule="auto"/>
        <w:jc w:val="both"/>
        <w:rPr>
          <w:rFonts w:ascii="Arial" w:hAnsi="Arial" w:cs="Arial"/>
          <w:sz w:val="28"/>
          <w:szCs w:val="28"/>
          <w:lang w:val="en-GB"/>
        </w:rPr>
      </w:pPr>
      <w:r w:rsidRPr="00002630">
        <w:rPr>
          <w:rFonts w:ascii="Arial" w:hAnsi="Arial" w:cs="Arial"/>
          <w:b/>
          <w:bCs/>
          <w:sz w:val="28"/>
          <w:szCs w:val="28"/>
          <w:lang w:val="en-GB"/>
        </w:rPr>
        <w:t>Sector Returns</w:t>
      </w:r>
    </w:p>
    <w:p w14:paraId="6CB3A91A" w14:textId="49960E17" w:rsidR="00002630" w:rsidRPr="00002630" w:rsidRDefault="00002630" w:rsidP="00002630">
      <w:pPr>
        <w:spacing w:line="360" w:lineRule="auto"/>
        <w:jc w:val="both"/>
        <w:rPr>
          <w:rFonts w:ascii="Arial" w:hAnsi="Arial" w:cs="Arial"/>
          <w:sz w:val="22"/>
          <w:szCs w:val="22"/>
          <w:lang w:val="en-GB"/>
        </w:rPr>
      </w:pPr>
      <w:r w:rsidRPr="00002630">
        <w:rPr>
          <w:rFonts w:ascii="Arial" w:hAnsi="Arial" w:cs="Arial"/>
          <w:sz w:val="22"/>
          <w:szCs w:val="22"/>
          <w:lang w:val="en-GB"/>
        </w:rPr>
        <w:t xml:space="preserve">Not all sectors moved in the same direction. Utilities led the market with the highest average daily return, while Communication Services was the clear laggard, posting the </w:t>
      </w:r>
      <w:r>
        <w:rPr>
          <w:rFonts w:ascii="Arial" w:hAnsi="Arial" w:cs="Arial"/>
          <w:sz w:val="22"/>
          <w:szCs w:val="22"/>
          <w:lang w:val="en-GB"/>
        </w:rPr>
        <w:t xml:space="preserve">highest </w:t>
      </w:r>
      <w:r w:rsidRPr="00002630">
        <w:rPr>
          <w:rFonts w:ascii="Arial" w:hAnsi="Arial" w:cs="Arial"/>
          <w:sz w:val="22"/>
          <w:szCs w:val="22"/>
          <w:lang w:val="en-GB"/>
        </w:rPr>
        <w:t>negative average at -0.085% per day. Consumer Staples</w:t>
      </w:r>
      <w:r>
        <w:rPr>
          <w:rFonts w:ascii="Arial" w:hAnsi="Arial" w:cs="Arial"/>
          <w:sz w:val="22"/>
          <w:szCs w:val="22"/>
          <w:lang w:val="en-GB"/>
        </w:rPr>
        <w:t>,</w:t>
      </w:r>
      <w:r w:rsidRPr="00002630">
        <w:rPr>
          <w:rFonts w:ascii="Arial" w:hAnsi="Arial" w:cs="Arial"/>
          <w:sz w:val="22"/>
          <w:szCs w:val="22"/>
          <w:lang w:val="en-GB"/>
        </w:rPr>
        <w:t xml:space="preserve"> Healthcare </w:t>
      </w:r>
      <w:r>
        <w:rPr>
          <w:rFonts w:ascii="Arial" w:hAnsi="Arial" w:cs="Arial"/>
          <w:sz w:val="22"/>
          <w:szCs w:val="22"/>
          <w:lang w:val="en-GB"/>
        </w:rPr>
        <w:t xml:space="preserve">and Real Estate </w:t>
      </w:r>
      <w:r w:rsidRPr="00002630">
        <w:rPr>
          <w:rFonts w:ascii="Arial" w:hAnsi="Arial" w:cs="Arial"/>
          <w:sz w:val="22"/>
          <w:szCs w:val="22"/>
          <w:lang w:val="en-GB"/>
        </w:rPr>
        <w:t xml:space="preserve">also averaged negative daily returns, marking them as the weakest-performing group over the period. Energy, Financials, Industrials and Technology all stayed in positive </w:t>
      </w:r>
      <w:r>
        <w:rPr>
          <w:rFonts w:ascii="Arial" w:hAnsi="Arial" w:cs="Arial"/>
          <w:sz w:val="22"/>
          <w:szCs w:val="22"/>
          <w:lang w:val="en-GB"/>
        </w:rPr>
        <w:t>region</w:t>
      </w:r>
      <w:r w:rsidRPr="00002630">
        <w:rPr>
          <w:rFonts w:ascii="Arial" w:hAnsi="Arial" w:cs="Arial"/>
          <w:sz w:val="22"/>
          <w:szCs w:val="22"/>
          <w:lang w:val="en-GB"/>
        </w:rPr>
        <w:t xml:space="preserve">, with Utilities pulling ahead of the </w:t>
      </w:r>
      <w:r>
        <w:rPr>
          <w:rFonts w:ascii="Arial" w:hAnsi="Arial" w:cs="Arial"/>
          <w:sz w:val="22"/>
          <w:szCs w:val="22"/>
          <w:lang w:val="en-GB"/>
        </w:rPr>
        <w:t>others</w:t>
      </w:r>
      <w:r w:rsidRPr="00002630">
        <w:rPr>
          <w:rFonts w:ascii="Arial" w:hAnsi="Arial" w:cs="Arial"/>
          <w:sz w:val="22"/>
          <w:szCs w:val="22"/>
          <w:lang w:val="en-GB"/>
        </w:rPr>
        <w:t>.</w:t>
      </w:r>
    </w:p>
    <w:p w14:paraId="5324BE27" w14:textId="77777777" w:rsidR="00002630" w:rsidRPr="00002630" w:rsidRDefault="00002630" w:rsidP="00002630">
      <w:pPr>
        <w:spacing w:line="360" w:lineRule="auto"/>
        <w:jc w:val="both"/>
        <w:rPr>
          <w:rFonts w:ascii="Arial" w:hAnsi="Arial" w:cs="Arial"/>
          <w:sz w:val="22"/>
          <w:szCs w:val="22"/>
          <w:lang w:val="en-GB"/>
        </w:rPr>
      </w:pPr>
    </w:p>
    <w:p w14:paraId="436B3D76" w14:textId="77777777" w:rsidR="00002630" w:rsidRPr="00002630" w:rsidRDefault="00002630" w:rsidP="00002630">
      <w:pPr>
        <w:spacing w:line="240" w:lineRule="auto"/>
        <w:jc w:val="both"/>
        <w:rPr>
          <w:rFonts w:ascii="Arial" w:hAnsi="Arial" w:cs="Arial"/>
          <w:sz w:val="28"/>
          <w:szCs w:val="28"/>
          <w:lang w:val="en-GB"/>
        </w:rPr>
      </w:pPr>
      <w:r w:rsidRPr="00002630">
        <w:rPr>
          <w:rFonts w:ascii="Arial" w:hAnsi="Arial" w:cs="Arial"/>
          <w:b/>
          <w:bCs/>
          <w:sz w:val="28"/>
          <w:szCs w:val="28"/>
          <w:lang w:val="en-GB"/>
        </w:rPr>
        <w:t>Volatility</w:t>
      </w:r>
    </w:p>
    <w:p w14:paraId="0421AAD1" w14:textId="160293D5" w:rsidR="00002630" w:rsidRDefault="00002630" w:rsidP="00002630">
      <w:pPr>
        <w:spacing w:line="360" w:lineRule="auto"/>
        <w:jc w:val="both"/>
        <w:rPr>
          <w:rFonts w:ascii="Arial" w:hAnsi="Arial" w:cs="Arial"/>
          <w:sz w:val="22"/>
          <w:szCs w:val="22"/>
          <w:lang w:val="en-GB"/>
        </w:rPr>
      </w:pPr>
      <w:r w:rsidRPr="00002630">
        <w:rPr>
          <w:rFonts w:ascii="Arial" w:hAnsi="Arial" w:cs="Arial"/>
          <w:sz w:val="22"/>
          <w:szCs w:val="22"/>
          <w:lang w:val="en-GB"/>
        </w:rPr>
        <w:t>Materials was the most volatile sector by average intraday price range at 3.68%, followed by Energy at 3.58% and Technology at 3.48%. Notably, Utilities</w:t>
      </w:r>
      <w:r w:rsidR="004905EB">
        <w:rPr>
          <w:rFonts w:ascii="Arial" w:hAnsi="Arial" w:cs="Arial"/>
          <w:sz w:val="22"/>
          <w:szCs w:val="22"/>
          <w:lang w:val="en-GB"/>
        </w:rPr>
        <w:t xml:space="preserve">, </w:t>
      </w:r>
      <w:r w:rsidRPr="00002630">
        <w:rPr>
          <w:rFonts w:ascii="Arial" w:hAnsi="Arial" w:cs="Arial"/>
          <w:sz w:val="22"/>
          <w:szCs w:val="22"/>
          <w:lang w:val="en-GB"/>
        </w:rPr>
        <w:t>the top-performing sector by returns</w:t>
      </w:r>
      <w:r w:rsidR="004905EB">
        <w:rPr>
          <w:rFonts w:ascii="Arial" w:hAnsi="Arial" w:cs="Arial"/>
          <w:sz w:val="22"/>
          <w:szCs w:val="22"/>
          <w:lang w:val="en-GB"/>
        </w:rPr>
        <w:t xml:space="preserve">, </w:t>
      </w:r>
      <w:r w:rsidRPr="00002630">
        <w:rPr>
          <w:rFonts w:ascii="Arial" w:hAnsi="Arial" w:cs="Arial"/>
          <w:sz w:val="22"/>
          <w:szCs w:val="22"/>
          <w:lang w:val="en-GB"/>
        </w:rPr>
        <w:t>was among the least volatile, averaging just 3.02% daily range. This makes Utilities the standout sector of the period: strongest returns, lowest swings.</w:t>
      </w:r>
    </w:p>
    <w:p w14:paraId="763FA4C6" w14:textId="77777777" w:rsidR="004905EB" w:rsidRPr="00002630" w:rsidRDefault="004905EB" w:rsidP="00002630">
      <w:pPr>
        <w:spacing w:line="360" w:lineRule="auto"/>
        <w:jc w:val="both"/>
        <w:rPr>
          <w:rFonts w:ascii="Arial" w:hAnsi="Arial" w:cs="Arial"/>
          <w:sz w:val="22"/>
          <w:szCs w:val="22"/>
          <w:lang w:val="en-GB"/>
        </w:rPr>
      </w:pPr>
    </w:p>
    <w:p w14:paraId="1AA2CA54" w14:textId="77777777" w:rsidR="00002630" w:rsidRPr="00002630" w:rsidRDefault="00002630" w:rsidP="004905EB">
      <w:pPr>
        <w:spacing w:line="240" w:lineRule="auto"/>
        <w:jc w:val="both"/>
        <w:rPr>
          <w:rFonts w:ascii="Arial" w:hAnsi="Arial" w:cs="Arial"/>
          <w:sz w:val="28"/>
          <w:szCs w:val="28"/>
          <w:lang w:val="en-GB"/>
        </w:rPr>
      </w:pPr>
      <w:r w:rsidRPr="00002630">
        <w:rPr>
          <w:rFonts w:ascii="Arial" w:hAnsi="Arial" w:cs="Arial"/>
          <w:b/>
          <w:bCs/>
          <w:sz w:val="28"/>
          <w:szCs w:val="28"/>
          <w:lang w:val="en-GB"/>
        </w:rPr>
        <w:t>Sector Shifts: June vs July</w:t>
      </w:r>
    </w:p>
    <w:p w14:paraId="7238A70B" w14:textId="77777777" w:rsidR="00002630" w:rsidRDefault="00002630" w:rsidP="00002630">
      <w:pPr>
        <w:spacing w:line="360" w:lineRule="auto"/>
        <w:jc w:val="both"/>
        <w:rPr>
          <w:rFonts w:ascii="Arial" w:hAnsi="Arial" w:cs="Arial"/>
          <w:sz w:val="22"/>
          <w:szCs w:val="22"/>
          <w:lang w:val="en-GB"/>
        </w:rPr>
      </w:pPr>
      <w:r w:rsidRPr="00002630">
        <w:rPr>
          <w:rFonts w:ascii="Arial" w:hAnsi="Arial" w:cs="Arial"/>
          <w:sz w:val="22"/>
          <w:szCs w:val="22"/>
          <w:lang w:val="en-GB"/>
        </w:rPr>
        <w:t>Several sectors reversed direction between the two months. Industrials swung most dramatically, moving from -0.01% in June to +0.19% in July. Technology and Utilities were consistently positive across both months. Energy and Communication Services were negative in both, with Energy showing the sharpest month-on-month deterioration.</w:t>
      </w:r>
    </w:p>
    <w:p w14:paraId="72E56062" w14:textId="77777777" w:rsidR="004905EB" w:rsidRPr="00002630" w:rsidRDefault="004905EB" w:rsidP="00002630">
      <w:pPr>
        <w:spacing w:line="360" w:lineRule="auto"/>
        <w:jc w:val="both"/>
        <w:rPr>
          <w:rFonts w:ascii="Arial" w:hAnsi="Arial" w:cs="Arial"/>
          <w:sz w:val="22"/>
          <w:szCs w:val="22"/>
          <w:lang w:val="en-GB"/>
        </w:rPr>
      </w:pPr>
    </w:p>
    <w:p w14:paraId="026D497C" w14:textId="77777777" w:rsidR="00002630" w:rsidRPr="00002630" w:rsidRDefault="00002630" w:rsidP="004905EB">
      <w:pPr>
        <w:spacing w:line="240" w:lineRule="auto"/>
        <w:jc w:val="both"/>
        <w:rPr>
          <w:rFonts w:ascii="Arial" w:hAnsi="Arial" w:cs="Arial"/>
          <w:sz w:val="28"/>
          <w:szCs w:val="28"/>
          <w:lang w:val="en-GB"/>
        </w:rPr>
      </w:pPr>
      <w:r w:rsidRPr="00002630">
        <w:rPr>
          <w:rFonts w:ascii="Arial" w:hAnsi="Arial" w:cs="Arial"/>
          <w:b/>
          <w:bCs/>
          <w:sz w:val="28"/>
          <w:szCs w:val="28"/>
          <w:lang w:val="en-GB"/>
        </w:rPr>
        <w:lastRenderedPageBreak/>
        <w:t>Individual Stock Performance</w:t>
      </w:r>
    </w:p>
    <w:p w14:paraId="35A8D085" w14:textId="6A8F2626" w:rsidR="00002630" w:rsidRDefault="00002630" w:rsidP="00002630">
      <w:pPr>
        <w:spacing w:line="360" w:lineRule="auto"/>
        <w:jc w:val="both"/>
        <w:rPr>
          <w:rFonts w:ascii="Arial" w:hAnsi="Arial" w:cs="Arial"/>
          <w:sz w:val="22"/>
          <w:szCs w:val="22"/>
          <w:lang w:val="en-GB"/>
        </w:rPr>
      </w:pPr>
      <w:r w:rsidRPr="00002630">
        <w:rPr>
          <w:rFonts w:ascii="Arial" w:hAnsi="Arial" w:cs="Arial"/>
          <w:sz w:val="22"/>
          <w:szCs w:val="22"/>
          <w:lang w:val="en-GB"/>
        </w:rPr>
        <w:t xml:space="preserve">Among the </w:t>
      </w:r>
      <w:r w:rsidR="004905EB" w:rsidRPr="004905EB">
        <w:rPr>
          <w:rFonts w:ascii="Arial" w:hAnsi="Arial" w:cs="Arial"/>
          <w:sz w:val="22"/>
          <w:szCs w:val="22"/>
          <w:lang w:val="en-GB"/>
        </w:rPr>
        <w:t>1735</w:t>
      </w:r>
      <w:r w:rsidR="004905EB">
        <w:rPr>
          <w:rFonts w:ascii="Arial" w:hAnsi="Arial" w:cs="Arial"/>
          <w:sz w:val="22"/>
          <w:szCs w:val="22"/>
          <w:lang w:val="en-GB"/>
        </w:rPr>
        <w:t xml:space="preserve"> </w:t>
      </w:r>
      <w:r w:rsidRPr="00002630">
        <w:rPr>
          <w:rFonts w:ascii="Arial" w:hAnsi="Arial" w:cs="Arial"/>
          <w:sz w:val="22"/>
          <w:szCs w:val="22"/>
          <w:lang w:val="en-GB"/>
        </w:rPr>
        <w:t xml:space="preserve">tickers, INTU, PYPL, and NOW were the strongest performers by average daily return. On the other end, ELV, COST, and PFE averaged the </w:t>
      </w:r>
      <w:r w:rsidR="004905EB">
        <w:rPr>
          <w:rFonts w:ascii="Arial" w:hAnsi="Arial" w:cs="Arial"/>
          <w:sz w:val="22"/>
          <w:szCs w:val="22"/>
          <w:lang w:val="en-GB"/>
        </w:rPr>
        <w:t>lowest</w:t>
      </w:r>
      <w:r w:rsidRPr="00002630">
        <w:rPr>
          <w:rFonts w:ascii="Arial" w:hAnsi="Arial" w:cs="Arial"/>
          <w:sz w:val="22"/>
          <w:szCs w:val="22"/>
          <w:lang w:val="en-GB"/>
        </w:rPr>
        <w:t xml:space="preserve"> daily losses — all three </w:t>
      </w:r>
      <w:r w:rsidR="004905EB">
        <w:rPr>
          <w:rFonts w:ascii="Arial" w:hAnsi="Arial" w:cs="Arial"/>
          <w:sz w:val="22"/>
          <w:szCs w:val="22"/>
          <w:lang w:val="en-GB"/>
        </w:rPr>
        <w:t>are</w:t>
      </w:r>
      <w:r w:rsidRPr="00002630">
        <w:rPr>
          <w:rFonts w:ascii="Arial" w:hAnsi="Arial" w:cs="Arial"/>
          <w:sz w:val="22"/>
          <w:szCs w:val="22"/>
          <w:lang w:val="en-GB"/>
        </w:rPr>
        <w:t xml:space="preserve"> in defensive sector</w:t>
      </w:r>
      <w:r w:rsidR="004905EB">
        <w:rPr>
          <w:rFonts w:ascii="Arial" w:hAnsi="Arial" w:cs="Arial"/>
          <w:sz w:val="22"/>
          <w:szCs w:val="22"/>
          <w:lang w:val="en-GB"/>
        </w:rPr>
        <w:t>s</w:t>
      </w:r>
      <w:r w:rsidRPr="00002630">
        <w:rPr>
          <w:rFonts w:ascii="Arial" w:hAnsi="Arial" w:cs="Arial"/>
          <w:sz w:val="22"/>
          <w:szCs w:val="22"/>
          <w:lang w:val="en-GB"/>
        </w:rPr>
        <w:t>. The five largest Technology stocks (AAPL, MSFT, GOOGL, AMZN, NVDA) all tracked closely around their June starting price, with GOOGL and AMZN showing notable mid-June spikes</w:t>
      </w:r>
      <w:r w:rsidR="004905EB">
        <w:rPr>
          <w:rFonts w:ascii="Arial" w:hAnsi="Arial" w:cs="Arial"/>
          <w:sz w:val="22"/>
          <w:szCs w:val="22"/>
          <w:lang w:val="en-GB"/>
        </w:rPr>
        <w:t xml:space="preserve"> and MSFT showing notable dip in mid-June</w:t>
      </w:r>
      <w:r w:rsidRPr="00002630">
        <w:rPr>
          <w:rFonts w:ascii="Arial" w:hAnsi="Arial" w:cs="Arial"/>
          <w:sz w:val="22"/>
          <w:szCs w:val="22"/>
          <w:lang w:val="en-GB"/>
        </w:rPr>
        <w:t xml:space="preserve"> before</w:t>
      </w:r>
      <w:r w:rsidR="004905EB">
        <w:rPr>
          <w:rFonts w:ascii="Arial" w:hAnsi="Arial" w:cs="Arial"/>
          <w:sz w:val="22"/>
          <w:szCs w:val="22"/>
          <w:lang w:val="en-GB"/>
        </w:rPr>
        <w:t xml:space="preserve"> they</w:t>
      </w:r>
      <w:r w:rsidRPr="00002630">
        <w:rPr>
          <w:rFonts w:ascii="Arial" w:hAnsi="Arial" w:cs="Arial"/>
          <w:sz w:val="22"/>
          <w:szCs w:val="22"/>
          <w:lang w:val="en-GB"/>
        </w:rPr>
        <w:t xml:space="preserve"> settl</w:t>
      </w:r>
      <w:r w:rsidR="004905EB">
        <w:rPr>
          <w:rFonts w:ascii="Arial" w:hAnsi="Arial" w:cs="Arial"/>
          <w:sz w:val="22"/>
          <w:szCs w:val="22"/>
          <w:lang w:val="en-GB"/>
        </w:rPr>
        <w:t>ed</w:t>
      </w:r>
      <w:r w:rsidRPr="00002630">
        <w:rPr>
          <w:rFonts w:ascii="Arial" w:hAnsi="Arial" w:cs="Arial"/>
          <w:sz w:val="22"/>
          <w:szCs w:val="22"/>
          <w:lang w:val="en-GB"/>
        </w:rPr>
        <w:t xml:space="preserve"> back.</w:t>
      </w:r>
    </w:p>
    <w:p w14:paraId="66CB6B88" w14:textId="77777777" w:rsidR="004905EB" w:rsidRPr="00002630" w:rsidRDefault="004905EB" w:rsidP="00002630">
      <w:pPr>
        <w:spacing w:line="360" w:lineRule="auto"/>
        <w:jc w:val="both"/>
        <w:rPr>
          <w:rFonts w:ascii="Arial" w:hAnsi="Arial" w:cs="Arial"/>
          <w:sz w:val="22"/>
          <w:szCs w:val="22"/>
          <w:lang w:val="en-GB"/>
        </w:rPr>
      </w:pPr>
    </w:p>
    <w:p w14:paraId="28545A2F" w14:textId="77777777" w:rsidR="00002630" w:rsidRPr="00002630" w:rsidRDefault="00002630" w:rsidP="004905EB">
      <w:pPr>
        <w:spacing w:line="240" w:lineRule="auto"/>
        <w:jc w:val="both"/>
        <w:rPr>
          <w:rFonts w:ascii="Arial" w:hAnsi="Arial" w:cs="Arial"/>
          <w:sz w:val="28"/>
          <w:szCs w:val="28"/>
          <w:lang w:val="en-GB"/>
        </w:rPr>
      </w:pPr>
      <w:r w:rsidRPr="00002630">
        <w:rPr>
          <w:rFonts w:ascii="Arial" w:hAnsi="Arial" w:cs="Arial"/>
          <w:b/>
          <w:bCs/>
          <w:sz w:val="28"/>
          <w:szCs w:val="28"/>
          <w:lang w:val="en-GB"/>
        </w:rPr>
        <w:t>Valuation</w:t>
      </w:r>
    </w:p>
    <w:p w14:paraId="47147BB7" w14:textId="6B511CBA" w:rsidR="00002630" w:rsidRDefault="00002630" w:rsidP="00002630">
      <w:pPr>
        <w:spacing w:line="360" w:lineRule="auto"/>
        <w:jc w:val="both"/>
        <w:rPr>
          <w:rFonts w:ascii="Arial" w:hAnsi="Arial" w:cs="Arial"/>
          <w:sz w:val="22"/>
          <w:szCs w:val="22"/>
          <w:lang w:val="en-GB"/>
        </w:rPr>
      </w:pPr>
      <w:r w:rsidRPr="00002630">
        <w:rPr>
          <w:rFonts w:ascii="Arial" w:hAnsi="Arial" w:cs="Arial"/>
          <w:sz w:val="22"/>
          <w:szCs w:val="22"/>
          <w:lang w:val="en-GB"/>
        </w:rPr>
        <w:t xml:space="preserve">The PE vs Dividend Yield picture shows a clear growth-income </w:t>
      </w:r>
      <w:r w:rsidR="00F633F9">
        <w:rPr>
          <w:rFonts w:ascii="Arial" w:hAnsi="Arial" w:cs="Arial"/>
          <w:sz w:val="22"/>
          <w:szCs w:val="22"/>
          <w:lang w:val="en-GB"/>
        </w:rPr>
        <w:t>analysis</w:t>
      </w:r>
      <w:r w:rsidRPr="00002630">
        <w:rPr>
          <w:rFonts w:ascii="Arial" w:hAnsi="Arial" w:cs="Arial"/>
          <w:sz w:val="22"/>
          <w:szCs w:val="22"/>
          <w:lang w:val="en-GB"/>
        </w:rPr>
        <w:t xml:space="preserve"> across sectors. Technology stocks cluster at high PE ratios with low dividend yields, while Utilities and Energy sit at lower PE ratios with the highest dividend yields.</w:t>
      </w:r>
    </w:p>
    <w:p w14:paraId="71907B15" w14:textId="77777777" w:rsidR="004905EB" w:rsidRPr="00002630" w:rsidRDefault="004905EB" w:rsidP="00002630">
      <w:pPr>
        <w:spacing w:line="360" w:lineRule="auto"/>
        <w:jc w:val="both"/>
        <w:rPr>
          <w:rFonts w:ascii="Arial" w:hAnsi="Arial" w:cs="Arial"/>
          <w:sz w:val="22"/>
          <w:szCs w:val="22"/>
          <w:lang w:val="en-GB"/>
        </w:rPr>
      </w:pPr>
    </w:p>
    <w:p w14:paraId="77DAEF9F" w14:textId="77777777" w:rsidR="00002630" w:rsidRPr="00002630" w:rsidRDefault="00002630" w:rsidP="00F633F9">
      <w:pPr>
        <w:spacing w:line="240" w:lineRule="auto"/>
        <w:jc w:val="both"/>
        <w:rPr>
          <w:rFonts w:ascii="Arial" w:hAnsi="Arial" w:cs="Arial"/>
          <w:sz w:val="28"/>
          <w:szCs w:val="28"/>
          <w:lang w:val="en-GB"/>
        </w:rPr>
      </w:pPr>
      <w:r w:rsidRPr="00002630">
        <w:rPr>
          <w:rFonts w:ascii="Arial" w:hAnsi="Arial" w:cs="Arial"/>
          <w:b/>
          <w:bCs/>
          <w:sz w:val="28"/>
          <w:szCs w:val="28"/>
          <w:lang w:val="en-GB"/>
        </w:rPr>
        <w:t>Conclusion</w:t>
      </w:r>
    </w:p>
    <w:p w14:paraId="45397362" w14:textId="066C7EA0" w:rsidR="00A2335A" w:rsidRPr="00F633F9" w:rsidRDefault="00002630" w:rsidP="00002630">
      <w:pPr>
        <w:spacing w:line="360" w:lineRule="auto"/>
        <w:jc w:val="both"/>
        <w:rPr>
          <w:rFonts w:ascii="Arial" w:hAnsi="Arial" w:cs="Arial"/>
          <w:sz w:val="22"/>
          <w:szCs w:val="22"/>
          <w:lang w:val="en-GB"/>
        </w:rPr>
      </w:pPr>
      <w:r w:rsidRPr="00002630">
        <w:rPr>
          <w:rFonts w:ascii="Arial" w:hAnsi="Arial" w:cs="Arial"/>
          <w:sz w:val="22"/>
          <w:szCs w:val="22"/>
          <w:lang w:val="en-GB"/>
        </w:rPr>
        <w:t xml:space="preserve">Across every dimension of this analysis — returns, volatility, monthly trends, and individual performance — a single pattern emerges: defensive sectors </w:t>
      </w:r>
      <w:r w:rsidR="00F633F9">
        <w:rPr>
          <w:rFonts w:ascii="Arial" w:hAnsi="Arial" w:cs="Arial"/>
          <w:sz w:val="22"/>
          <w:szCs w:val="22"/>
          <w:lang w:val="en-GB"/>
        </w:rPr>
        <w:t>performing poorly</w:t>
      </w:r>
      <w:r w:rsidRPr="00002630">
        <w:rPr>
          <w:rFonts w:ascii="Arial" w:hAnsi="Arial" w:cs="Arial"/>
          <w:sz w:val="22"/>
          <w:szCs w:val="22"/>
          <w:lang w:val="en-GB"/>
        </w:rPr>
        <w:t xml:space="preserve"> while rate-sensitive and growth sectors delivered. Utilities</w:t>
      </w:r>
      <w:r w:rsidR="00F633F9">
        <w:rPr>
          <w:rFonts w:ascii="Arial" w:hAnsi="Arial" w:cs="Arial"/>
          <w:sz w:val="22"/>
          <w:szCs w:val="22"/>
          <w:lang w:val="en-GB"/>
        </w:rPr>
        <w:t xml:space="preserve"> </w:t>
      </w:r>
      <w:r w:rsidRPr="00002630">
        <w:rPr>
          <w:rFonts w:ascii="Arial" w:hAnsi="Arial" w:cs="Arial"/>
          <w:sz w:val="22"/>
          <w:szCs w:val="22"/>
          <w:lang w:val="en-GB"/>
        </w:rPr>
        <w:t>offer</w:t>
      </w:r>
      <w:r w:rsidR="00F633F9">
        <w:rPr>
          <w:rFonts w:ascii="Arial" w:hAnsi="Arial" w:cs="Arial"/>
          <w:sz w:val="22"/>
          <w:szCs w:val="22"/>
          <w:lang w:val="en-GB"/>
        </w:rPr>
        <w:t>ed</w:t>
      </w:r>
      <w:r w:rsidRPr="00002630">
        <w:rPr>
          <w:rFonts w:ascii="Arial" w:hAnsi="Arial" w:cs="Arial"/>
          <w:sz w:val="22"/>
          <w:szCs w:val="22"/>
          <w:lang w:val="en-GB"/>
        </w:rPr>
        <w:t xml:space="preserve"> strong returns without the volatility typically associated with </w:t>
      </w:r>
      <w:r w:rsidR="00F633F9">
        <w:rPr>
          <w:rFonts w:ascii="Arial" w:hAnsi="Arial" w:cs="Arial"/>
          <w:sz w:val="22"/>
          <w:szCs w:val="22"/>
          <w:lang w:val="en-GB"/>
        </w:rPr>
        <w:t xml:space="preserve">high </w:t>
      </w:r>
      <w:r w:rsidRPr="00002630">
        <w:rPr>
          <w:rFonts w:ascii="Arial" w:hAnsi="Arial" w:cs="Arial"/>
          <w:sz w:val="22"/>
          <w:szCs w:val="22"/>
          <w:lang w:val="en-GB"/>
        </w:rPr>
        <w:t>performance. The original lesson of the period is a familiar one in markets: the sector everyone expects to be safe is not always the one that underperforms, and the one assumed to be risky does not always disappoint.</w:t>
      </w:r>
    </w:p>
    <w:sectPr w:rsidR="00A2335A" w:rsidRPr="00F63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630"/>
    <w:rsid w:val="00002630"/>
    <w:rsid w:val="0039559A"/>
    <w:rsid w:val="00465429"/>
    <w:rsid w:val="004905EB"/>
    <w:rsid w:val="007A4D82"/>
    <w:rsid w:val="00A2335A"/>
    <w:rsid w:val="00B06C87"/>
    <w:rsid w:val="00DC7DE3"/>
    <w:rsid w:val="00F63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9AAC"/>
  <w15:chartTrackingRefBased/>
  <w15:docId w15:val="{842E2376-A258-4F66-9A9F-883740F2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630"/>
    <w:rPr>
      <w:rFonts w:eastAsiaTheme="majorEastAsia" w:cstheme="majorBidi"/>
      <w:color w:val="272727" w:themeColor="text1" w:themeTint="D8"/>
    </w:rPr>
  </w:style>
  <w:style w:type="paragraph" w:styleId="Title">
    <w:name w:val="Title"/>
    <w:basedOn w:val="Normal"/>
    <w:next w:val="Normal"/>
    <w:link w:val="TitleChar"/>
    <w:uiPriority w:val="10"/>
    <w:qFormat/>
    <w:rsid w:val="00002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630"/>
    <w:pPr>
      <w:spacing w:before="160"/>
      <w:jc w:val="center"/>
    </w:pPr>
    <w:rPr>
      <w:i/>
      <w:iCs/>
      <w:color w:val="404040" w:themeColor="text1" w:themeTint="BF"/>
    </w:rPr>
  </w:style>
  <w:style w:type="character" w:customStyle="1" w:styleId="QuoteChar">
    <w:name w:val="Quote Char"/>
    <w:basedOn w:val="DefaultParagraphFont"/>
    <w:link w:val="Quote"/>
    <w:uiPriority w:val="29"/>
    <w:rsid w:val="00002630"/>
    <w:rPr>
      <w:i/>
      <w:iCs/>
      <w:color w:val="404040" w:themeColor="text1" w:themeTint="BF"/>
    </w:rPr>
  </w:style>
  <w:style w:type="paragraph" w:styleId="ListParagraph">
    <w:name w:val="List Paragraph"/>
    <w:basedOn w:val="Normal"/>
    <w:uiPriority w:val="34"/>
    <w:qFormat/>
    <w:rsid w:val="00002630"/>
    <w:pPr>
      <w:ind w:left="720"/>
      <w:contextualSpacing/>
    </w:pPr>
  </w:style>
  <w:style w:type="character" w:styleId="IntenseEmphasis">
    <w:name w:val="Intense Emphasis"/>
    <w:basedOn w:val="DefaultParagraphFont"/>
    <w:uiPriority w:val="21"/>
    <w:qFormat/>
    <w:rsid w:val="00002630"/>
    <w:rPr>
      <w:i/>
      <w:iCs/>
      <w:color w:val="2F5496" w:themeColor="accent1" w:themeShade="BF"/>
    </w:rPr>
  </w:style>
  <w:style w:type="paragraph" w:styleId="IntenseQuote">
    <w:name w:val="Intense Quote"/>
    <w:basedOn w:val="Normal"/>
    <w:next w:val="Normal"/>
    <w:link w:val="IntenseQuoteChar"/>
    <w:uiPriority w:val="30"/>
    <w:qFormat/>
    <w:rsid w:val="00002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630"/>
    <w:rPr>
      <w:i/>
      <w:iCs/>
      <w:color w:val="2F5496" w:themeColor="accent1" w:themeShade="BF"/>
    </w:rPr>
  </w:style>
  <w:style w:type="character" w:styleId="IntenseReference">
    <w:name w:val="Intense Reference"/>
    <w:basedOn w:val="DefaultParagraphFont"/>
    <w:uiPriority w:val="32"/>
    <w:qFormat/>
    <w:rsid w:val="00002630"/>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905E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05E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OLADIMEJI OLUWASEUN OLATUNJI</dc:creator>
  <cp:keywords/>
  <dc:description/>
  <cp:lastModifiedBy>OLADIMEJI OLUWASEUN OLATUNJI</cp:lastModifiedBy>
  <cp:revision>3</cp:revision>
  <dcterms:created xsi:type="dcterms:W3CDTF">2026-04-09T20:21:00Z</dcterms:created>
  <dcterms:modified xsi:type="dcterms:W3CDTF">2026-04-10T10:25:00Z</dcterms:modified>
</cp:coreProperties>
</file>