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60B2" w14:textId="77777777" w:rsidR="008324F8" w:rsidRDefault="00000000">
      <w:pPr>
        <w:spacing w:after="0" w:line="259" w:lineRule="auto"/>
        <w:ind w:left="20" w:right="0" w:firstLine="0"/>
        <w:jc w:val="left"/>
      </w:pPr>
      <w:r>
        <w:rPr>
          <w:color w:val="1F4E5F"/>
          <w:sz w:val="40"/>
        </w:rPr>
        <w:t>Internally Displaced Persons (IDP) Dashboard</w:t>
      </w:r>
      <w:r>
        <w:t xml:space="preserve"> </w:t>
      </w:r>
    </w:p>
    <w:p w14:paraId="4F306E38" w14:textId="77777777" w:rsidR="008324F8" w:rsidRDefault="00000000">
      <w:pPr>
        <w:spacing w:after="194" w:line="259" w:lineRule="auto"/>
        <w:ind w:left="0" w:right="0" w:firstLine="0"/>
        <w:jc w:val="left"/>
      </w:pPr>
      <w:r>
        <w:rPr>
          <w:color w:val="595959"/>
          <w:sz w:val="27"/>
        </w:rPr>
        <w:t>Overview &amp; Countries and Regions Pages</w:t>
      </w:r>
      <w:r>
        <w:t xml:space="preserve"> </w:t>
      </w:r>
    </w:p>
    <w:p w14:paraId="10014738" w14:textId="77777777" w:rsidR="008324F8" w:rsidRDefault="00000000">
      <w:pPr>
        <w:spacing w:after="435" w:line="259" w:lineRule="auto"/>
        <w:ind w:left="20" w:right="0" w:firstLine="0"/>
        <w:jc w:val="left"/>
      </w:pPr>
      <w:r>
        <w:rPr>
          <w:color w:val="595959"/>
          <w:sz w:val="20"/>
        </w:rPr>
        <w:t>2009–2024 IDP dataset spanning roughly 150 countries</w:t>
      </w:r>
      <w:r>
        <w:t xml:space="preserve"> </w:t>
      </w:r>
    </w:p>
    <w:p w14:paraId="1C15DFE6" w14:textId="77777777" w:rsidR="008324F8" w:rsidRDefault="00000000">
      <w:pPr>
        <w:pStyle w:val="Heading1"/>
        <w:ind w:left="317" w:hanging="312"/>
      </w:pPr>
      <w:r>
        <w:t xml:space="preserve">Global Displacement Trajectory </w:t>
      </w:r>
    </w:p>
    <w:p w14:paraId="0E3B4902" w14:textId="77777777" w:rsidR="008324F8" w:rsidRDefault="00000000">
      <w:pPr>
        <w:spacing w:after="245" w:line="259" w:lineRule="auto"/>
        <w:ind w:left="-8" w:right="-24" w:firstLine="0"/>
        <w:jc w:val="left"/>
      </w:pPr>
      <w:r>
        <w:rPr>
          <w:rFonts w:ascii="Calibri" w:eastAsia="Calibri" w:hAnsi="Calibri" w:cs="Calibri"/>
          <w:noProof/>
          <w:color w:val="000000"/>
        </w:rPr>
        <mc:AlternateContent>
          <mc:Choice Requires="wpg">
            <w:drawing>
              <wp:inline distT="0" distB="0" distL="0" distR="0" wp14:anchorId="02DEFC99" wp14:editId="3F8D1E86">
                <wp:extent cx="5981065" cy="9144"/>
                <wp:effectExtent l="0" t="0" r="0" b="0"/>
                <wp:docPr id="5594" name="Group 559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5899" name="Shape 58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5F"/>
                          </a:fillRef>
                          <a:effectRef idx="0">
                            <a:scrgbClr r="0" g="0" b="0"/>
                          </a:effectRef>
                          <a:fontRef idx="none"/>
                        </wps:style>
                        <wps:bodyPr/>
                      </wps:wsp>
                    </wpg:wgp>
                  </a:graphicData>
                </a:graphic>
              </wp:inline>
            </w:drawing>
          </mc:Choice>
          <mc:Fallback xmlns:a="http://schemas.openxmlformats.org/drawingml/2006/main">
            <w:pict>
              <v:group id="Group 5594" style="width:470.95pt;height:0.719971pt;mso-position-horizontal-relative:char;mso-position-vertical-relative:line" coordsize="59810,91">
                <v:shape id="Shape 5900" style="position:absolute;width:59810;height:91;left:0;top:0;" coordsize="5981065,9144" path="m0,0l5981065,0l5981065,9144l0,9144l0,0">
                  <v:stroke weight="0pt" endcap="flat" joinstyle="miter" miterlimit="10" on="false" color="#000000" opacity="0"/>
                  <v:fill on="true" color="#1f4e5f"/>
                </v:shape>
              </v:group>
            </w:pict>
          </mc:Fallback>
        </mc:AlternateContent>
      </w:r>
    </w:p>
    <w:p w14:paraId="136C8C06" w14:textId="77777777" w:rsidR="008324F8" w:rsidRDefault="00000000">
      <w:pPr>
        <w:spacing w:after="449"/>
        <w:ind w:left="15" w:right="-8"/>
      </w:pPr>
      <w:r>
        <w:t xml:space="preserve">The headline trend line on the Overview page tracks total global IDPs from 2009 to 2024. Displacement has risen from roughly 10.9 million people in 2009 to about 34.4 million in 2024, a 3.2x increase (+215.6%) over the fifteen-year window. The trajectory is not smooth: after a relatively flat 2009–2012 period in the 9–11 million range, the figure climbs steadily from 2013 onward, with a particularly sharp step-up between 2018 and 2019 (17.7 million to 21.6 million, a 22% jump in a single year). From 2019 onward, growth has been continuous and unbroken through 2024, with no year showing a year-on-year decline — a pattern consistent with overlapping, unresolved conflicts rather than displacement events that get resolved and reversed. </w:t>
      </w:r>
    </w:p>
    <w:p w14:paraId="464481CB" w14:textId="77777777" w:rsidR="008324F8" w:rsidRDefault="00000000">
      <w:pPr>
        <w:pStyle w:val="Heading1"/>
        <w:ind w:left="372" w:hanging="367"/>
      </w:pPr>
      <w:r>
        <w:t xml:space="preserve">Leading Source Countries </w:t>
      </w:r>
    </w:p>
    <w:p w14:paraId="4D342AC0" w14:textId="77777777" w:rsidR="008324F8" w:rsidRDefault="00000000">
      <w:pPr>
        <w:spacing w:after="245" w:line="259" w:lineRule="auto"/>
        <w:ind w:left="-8" w:right="-24" w:firstLine="0"/>
        <w:jc w:val="left"/>
      </w:pPr>
      <w:r>
        <w:rPr>
          <w:rFonts w:ascii="Calibri" w:eastAsia="Calibri" w:hAnsi="Calibri" w:cs="Calibri"/>
          <w:noProof/>
          <w:color w:val="000000"/>
        </w:rPr>
        <mc:AlternateContent>
          <mc:Choice Requires="wpg">
            <w:drawing>
              <wp:inline distT="0" distB="0" distL="0" distR="0" wp14:anchorId="23D8C337" wp14:editId="4DC5D8DD">
                <wp:extent cx="5981065" cy="9144"/>
                <wp:effectExtent l="0" t="0" r="0" b="0"/>
                <wp:docPr id="5595" name="Group 5595"/>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5903" name="Shape 590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5F"/>
                          </a:fillRef>
                          <a:effectRef idx="0">
                            <a:scrgbClr r="0" g="0" b="0"/>
                          </a:effectRef>
                          <a:fontRef idx="none"/>
                        </wps:style>
                        <wps:bodyPr/>
                      </wps:wsp>
                    </wpg:wgp>
                  </a:graphicData>
                </a:graphic>
              </wp:inline>
            </w:drawing>
          </mc:Choice>
          <mc:Fallback xmlns:a="http://schemas.openxmlformats.org/drawingml/2006/main">
            <w:pict>
              <v:group id="Group 5595" style="width:470.95pt;height:0.720001pt;mso-position-horizontal-relative:char;mso-position-vertical-relative:line" coordsize="59810,91">
                <v:shape id="Shape 5904" style="position:absolute;width:59810;height:91;left:0;top:0;" coordsize="5981065,9144" path="m0,0l5981065,0l5981065,9144l0,9144l0,0">
                  <v:stroke weight="0pt" endcap="flat" joinstyle="miter" miterlimit="10" on="false" color="#000000" opacity="0"/>
                  <v:fill on="true" color="#1f4e5f"/>
                </v:shape>
              </v:group>
            </w:pict>
          </mc:Fallback>
        </mc:AlternateContent>
      </w:r>
    </w:p>
    <w:p w14:paraId="6558F811" w14:textId="77777777" w:rsidR="008324F8" w:rsidRDefault="00000000">
      <w:pPr>
        <w:ind w:left="15" w:right="-8"/>
      </w:pPr>
      <w:r>
        <w:t xml:space="preserve">The Top 10 countries bar chart ranks nations by cumulative IDP figures recorded across the full </w:t>
      </w:r>
    </w:p>
    <w:p w14:paraId="213188BB" w14:textId="77777777" w:rsidR="008324F8" w:rsidRDefault="00000000">
      <w:pPr>
        <w:ind w:left="15" w:right="-8"/>
      </w:pPr>
      <w:r>
        <w:t xml:space="preserve">2009–2024 series (i.e. a running total over the period, not a single-year snapshot). Syria, Congo </w:t>
      </w:r>
    </w:p>
    <w:p w14:paraId="04573EA3" w14:textId="77777777" w:rsidR="008324F8" w:rsidRDefault="00000000">
      <w:pPr>
        <w:ind w:left="15" w:right="-8"/>
      </w:pPr>
      <w:r>
        <w:t xml:space="preserve">(DRC) and Sudan lead the ranking, each exceeding 30 million cumulative displaced-person records. </w:t>
      </w:r>
    </w:p>
    <w:tbl>
      <w:tblPr>
        <w:tblStyle w:val="TableGrid"/>
        <w:tblW w:w="7901" w:type="dxa"/>
        <w:tblInd w:w="21" w:type="dxa"/>
        <w:tblCellMar>
          <w:top w:w="89" w:type="dxa"/>
          <w:left w:w="120" w:type="dxa"/>
          <w:bottom w:w="0" w:type="dxa"/>
          <w:right w:w="55" w:type="dxa"/>
        </w:tblCellMar>
        <w:tblLook w:val="04A0" w:firstRow="1" w:lastRow="0" w:firstColumn="1" w:lastColumn="0" w:noHBand="0" w:noVBand="1"/>
      </w:tblPr>
      <w:tblGrid>
        <w:gridCol w:w="703"/>
        <w:gridCol w:w="3500"/>
        <w:gridCol w:w="3698"/>
      </w:tblGrid>
      <w:tr w:rsidR="008324F8" w14:paraId="0C8FEE55" w14:textId="77777777">
        <w:trPr>
          <w:trHeight w:val="353"/>
        </w:trPr>
        <w:tc>
          <w:tcPr>
            <w:tcW w:w="703" w:type="dxa"/>
            <w:tcBorders>
              <w:top w:val="single" w:sz="2" w:space="0" w:color="CCCCCC"/>
              <w:left w:val="single" w:sz="2" w:space="0" w:color="CCCCCC"/>
              <w:bottom w:val="single" w:sz="2" w:space="0" w:color="CCCCCC"/>
              <w:right w:val="single" w:sz="2" w:space="0" w:color="CCCCCC"/>
            </w:tcBorders>
            <w:shd w:val="clear" w:color="auto" w:fill="1F4E5F"/>
          </w:tcPr>
          <w:p w14:paraId="220A9862" w14:textId="77777777" w:rsidR="008324F8" w:rsidRDefault="00000000">
            <w:pPr>
              <w:spacing w:after="0" w:line="259" w:lineRule="auto"/>
              <w:ind w:left="0" w:right="0" w:firstLine="0"/>
              <w:jc w:val="left"/>
            </w:pPr>
            <w:r>
              <w:rPr>
                <w:color w:val="FFFFFF"/>
                <w:sz w:val="21"/>
              </w:rPr>
              <w:t>Rank</w:t>
            </w:r>
            <w:r>
              <w:t xml:space="preserve"> </w:t>
            </w:r>
          </w:p>
        </w:tc>
        <w:tc>
          <w:tcPr>
            <w:tcW w:w="3500" w:type="dxa"/>
            <w:tcBorders>
              <w:top w:val="single" w:sz="2" w:space="0" w:color="CCCCCC"/>
              <w:left w:val="single" w:sz="2" w:space="0" w:color="CCCCCC"/>
              <w:bottom w:val="single" w:sz="2" w:space="0" w:color="CCCCCC"/>
              <w:right w:val="single" w:sz="2" w:space="0" w:color="CCCCCC"/>
            </w:tcBorders>
            <w:shd w:val="clear" w:color="auto" w:fill="1F4E5F"/>
          </w:tcPr>
          <w:p w14:paraId="0B849EAD" w14:textId="77777777" w:rsidR="008324F8" w:rsidRDefault="00000000">
            <w:pPr>
              <w:spacing w:after="0" w:line="259" w:lineRule="auto"/>
              <w:ind w:left="0" w:right="0" w:firstLine="0"/>
              <w:jc w:val="left"/>
            </w:pPr>
            <w:r>
              <w:rPr>
                <w:color w:val="FFFFFF"/>
                <w:sz w:val="21"/>
              </w:rPr>
              <w:t>Country</w:t>
            </w:r>
            <w:r>
              <w:t xml:space="preserve"> </w:t>
            </w:r>
          </w:p>
        </w:tc>
        <w:tc>
          <w:tcPr>
            <w:tcW w:w="3698" w:type="dxa"/>
            <w:tcBorders>
              <w:top w:val="single" w:sz="2" w:space="0" w:color="CCCCCC"/>
              <w:left w:val="single" w:sz="2" w:space="0" w:color="CCCCCC"/>
              <w:bottom w:val="single" w:sz="2" w:space="0" w:color="CCCCCC"/>
              <w:right w:val="single" w:sz="2" w:space="0" w:color="CCCCCC"/>
            </w:tcBorders>
            <w:shd w:val="clear" w:color="auto" w:fill="1F4E5F"/>
          </w:tcPr>
          <w:p w14:paraId="79C819BA" w14:textId="77777777" w:rsidR="008324F8" w:rsidRDefault="00000000">
            <w:pPr>
              <w:spacing w:after="0" w:line="259" w:lineRule="auto"/>
              <w:ind w:left="0" w:right="0" w:firstLine="0"/>
              <w:jc w:val="left"/>
            </w:pPr>
            <w:r>
              <w:rPr>
                <w:color w:val="FFFFFF"/>
                <w:sz w:val="21"/>
              </w:rPr>
              <w:t>Cumulative IDPs, 2009–2024</w:t>
            </w:r>
            <w:r>
              <w:t xml:space="preserve"> </w:t>
            </w:r>
          </w:p>
        </w:tc>
      </w:tr>
      <w:tr w:rsidR="008324F8" w14:paraId="225AC4E4" w14:textId="77777777">
        <w:trPr>
          <w:trHeight w:val="475"/>
        </w:trPr>
        <w:tc>
          <w:tcPr>
            <w:tcW w:w="703" w:type="dxa"/>
            <w:tcBorders>
              <w:top w:val="single" w:sz="2" w:space="0" w:color="CCCCCC"/>
              <w:left w:val="single" w:sz="2" w:space="0" w:color="CCCCCC"/>
              <w:bottom w:val="single" w:sz="32" w:space="0" w:color="EAF1F4"/>
              <w:right w:val="single" w:sz="2" w:space="0" w:color="CCCCCC"/>
            </w:tcBorders>
            <w:vAlign w:val="center"/>
          </w:tcPr>
          <w:p w14:paraId="08B6ECCD" w14:textId="77777777" w:rsidR="008324F8" w:rsidRDefault="00000000">
            <w:pPr>
              <w:spacing w:after="0" w:line="259" w:lineRule="auto"/>
              <w:ind w:left="0" w:right="0" w:firstLine="0"/>
              <w:jc w:val="left"/>
            </w:pPr>
            <w:r>
              <w:rPr>
                <w:color w:val="000000"/>
                <w:sz w:val="21"/>
              </w:rPr>
              <w:t>1</w:t>
            </w:r>
            <w:r>
              <w:t xml:space="preserve"> </w:t>
            </w:r>
          </w:p>
        </w:tc>
        <w:tc>
          <w:tcPr>
            <w:tcW w:w="3500" w:type="dxa"/>
            <w:tcBorders>
              <w:top w:val="single" w:sz="2" w:space="0" w:color="CCCCCC"/>
              <w:left w:val="single" w:sz="2" w:space="0" w:color="CCCCCC"/>
              <w:bottom w:val="single" w:sz="32" w:space="0" w:color="EAF1F4"/>
              <w:right w:val="single" w:sz="2" w:space="0" w:color="CCCCCC"/>
            </w:tcBorders>
            <w:vAlign w:val="center"/>
          </w:tcPr>
          <w:p w14:paraId="6CA7379B" w14:textId="77777777" w:rsidR="008324F8" w:rsidRDefault="00000000">
            <w:pPr>
              <w:spacing w:after="0" w:line="259" w:lineRule="auto"/>
              <w:ind w:left="0" w:right="0" w:firstLine="0"/>
              <w:jc w:val="left"/>
            </w:pPr>
            <w:r>
              <w:rPr>
                <w:color w:val="000000"/>
                <w:sz w:val="21"/>
              </w:rPr>
              <w:t>Syria</w:t>
            </w:r>
            <w:r>
              <w:t xml:space="preserve"> </w:t>
            </w:r>
          </w:p>
        </w:tc>
        <w:tc>
          <w:tcPr>
            <w:tcW w:w="3698" w:type="dxa"/>
            <w:tcBorders>
              <w:top w:val="single" w:sz="2" w:space="0" w:color="CCCCCC"/>
              <w:left w:val="single" w:sz="2" w:space="0" w:color="CCCCCC"/>
              <w:bottom w:val="single" w:sz="32" w:space="0" w:color="EAF1F4"/>
              <w:right w:val="single" w:sz="2" w:space="0" w:color="CCCCCC"/>
            </w:tcBorders>
            <w:vAlign w:val="center"/>
          </w:tcPr>
          <w:p w14:paraId="660D2BEB" w14:textId="77777777" w:rsidR="008324F8" w:rsidRDefault="00000000">
            <w:pPr>
              <w:spacing w:after="0" w:line="259" w:lineRule="auto"/>
              <w:ind w:left="0" w:right="0" w:firstLine="0"/>
              <w:jc w:val="left"/>
            </w:pPr>
            <w:r>
              <w:rPr>
                <w:color w:val="000000"/>
                <w:sz w:val="21"/>
              </w:rPr>
              <w:t>36,571,000</w:t>
            </w:r>
            <w:r>
              <w:t xml:space="preserve"> </w:t>
            </w:r>
          </w:p>
        </w:tc>
      </w:tr>
      <w:tr w:rsidR="008324F8" w14:paraId="006C16A1" w14:textId="77777777">
        <w:trPr>
          <w:trHeight w:val="353"/>
        </w:trPr>
        <w:tc>
          <w:tcPr>
            <w:tcW w:w="703" w:type="dxa"/>
            <w:tcBorders>
              <w:top w:val="single" w:sz="32" w:space="0" w:color="EAF1F4"/>
              <w:left w:val="single" w:sz="2" w:space="0" w:color="CCCCCC"/>
              <w:bottom w:val="single" w:sz="2" w:space="0" w:color="CCCCCC"/>
              <w:right w:val="single" w:sz="2" w:space="0" w:color="CCCCCC"/>
            </w:tcBorders>
            <w:shd w:val="clear" w:color="auto" w:fill="EAF1F4"/>
          </w:tcPr>
          <w:p w14:paraId="0F403599" w14:textId="77777777" w:rsidR="008324F8" w:rsidRDefault="00000000">
            <w:pPr>
              <w:spacing w:after="0" w:line="259" w:lineRule="auto"/>
              <w:ind w:left="0" w:right="0" w:firstLine="0"/>
              <w:jc w:val="left"/>
            </w:pPr>
            <w:r>
              <w:rPr>
                <w:color w:val="000000"/>
                <w:sz w:val="21"/>
              </w:rPr>
              <w:t>2</w:t>
            </w:r>
            <w:r>
              <w:t xml:space="preserve"> </w:t>
            </w:r>
          </w:p>
        </w:tc>
        <w:tc>
          <w:tcPr>
            <w:tcW w:w="3500" w:type="dxa"/>
            <w:tcBorders>
              <w:top w:val="single" w:sz="32" w:space="0" w:color="EAF1F4"/>
              <w:left w:val="single" w:sz="2" w:space="0" w:color="CCCCCC"/>
              <w:bottom w:val="single" w:sz="2" w:space="0" w:color="CCCCCC"/>
              <w:right w:val="single" w:sz="2" w:space="0" w:color="CCCCCC"/>
            </w:tcBorders>
            <w:shd w:val="clear" w:color="auto" w:fill="EAF1F4"/>
          </w:tcPr>
          <w:p w14:paraId="2D54EF19" w14:textId="77777777" w:rsidR="008324F8" w:rsidRDefault="00000000">
            <w:pPr>
              <w:spacing w:after="0" w:line="259" w:lineRule="auto"/>
              <w:ind w:left="0" w:right="0" w:firstLine="0"/>
              <w:jc w:val="left"/>
            </w:pPr>
            <w:r>
              <w:rPr>
                <w:color w:val="000000"/>
                <w:sz w:val="21"/>
              </w:rPr>
              <w:t>Congo (DRC)</w:t>
            </w:r>
            <w:r>
              <w:t xml:space="preserve"> </w:t>
            </w:r>
          </w:p>
        </w:tc>
        <w:tc>
          <w:tcPr>
            <w:tcW w:w="3698" w:type="dxa"/>
            <w:tcBorders>
              <w:top w:val="single" w:sz="32" w:space="0" w:color="EAF1F4"/>
              <w:left w:val="single" w:sz="2" w:space="0" w:color="CCCCCC"/>
              <w:bottom w:val="single" w:sz="2" w:space="0" w:color="CCCCCC"/>
              <w:right w:val="single" w:sz="2" w:space="0" w:color="CCCCCC"/>
            </w:tcBorders>
            <w:shd w:val="clear" w:color="auto" w:fill="EAF1F4"/>
          </w:tcPr>
          <w:p w14:paraId="2E65549F" w14:textId="77777777" w:rsidR="008324F8" w:rsidRDefault="00000000">
            <w:pPr>
              <w:spacing w:after="0" w:line="259" w:lineRule="auto"/>
              <w:ind w:left="0" w:right="0" w:firstLine="0"/>
              <w:jc w:val="left"/>
            </w:pPr>
            <w:r>
              <w:rPr>
                <w:color w:val="000000"/>
                <w:sz w:val="21"/>
              </w:rPr>
              <w:t>32,161,000</w:t>
            </w:r>
            <w:r>
              <w:t xml:space="preserve"> </w:t>
            </w:r>
          </w:p>
        </w:tc>
      </w:tr>
      <w:tr w:rsidR="008324F8" w14:paraId="2066B2E0" w14:textId="77777777">
        <w:trPr>
          <w:trHeight w:val="475"/>
        </w:trPr>
        <w:tc>
          <w:tcPr>
            <w:tcW w:w="703" w:type="dxa"/>
            <w:tcBorders>
              <w:top w:val="single" w:sz="2" w:space="0" w:color="CCCCCC"/>
              <w:left w:val="single" w:sz="2" w:space="0" w:color="CCCCCC"/>
              <w:bottom w:val="single" w:sz="32" w:space="0" w:color="EAF1F4"/>
              <w:right w:val="single" w:sz="2" w:space="0" w:color="CCCCCC"/>
            </w:tcBorders>
            <w:vAlign w:val="center"/>
          </w:tcPr>
          <w:p w14:paraId="4DACE12D" w14:textId="77777777" w:rsidR="008324F8" w:rsidRDefault="00000000">
            <w:pPr>
              <w:spacing w:after="0" w:line="259" w:lineRule="auto"/>
              <w:ind w:left="0" w:right="0" w:firstLine="0"/>
              <w:jc w:val="left"/>
            </w:pPr>
            <w:r>
              <w:rPr>
                <w:color w:val="000000"/>
                <w:sz w:val="21"/>
              </w:rPr>
              <w:t>3</w:t>
            </w:r>
            <w:r>
              <w:t xml:space="preserve"> </w:t>
            </w:r>
          </w:p>
        </w:tc>
        <w:tc>
          <w:tcPr>
            <w:tcW w:w="3500" w:type="dxa"/>
            <w:tcBorders>
              <w:top w:val="single" w:sz="2" w:space="0" w:color="CCCCCC"/>
              <w:left w:val="single" w:sz="2" w:space="0" w:color="CCCCCC"/>
              <w:bottom w:val="single" w:sz="32" w:space="0" w:color="EAF1F4"/>
              <w:right w:val="single" w:sz="2" w:space="0" w:color="CCCCCC"/>
            </w:tcBorders>
            <w:vAlign w:val="center"/>
          </w:tcPr>
          <w:p w14:paraId="7C474826" w14:textId="77777777" w:rsidR="008324F8" w:rsidRDefault="00000000">
            <w:pPr>
              <w:spacing w:after="0" w:line="259" w:lineRule="auto"/>
              <w:ind w:left="0" w:right="0" w:firstLine="0"/>
              <w:jc w:val="left"/>
            </w:pPr>
            <w:r>
              <w:rPr>
                <w:color w:val="000000"/>
                <w:sz w:val="21"/>
              </w:rPr>
              <w:t>Sudan</w:t>
            </w:r>
            <w:r>
              <w:t xml:space="preserve"> </w:t>
            </w:r>
          </w:p>
        </w:tc>
        <w:tc>
          <w:tcPr>
            <w:tcW w:w="3698" w:type="dxa"/>
            <w:tcBorders>
              <w:top w:val="single" w:sz="2" w:space="0" w:color="CCCCCC"/>
              <w:left w:val="single" w:sz="2" w:space="0" w:color="CCCCCC"/>
              <w:bottom w:val="single" w:sz="32" w:space="0" w:color="EAF1F4"/>
              <w:right w:val="single" w:sz="2" w:space="0" w:color="CCCCCC"/>
            </w:tcBorders>
            <w:vAlign w:val="center"/>
          </w:tcPr>
          <w:p w14:paraId="55A7C613" w14:textId="77777777" w:rsidR="008324F8" w:rsidRDefault="00000000">
            <w:pPr>
              <w:spacing w:after="0" w:line="259" w:lineRule="auto"/>
              <w:ind w:left="0" w:right="0" w:firstLine="0"/>
              <w:jc w:val="left"/>
            </w:pPr>
            <w:r>
              <w:rPr>
                <w:color w:val="000000"/>
                <w:sz w:val="21"/>
              </w:rPr>
              <w:t>31,270,000</w:t>
            </w:r>
            <w:r>
              <w:t xml:space="preserve"> </w:t>
            </w:r>
          </w:p>
        </w:tc>
      </w:tr>
      <w:tr w:rsidR="008324F8" w14:paraId="69959342" w14:textId="77777777">
        <w:trPr>
          <w:trHeight w:val="353"/>
        </w:trPr>
        <w:tc>
          <w:tcPr>
            <w:tcW w:w="703" w:type="dxa"/>
            <w:tcBorders>
              <w:top w:val="single" w:sz="32" w:space="0" w:color="EAF1F4"/>
              <w:left w:val="single" w:sz="2" w:space="0" w:color="CCCCCC"/>
              <w:bottom w:val="single" w:sz="2" w:space="0" w:color="CCCCCC"/>
              <w:right w:val="single" w:sz="2" w:space="0" w:color="CCCCCC"/>
            </w:tcBorders>
            <w:shd w:val="clear" w:color="auto" w:fill="EAF1F4"/>
          </w:tcPr>
          <w:p w14:paraId="1EE90B67" w14:textId="77777777" w:rsidR="008324F8" w:rsidRDefault="00000000">
            <w:pPr>
              <w:spacing w:after="0" w:line="259" w:lineRule="auto"/>
              <w:ind w:left="0" w:right="0" w:firstLine="0"/>
              <w:jc w:val="left"/>
            </w:pPr>
            <w:r>
              <w:rPr>
                <w:color w:val="000000"/>
                <w:sz w:val="21"/>
              </w:rPr>
              <w:t>4</w:t>
            </w:r>
            <w:r>
              <w:t xml:space="preserve"> </w:t>
            </w:r>
          </w:p>
        </w:tc>
        <w:tc>
          <w:tcPr>
            <w:tcW w:w="3500" w:type="dxa"/>
            <w:tcBorders>
              <w:top w:val="single" w:sz="32" w:space="0" w:color="EAF1F4"/>
              <w:left w:val="single" w:sz="2" w:space="0" w:color="CCCCCC"/>
              <w:bottom w:val="single" w:sz="2" w:space="0" w:color="CCCCCC"/>
              <w:right w:val="single" w:sz="2" w:space="0" w:color="CCCCCC"/>
            </w:tcBorders>
            <w:shd w:val="clear" w:color="auto" w:fill="EAF1F4"/>
          </w:tcPr>
          <w:p w14:paraId="6D672197" w14:textId="77777777" w:rsidR="008324F8" w:rsidRDefault="00000000">
            <w:pPr>
              <w:spacing w:after="0" w:line="259" w:lineRule="auto"/>
              <w:ind w:left="0" w:right="0" w:firstLine="0"/>
              <w:jc w:val="left"/>
            </w:pPr>
            <w:r>
              <w:rPr>
                <w:color w:val="000000"/>
                <w:sz w:val="21"/>
              </w:rPr>
              <w:t>Colombia</w:t>
            </w:r>
            <w:r>
              <w:t xml:space="preserve"> </w:t>
            </w:r>
          </w:p>
        </w:tc>
        <w:tc>
          <w:tcPr>
            <w:tcW w:w="3698" w:type="dxa"/>
            <w:tcBorders>
              <w:top w:val="single" w:sz="32" w:space="0" w:color="EAF1F4"/>
              <w:left w:val="single" w:sz="2" w:space="0" w:color="CCCCCC"/>
              <w:bottom w:val="single" w:sz="2" w:space="0" w:color="CCCCCC"/>
              <w:right w:val="single" w:sz="2" w:space="0" w:color="CCCCCC"/>
            </w:tcBorders>
            <w:shd w:val="clear" w:color="auto" w:fill="EAF1F4"/>
          </w:tcPr>
          <w:p w14:paraId="2880A062" w14:textId="77777777" w:rsidR="008324F8" w:rsidRDefault="00000000">
            <w:pPr>
              <w:spacing w:after="0" w:line="259" w:lineRule="auto"/>
              <w:ind w:left="0" w:right="0" w:firstLine="0"/>
              <w:jc w:val="left"/>
            </w:pPr>
            <w:r>
              <w:rPr>
                <w:color w:val="000000"/>
                <w:sz w:val="21"/>
              </w:rPr>
              <w:t>26,130,000</w:t>
            </w:r>
            <w:r>
              <w:t xml:space="preserve"> </w:t>
            </w:r>
          </w:p>
        </w:tc>
      </w:tr>
      <w:tr w:rsidR="008324F8" w14:paraId="5F5715BA" w14:textId="77777777">
        <w:trPr>
          <w:trHeight w:val="473"/>
        </w:trPr>
        <w:tc>
          <w:tcPr>
            <w:tcW w:w="703" w:type="dxa"/>
            <w:tcBorders>
              <w:top w:val="single" w:sz="2" w:space="0" w:color="CCCCCC"/>
              <w:left w:val="single" w:sz="2" w:space="0" w:color="CCCCCC"/>
              <w:bottom w:val="single" w:sz="32" w:space="0" w:color="EAF1F4"/>
              <w:right w:val="single" w:sz="2" w:space="0" w:color="CCCCCC"/>
            </w:tcBorders>
            <w:vAlign w:val="center"/>
          </w:tcPr>
          <w:p w14:paraId="2A3F4C01" w14:textId="77777777" w:rsidR="008324F8" w:rsidRDefault="00000000">
            <w:pPr>
              <w:spacing w:after="0" w:line="259" w:lineRule="auto"/>
              <w:ind w:left="0" w:right="0" w:firstLine="0"/>
              <w:jc w:val="left"/>
            </w:pPr>
            <w:r>
              <w:rPr>
                <w:color w:val="000000"/>
                <w:sz w:val="21"/>
              </w:rPr>
              <w:t>5</w:t>
            </w:r>
            <w:r>
              <w:t xml:space="preserve"> </w:t>
            </w:r>
          </w:p>
        </w:tc>
        <w:tc>
          <w:tcPr>
            <w:tcW w:w="3500" w:type="dxa"/>
            <w:tcBorders>
              <w:top w:val="single" w:sz="2" w:space="0" w:color="CCCCCC"/>
              <w:left w:val="single" w:sz="2" w:space="0" w:color="CCCCCC"/>
              <w:bottom w:val="single" w:sz="32" w:space="0" w:color="EAF1F4"/>
              <w:right w:val="single" w:sz="2" w:space="0" w:color="CCCCCC"/>
            </w:tcBorders>
            <w:vAlign w:val="center"/>
          </w:tcPr>
          <w:p w14:paraId="595393F5" w14:textId="77777777" w:rsidR="008324F8" w:rsidRDefault="00000000">
            <w:pPr>
              <w:spacing w:after="0" w:line="259" w:lineRule="auto"/>
              <w:ind w:left="0" w:right="0" w:firstLine="0"/>
              <w:jc w:val="left"/>
            </w:pPr>
            <w:r>
              <w:rPr>
                <w:color w:val="000000"/>
                <w:sz w:val="21"/>
              </w:rPr>
              <w:t>Afghanistan</w:t>
            </w:r>
            <w:r>
              <w:t xml:space="preserve"> </w:t>
            </w:r>
          </w:p>
        </w:tc>
        <w:tc>
          <w:tcPr>
            <w:tcW w:w="3698" w:type="dxa"/>
            <w:tcBorders>
              <w:top w:val="single" w:sz="2" w:space="0" w:color="CCCCCC"/>
              <w:left w:val="single" w:sz="2" w:space="0" w:color="CCCCCC"/>
              <w:bottom w:val="single" w:sz="32" w:space="0" w:color="EAF1F4"/>
              <w:right w:val="single" w:sz="2" w:space="0" w:color="CCCCCC"/>
            </w:tcBorders>
            <w:vAlign w:val="center"/>
          </w:tcPr>
          <w:p w14:paraId="766016C9" w14:textId="77777777" w:rsidR="008324F8" w:rsidRDefault="00000000">
            <w:pPr>
              <w:spacing w:after="0" w:line="259" w:lineRule="auto"/>
              <w:ind w:left="0" w:right="0" w:firstLine="0"/>
              <w:jc w:val="left"/>
            </w:pPr>
            <w:r>
              <w:rPr>
                <w:color w:val="000000"/>
                <w:sz w:val="21"/>
              </w:rPr>
              <w:t>21,311,000</w:t>
            </w:r>
            <w:r>
              <w:t xml:space="preserve"> </w:t>
            </w:r>
          </w:p>
        </w:tc>
      </w:tr>
      <w:tr w:rsidR="008324F8" w14:paraId="0B4D488A" w14:textId="77777777">
        <w:trPr>
          <w:trHeight w:val="355"/>
        </w:trPr>
        <w:tc>
          <w:tcPr>
            <w:tcW w:w="703" w:type="dxa"/>
            <w:tcBorders>
              <w:top w:val="single" w:sz="32" w:space="0" w:color="EAF1F4"/>
              <w:left w:val="single" w:sz="2" w:space="0" w:color="CCCCCC"/>
              <w:bottom w:val="single" w:sz="2" w:space="0" w:color="CCCCCC"/>
              <w:right w:val="single" w:sz="2" w:space="0" w:color="CCCCCC"/>
            </w:tcBorders>
            <w:shd w:val="clear" w:color="auto" w:fill="EAF1F4"/>
          </w:tcPr>
          <w:p w14:paraId="2AE97263" w14:textId="77777777" w:rsidR="008324F8" w:rsidRDefault="00000000">
            <w:pPr>
              <w:spacing w:after="0" w:line="259" w:lineRule="auto"/>
              <w:ind w:left="0" w:right="0" w:firstLine="0"/>
              <w:jc w:val="left"/>
            </w:pPr>
            <w:r>
              <w:rPr>
                <w:color w:val="000000"/>
                <w:sz w:val="21"/>
              </w:rPr>
              <w:t>6</w:t>
            </w:r>
            <w:r>
              <w:t xml:space="preserve"> </w:t>
            </w:r>
          </w:p>
        </w:tc>
        <w:tc>
          <w:tcPr>
            <w:tcW w:w="3500" w:type="dxa"/>
            <w:tcBorders>
              <w:top w:val="single" w:sz="32" w:space="0" w:color="EAF1F4"/>
              <w:left w:val="single" w:sz="2" w:space="0" w:color="CCCCCC"/>
              <w:bottom w:val="single" w:sz="2" w:space="0" w:color="CCCCCC"/>
              <w:right w:val="single" w:sz="2" w:space="0" w:color="CCCCCC"/>
            </w:tcBorders>
            <w:shd w:val="clear" w:color="auto" w:fill="EAF1F4"/>
          </w:tcPr>
          <w:p w14:paraId="58D6166E" w14:textId="77777777" w:rsidR="008324F8" w:rsidRDefault="00000000">
            <w:pPr>
              <w:spacing w:after="0" w:line="259" w:lineRule="auto"/>
              <w:ind w:left="0" w:right="0" w:firstLine="0"/>
              <w:jc w:val="left"/>
            </w:pPr>
            <w:r>
              <w:rPr>
                <w:color w:val="000000"/>
                <w:sz w:val="21"/>
              </w:rPr>
              <w:t>South Sudan</w:t>
            </w:r>
            <w:r>
              <w:t xml:space="preserve"> </w:t>
            </w:r>
          </w:p>
        </w:tc>
        <w:tc>
          <w:tcPr>
            <w:tcW w:w="3698" w:type="dxa"/>
            <w:tcBorders>
              <w:top w:val="single" w:sz="32" w:space="0" w:color="EAF1F4"/>
              <w:left w:val="single" w:sz="2" w:space="0" w:color="CCCCCC"/>
              <w:bottom w:val="single" w:sz="2" w:space="0" w:color="CCCCCC"/>
              <w:right w:val="single" w:sz="2" w:space="0" w:color="CCCCCC"/>
            </w:tcBorders>
            <w:shd w:val="clear" w:color="auto" w:fill="EAF1F4"/>
          </w:tcPr>
          <w:p w14:paraId="28276B54" w14:textId="77777777" w:rsidR="008324F8" w:rsidRDefault="00000000">
            <w:pPr>
              <w:spacing w:after="0" w:line="259" w:lineRule="auto"/>
              <w:ind w:left="0" w:right="0" w:firstLine="0"/>
              <w:jc w:val="left"/>
            </w:pPr>
            <w:r>
              <w:rPr>
                <w:color w:val="000000"/>
                <w:sz w:val="21"/>
              </w:rPr>
              <w:t>19,870,000</w:t>
            </w:r>
            <w:r>
              <w:t xml:space="preserve"> </w:t>
            </w:r>
          </w:p>
        </w:tc>
      </w:tr>
      <w:tr w:rsidR="008324F8" w14:paraId="3B13266A" w14:textId="77777777">
        <w:trPr>
          <w:trHeight w:val="473"/>
        </w:trPr>
        <w:tc>
          <w:tcPr>
            <w:tcW w:w="703" w:type="dxa"/>
            <w:tcBorders>
              <w:top w:val="single" w:sz="2" w:space="0" w:color="CCCCCC"/>
              <w:left w:val="single" w:sz="2" w:space="0" w:color="CCCCCC"/>
              <w:bottom w:val="single" w:sz="32" w:space="0" w:color="EAF1F4"/>
              <w:right w:val="single" w:sz="2" w:space="0" w:color="CCCCCC"/>
            </w:tcBorders>
            <w:vAlign w:val="center"/>
          </w:tcPr>
          <w:p w14:paraId="2EE49380" w14:textId="77777777" w:rsidR="008324F8" w:rsidRDefault="00000000">
            <w:pPr>
              <w:spacing w:after="0" w:line="259" w:lineRule="auto"/>
              <w:ind w:left="0" w:right="0" w:firstLine="0"/>
              <w:jc w:val="left"/>
            </w:pPr>
            <w:r>
              <w:rPr>
                <w:color w:val="000000"/>
                <w:sz w:val="21"/>
              </w:rPr>
              <w:t>7</w:t>
            </w:r>
            <w:r>
              <w:t xml:space="preserve"> </w:t>
            </w:r>
          </w:p>
        </w:tc>
        <w:tc>
          <w:tcPr>
            <w:tcW w:w="3500" w:type="dxa"/>
            <w:tcBorders>
              <w:top w:val="single" w:sz="2" w:space="0" w:color="CCCCCC"/>
              <w:left w:val="single" w:sz="2" w:space="0" w:color="CCCCCC"/>
              <w:bottom w:val="single" w:sz="32" w:space="0" w:color="EAF1F4"/>
              <w:right w:val="single" w:sz="2" w:space="0" w:color="CCCCCC"/>
            </w:tcBorders>
            <w:vAlign w:val="center"/>
          </w:tcPr>
          <w:p w14:paraId="11FB6647" w14:textId="77777777" w:rsidR="008324F8" w:rsidRDefault="00000000">
            <w:pPr>
              <w:spacing w:after="0" w:line="259" w:lineRule="auto"/>
              <w:ind w:left="0" w:right="0" w:firstLine="0"/>
              <w:jc w:val="left"/>
            </w:pPr>
            <w:r>
              <w:rPr>
                <w:color w:val="000000"/>
                <w:sz w:val="21"/>
              </w:rPr>
              <w:t>Somalia</w:t>
            </w:r>
            <w:r>
              <w:t xml:space="preserve"> </w:t>
            </w:r>
          </w:p>
        </w:tc>
        <w:tc>
          <w:tcPr>
            <w:tcW w:w="3698" w:type="dxa"/>
            <w:tcBorders>
              <w:top w:val="single" w:sz="2" w:space="0" w:color="CCCCCC"/>
              <w:left w:val="single" w:sz="2" w:space="0" w:color="CCCCCC"/>
              <w:bottom w:val="single" w:sz="32" w:space="0" w:color="EAF1F4"/>
              <w:right w:val="single" w:sz="2" w:space="0" w:color="CCCCCC"/>
            </w:tcBorders>
            <w:vAlign w:val="center"/>
          </w:tcPr>
          <w:p w14:paraId="748F5DEC" w14:textId="77777777" w:rsidR="008324F8" w:rsidRDefault="00000000">
            <w:pPr>
              <w:spacing w:after="0" w:line="259" w:lineRule="auto"/>
              <w:ind w:left="0" w:right="0" w:firstLine="0"/>
              <w:jc w:val="left"/>
            </w:pPr>
            <w:r>
              <w:rPr>
                <w:color w:val="000000"/>
                <w:sz w:val="21"/>
              </w:rPr>
              <w:t>18,401,000</w:t>
            </w:r>
            <w:r>
              <w:t xml:space="preserve"> </w:t>
            </w:r>
          </w:p>
        </w:tc>
      </w:tr>
      <w:tr w:rsidR="008324F8" w14:paraId="373BC50E" w14:textId="77777777">
        <w:trPr>
          <w:trHeight w:val="356"/>
        </w:trPr>
        <w:tc>
          <w:tcPr>
            <w:tcW w:w="703" w:type="dxa"/>
            <w:tcBorders>
              <w:top w:val="single" w:sz="32" w:space="0" w:color="EAF1F4"/>
              <w:left w:val="single" w:sz="2" w:space="0" w:color="CCCCCC"/>
              <w:bottom w:val="single" w:sz="2" w:space="0" w:color="CCCCCC"/>
              <w:right w:val="single" w:sz="2" w:space="0" w:color="CCCCCC"/>
            </w:tcBorders>
            <w:shd w:val="clear" w:color="auto" w:fill="EAF1F4"/>
          </w:tcPr>
          <w:p w14:paraId="68B577C3" w14:textId="77777777" w:rsidR="008324F8" w:rsidRDefault="00000000">
            <w:pPr>
              <w:spacing w:after="0" w:line="259" w:lineRule="auto"/>
              <w:ind w:left="0" w:right="0" w:firstLine="0"/>
              <w:jc w:val="left"/>
            </w:pPr>
            <w:r>
              <w:rPr>
                <w:color w:val="000000"/>
                <w:sz w:val="21"/>
              </w:rPr>
              <w:t>8</w:t>
            </w:r>
            <w:r>
              <w:t xml:space="preserve"> </w:t>
            </w:r>
          </w:p>
        </w:tc>
        <w:tc>
          <w:tcPr>
            <w:tcW w:w="3500" w:type="dxa"/>
            <w:tcBorders>
              <w:top w:val="single" w:sz="32" w:space="0" w:color="EAF1F4"/>
              <w:left w:val="single" w:sz="2" w:space="0" w:color="CCCCCC"/>
              <w:bottom w:val="single" w:sz="2" w:space="0" w:color="CCCCCC"/>
              <w:right w:val="single" w:sz="2" w:space="0" w:color="CCCCCC"/>
            </w:tcBorders>
            <w:shd w:val="clear" w:color="auto" w:fill="EAF1F4"/>
          </w:tcPr>
          <w:p w14:paraId="14C06A14" w14:textId="77777777" w:rsidR="008324F8" w:rsidRDefault="00000000">
            <w:pPr>
              <w:spacing w:after="0" w:line="259" w:lineRule="auto"/>
              <w:ind w:left="0" w:right="0" w:firstLine="0"/>
              <w:jc w:val="left"/>
            </w:pPr>
            <w:r>
              <w:rPr>
                <w:color w:val="000000"/>
                <w:sz w:val="21"/>
              </w:rPr>
              <w:t>Yemen</w:t>
            </w:r>
            <w:r>
              <w:t xml:space="preserve"> </w:t>
            </w:r>
          </w:p>
        </w:tc>
        <w:tc>
          <w:tcPr>
            <w:tcW w:w="3698" w:type="dxa"/>
            <w:tcBorders>
              <w:top w:val="single" w:sz="32" w:space="0" w:color="EAF1F4"/>
              <w:left w:val="single" w:sz="2" w:space="0" w:color="CCCCCC"/>
              <w:bottom w:val="single" w:sz="2" w:space="0" w:color="CCCCCC"/>
              <w:right w:val="single" w:sz="2" w:space="0" w:color="CCCCCC"/>
            </w:tcBorders>
            <w:shd w:val="clear" w:color="auto" w:fill="EAF1F4"/>
          </w:tcPr>
          <w:p w14:paraId="34B24CDF" w14:textId="77777777" w:rsidR="008324F8" w:rsidRDefault="00000000">
            <w:pPr>
              <w:spacing w:after="0" w:line="259" w:lineRule="auto"/>
              <w:ind w:left="0" w:right="0" w:firstLine="0"/>
              <w:jc w:val="left"/>
            </w:pPr>
            <w:r>
              <w:rPr>
                <w:color w:val="000000"/>
                <w:sz w:val="21"/>
              </w:rPr>
              <w:t>17,399,800</w:t>
            </w:r>
            <w:r>
              <w:t xml:space="preserve"> </w:t>
            </w:r>
          </w:p>
        </w:tc>
      </w:tr>
      <w:tr w:rsidR="008324F8" w14:paraId="2CD678C7" w14:textId="77777777">
        <w:trPr>
          <w:trHeight w:val="473"/>
        </w:trPr>
        <w:tc>
          <w:tcPr>
            <w:tcW w:w="703" w:type="dxa"/>
            <w:tcBorders>
              <w:top w:val="single" w:sz="2" w:space="0" w:color="CCCCCC"/>
              <w:left w:val="single" w:sz="2" w:space="0" w:color="CCCCCC"/>
              <w:bottom w:val="single" w:sz="32" w:space="0" w:color="EAF1F4"/>
              <w:right w:val="single" w:sz="2" w:space="0" w:color="CCCCCC"/>
            </w:tcBorders>
            <w:vAlign w:val="center"/>
          </w:tcPr>
          <w:p w14:paraId="0B036CDA" w14:textId="77777777" w:rsidR="008324F8" w:rsidRDefault="00000000">
            <w:pPr>
              <w:spacing w:after="0" w:line="259" w:lineRule="auto"/>
              <w:ind w:left="0" w:right="0" w:firstLine="0"/>
              <w:jc w:val="left"/>
            </w:pPr>
            <w:r>
              <w:rPr>
                <w:color w:val="000000"/>
                <w:sz w:val="21"/>
              </w:rPr>
              <w:t>9</w:t>
            </w:r>
            <w:r>
              <w:t xml:space="preserve"> </w:t>
            </w:r>
          </w:p>
        </w:tc>
        <w:tc>
          <w:tcPr>
            <w:tcW w:w="3500" w:type="dxa"/>
            <w:tcBorders>
              <w:top w:val="single" w:sz="2" w:space="0" w:color="CCCCCC"/>
              <w:left w:val="single" w:sz="2" w:space="0" w:color="CCCCCC"/>
              <w:bottom w:val="single" w:sz="32" w:space="0" w:color="EAF1F4"/>
              <w:right w:val="single" w:sz="2" w:space="0" w:color="CCCCCC"/>
            </w:tcBorders>
            <w:vAlign w:val="center"/>
          </w:tcPr>
          <w:p w14:paraId="1D73949B" w14:textId="77777777" w:rsidR="008324F8" w:rsidRDefault="00000000">
            <w:pPr>
              <w:spacing w:after="0" w:line="259" w:lineRule="auto"/>
              <w:ind w:left="0" w:right="0" w:firstLine="0"/>
              <w:jc w:val="left"/>
            </w:pPr>
            <w:r>
              <w:rPr>
                <w:color w:val="000000"/>
                <w:sz w:val="21"/>
              </w:rPr>
              <w:t>Nigeria</w:t>
            </w:r>
            <w:r>
              <w:t xml:space="preserve"> </w:t>
            </w:r>
          </w:p>
        </w:tc>
        <w:tc>
          <w:tcPr>
            <w:tcW w:w="3698" w:type="dxa"/>
            <w:tcBorders>
              <w:top w:val="single" w:sz="2" w:space="0" w:color="CCCCCC"/>
              <w:left w:val="single" w:sz="2" w:space="0" w:color="CCCCCC"/>
              <w:bottom w:val="single" w:sz="32" w:space="0" w:color="EAF1F4"/>
              <w:right w:val="single" w:sz="2" w:space="0" w:color="CCCCCC"/>
            </w:tcBorders>
            <w:vAlign w:val="center"/>
          </w:tcPr>
          <w:p w14:paraId="7618B4A1" w14:textId="77777777" w:rsidR="008324F8" w:rsidRDefault="00000000">
            <w:pPr>
              <w:spacing w:after="0" w:line="259" w:lineRule="auto"/>
              <w:ind w:left="0" w:right="0" w:firstLine="0"/>
              <w:jc w:val="left"/>
            </w:pPr>
            <w:r>
              <w:rPr>
                <w:color w:val="000000"/>
                <w:sz w:val="21"/>
              </w:rPr>
              <w:t>16,258,000</w:t>
            </w:r>
            <w:r>
              <w:t xml:space="preserve"> </w:t>
            </w:r>
          </w:p>
        </w:tc>
      </w:tr>
      <w:tr w:rsidR="008324F8" w14:paraId="73941687" w14:textId="77777777">
        <w:trPr>
          <w:trHeight w:val="353"/>
        </w:trPr>
        <w:tc>
          <w:tcPr>
            <w:tcW w:w="703" w:type="dxa"/>
            <w:tcBorders>
              <w:top w:val="single" w:sz="32" w:space="0" w:color="EAF1F4"/>
              <w:left w:val="single" w:sz="2" w:space="0" w:color="CCCCCC"/>
              <w:bottom w:val="single" w:sz="2" w:space="0" w:color="CCCCCC"/>
              <w:right w:val="single" w:sz="2" w:space="0" w:color="CCCCCC"/>
            </w:tcBorders>
            <w:shd w:val="clear" w:color="auto" w:fill="EAF1F4"/>
          </w:tcPr>
          <w:p w14:paraId="3AE44089" w14:textId="77777777" w:rsidR="008324F8" w:rsidRDefault="00000000">
            <w:pPr>
              <w:spacing w:after="0" w:line="259" w:lineRule="auto"/>
              <w:ind w:left="0" w:right="0" w:firstLine="0"/>
              <w:jc w:val="left"/>
            </w:pPr>
            <w:r>
              <w:rPr>
                <w:color w:val="000000"/>
                <w:sz w:val="21"/>
              </w:rPr>
              <w:lastRenderedPageBreak/>
              <w:t>10</w:t>
            </w:r>
            <w:r>
              <w:t xml:space="preserve"> </w:t>
            </w:r>
          </w:p>
        </w:tc>
        <w:tc>
          <w:tcPr>
            <w:tcW w:w="3500" w:type="dxa"/>
            <w:tcBorders>
              <w:top w:val="single" w:sz="32" w:space="0" w:color="EAF1F4"/>
              <w:left w:val="single" w:sz="2" w:space="0" w:color="CCCCCC"/>
              <w:bottom w:val="single" w:sz="2" w:space="0" w:color="CCCCCC"/>
              <w:right w:val="single" w:sz="2" w:space="0" w:color="CCCCCC"/>
            </w:tcBorders>
            <w:shd w:val="clear" w:color="auto" w:fill="EAF1F4"/>
          </w:tcPr>
          <w:p w14:paraId="618CA43B" w14:textId="77777777" w:rsidR="008324F8" w:rsidRDefault="00000000">
            <w:pPr>
              <w:spacing w:after="0" w:line="259" w:lineRule="auto"/>
              <w:ind w:left="0" w:right="0" w:firstLine="0"/>
              <w:jc w:val="left"/>
            </w:pPr>
            <w:r>
              <w:rPr>
                <w:color w:val="000000"/>
                <w:sz w:val="21"/>
              </w:rPr>
              <w:t>Iraq</w:t>
            </w:r>
            <w:r>
              <w:t xml:space="preserve"> </w:t>
            </w:r>
          </w:p>
        </w:tc>
        <w:tc>
          <w:tcPr>
            <w:tcW w:w="3698" w:type="dxa"/>
            <w:tcBorders>
              <w:top w:val="single" w:sz="32" w:space="0" w:color="EAF1F4"/>
              <w:left w:val="single" w:sz="2" w:space="0" w:color="CCCCCC"/>
              <w:bottom w:val="single" w:sz="2" w:space="0" w:color="CCCCCC"/>
              <w:right w:val="single" w:sz="2" w:space="0" w:color="CCCCCC"/>
            </w:tcBorders>
            <w:shd w:val="clear" w:color="auto" w:fill="EAF1F4"/>
          </w:tcPr>
          <w:p w14:paraId="6B854AD1" w14:textId="77777777" w:rsidR="008324F8" w:rsidRDefault="00000000">
            <w:pPr>
              <w:spacing w:after="0" w:line="259" w:lineRule="auto"/>
              <w:ind w:left="0" w:right="0" w:firstLine="0"/>
              <w:jc w:val="left"/>
            </w:pPr>
            <w:r>
              <w:rPr>
                <w:color w:val="000000"/>
                <w:sz w:val="21"/>
              </w:rPr>
              <w:t>15,850,000</w:t>
            </w:r>
            <w:r>
              <w:t xml:space="preserve"> </w:t>
            </w:r>
          </w:p>
        </w:tc>
      </w:tr>
    </w:tbl>
    <w:p w14:paraId="13313ABF" w14:textId="77777777" w:rsidR="008324F8" w:rsidRDefault="00000000">
      <w:pPr>
        <w:spacing w:after="137" w:line="259" w:lineRule="auto"/>
        <w:ind w:left="20" w:right="0" w:firstLine="0"/>
        <w:jc w:val="left"/>
      </w:pPr>
      <w:r>
        <w:t xml:space="preserve"> </w:t>
      </w:r>
    </w:p>
    <w:p w14:paraId="62A7750C" w14:textId="2CB81FBB" w:rsidR="008324F8" w:rsidRDefault="00C95E7F">
      <w:pPr>
        <w:spacing w:after="149"/>
        <w:ind w:left="15" w:right="-8"/>
      </w:pPr>
      <w:r>
        <w:t>c</w:t>
      </w:r>
      <w:r w:rsidR="00000000">
        <w:t xml:space="preserve"> Two patterns stand out: long-running, multi-decade conflicts (Syria, DRC, Sudan, Somalia, Afghanistan) dominate the top of the table, while Colombia's presence at #4 reflects one of the world's longest-running internal displacement crises, predating and outlasting several of the more recent conflicts on this list. </w:t>
      </w:r>
    </w:p>
    <w:p w14:paraId="4D422806" w14:textId="77777777" w:rsidR="008324F8" w:rsidRDefault="00000000">
      <w:pPr>
        <w:spacing w:after="449"/>
        <w:ind w:left="15" w:right="-8"/>
      </w:pPr>
      <w:r>
        <w:t xml:space="preserve">The Overview page also includes a country-level drill-down chart wired to a Country slicer, so a user can isolate any single country's year-by-year trend rather than relying on the aggregate view. This makes the page useful both as a global summary and as a lightweight country-research tool. </w:t>
      </w:r>
    </w:p>
    <w:p w14:paraId="7E063FC6" w14:textId="77777777" w:rsidR="008324F8" w:rsidRDefault="00000000">
      <w:pPr>
        <w:pStyle w:val="Heading1"/>
        <w:ind w:left="374" w:hanging="369"/>
      </w:pPr>
      <w:r>
        <w:t xml:space="preserve">Regional and Classification Breakdown </w:t>
      </w:r>
    </w:p>
    <w:p w14:paraId="50C987B7" w14:textId="77777777" w:rsidR="008324F8" w:rsidRDefault="00000000">
      <w:pPr>
        <w:spacing w:after="245" w:line="259" w:lineRule="auto"/>
        <w:ind w:left="-8" w:right="-24" w:firstLine="0"/>
        <w:jc w:val="left"/>
      </w:pPr>
      <w:r>
        <w:rPr>
          <w:rFonts w:ascii="Calibri" w:eastAsia="Calibri" w:hAnsi="Calibri" w:cs="Calibri"/>
          <w:noProof/>
          <w:color w:val="000000"/>
        </w:rPr>
        <mc:AlternateContent>
          <mc:Choice Requires="wpg">
            <w:drawing>
              <wp:inline distT="0" distB="0" distL="0" distR="0" wp14:anchorId="3A1D85DB" wp14:editId="19A4E7CC">
                <wp:extent cx="5981065" cy="9144"/>
                <wp:effectExtent l="0" t="0" r="0" b="0"/>
                <wp:docPr id="4993" name="Group 499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5907" name="Shape 590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5F"/>
                          </a:fillRef>
                          <a:effectRef idx="0">
                            <a:scrgbClr r="0" g="0" b="0"/>
                          </a:effectRef>
                          <a:fontRef idx="none"/>
                        </wps:style>
                        <wps:bodyPr/>
                      </wps:wsp>
                    </wpg:wgp>
                  </a:graphicData>
                </a:graphic>
              </wp:inline>
            </w:drawing>
          </mc:Choice>
          <mc:Fallback xmlns:a="http://schemas.openxmlformats.org/drawingml/2006/main">
            <w:pict>
              <v:group id="Group 4993" style="width:470.95pt;height:0.719971pt;mso-position-horizontal-relative:char;mso-position-vertical-relative:line" coordsize="59810,91">
                <v:shape id="Shape 5908" style="position:absolute;width:59810;height:91;left:0;top:0;" coordsize="5981065,9144" path="m0,0l5981065,0l5981065,9144l0,9144l0,0">
                  <v:stroke weight="0pt" endcap="flat" joinstyle="miter" miterlimit="10" on="false" color="#000000" opacity="0"/>
                  <v:fill on="true" color="#1f4e5f"/>
                </v:shape>
              </v:group>
            </w:pict>
          </mc:Fallback>
        </mc:AlternateContent>
      </w:r>
    </w:p>
    <w:p w14:paraId="5E6849D3" w14:textId="77777777" w:rsidR="008324F8" w:rsidRDefault="00000000">
      <w:pPr>
        <w:spacing w:after="279"/>
        <w:ind w:left="15" w:right="-8"/>
      </w:pPr>
      <w:r>
        <w:t xml:space="preserve">The Countries and Regions page reclassifies the same underlying data three different ways — by African Union sub-region, by World Bank income group, and by UNSDG continental grouping — plus a geographic map view, all controllable via Country, Region UNSDG and Region WHO slicers. </w:t>
      </w:r>
    </w:p>
    <w:p w14:paraId="61E51564" w14:textId="77777777" w:rsidR="008324F8" w:rsidRDefault="00000000">
      <w:pPr>
        <w:spacing w:after="84" w:line="259" w:lineRule="auto"/>
        <w:ind w:left="15" w:right="0"/>
        <w:jc w:val="left"/>
      </w:pPr>
      <w:r>
        <w:rPr>
          <w:color w:val="1F4E5F"/>
          <w:sz w:val="25"/>
        </w:rPr>
        <w:t xml:space="preserve">3.1 African Union sub-regional concentration </w:t>
      </w:r>
    </w:p>
    <w:p w14:paraId="2C729331" w14:textId="77777777" w:rsidR="008324F8" w:rsidRDefault="00000000">
      <w:pPr>
        <w:ind w:left="15" w:right="-8"/>
      </w:pPr>
      <w:r>
        <w:t xml:space="preserve">Within Africa specifically, displacement is heavily concentrated in the east and centre of the continent. Eastern Africa alone accounts for just over half of all African Union-classified IDPs across the period, with Central Africa contributing close to another third. </w:t>
      </w:r>
    </w:p>
    <w:tbl>
      <w:tblPr>
        <w:tblStyle w:val="TableGrid"/>
        <w:tblW w:w="7901" w:type="dxa"/>
        <w:tblInd w:w="21" w:type="dxa"/>
        <w:tblCellMar>
          <w:top w:w="91" w:type="dxa"/>
          <w:left w:w="120" w:type="dxa"/>
          <w:bottom w:w="0" w:type="dxa"/>
          <w:right w:w="54" w:type="dxa"/>
        </w:tblCellMar>
        <w:tblLook w:val="04A0" w:firstRow="1" w:lastRow="0" w:firstColumn="1" w:lastColumn="0" w:noHBand="0" w:noVBand="1"/>
      </w:tblPr>
      <w:tblGrid>
        <w:gridCol w:w="3201"/>
        <w:gridCol w:w="2901"/>
        <w:gridCol w:w="1799"/>
      </w:tblGrid>
      <w:tr w:rsidR="008324F8" w14:paraId="299489CF" w14:textId="77777777">
        <w:trPr>
          <w:trHeight w:val="355"/>
        </w:trPr>
        <w:tc>
          <w:tcPr>
            <w:tcW w:w="3201" w:type="dxa"/>
            <w:tcBorders>
              <w:top w:val="single" w:sz="2" w:space="0" w:color="CCCCCC"/>
              <w:left w:val="single" w:sz="2" w:space="0" w:color="CCCCCC"/>
              <w:bottom w:val="single" w:sz="2" w:space="0" w:color="CCCCCC"/>
              <w:right w:val="single" w:sz="2" w:space="0" w:color="CCCCCC"/>
            </w:tcBorders>
            <w:shd w:val="clear" w:color="auto" w:fill="1F4E5F"/>
          </w:tcPr>
          <w:p w14:paraId="42858DED" w14:textId="77777777" w:rsidR="008324F8" w:rsidRDefault="00000000">
            <w:pPr>
              <w:spacing w:after="0" w:line="259" w:lineRule="auto"/>
              <w:ind w:left="0" w:right="0" w:firstLine="0"/>
              <w:jc w:val="left"/>
            </w:pPr>
            <w:r>
              <w:rPr>
                <w:color w:val="FFFFFF"/>
                <w:sz w:val="21"/>
              </w:rPr>
              <w:t>Sub-region</w:t>
            </w:r>
            <w:r>
              <w:t xml:space="preserve"> </w:t>
            </w:r>
          </w:p>
        </w:tc>
        <w:tc>
          <w:tcPr>
            <w:tcW w:w="2901" w:type="dxa"/>
            <w:tcBorders>
              <w:top w:val="single" w:sz="2" w:space="0" w:color="CCCCCC"/>
              <w:left w:val="single" w:sz="2" w:space="0" w:color="CCCCCC"/>
              <w:bottom w:val="single" w:sz="2" w:space="0" w:color="CCCCCC"/>
              <w:right w:val="single" w:sz="2" w:space="0" w:color="CCCCCC"/>
            </w:tcBorders>
            <w:shd w:val="clear" w:color="auto" w:fill="1F4E5F"/>
          </w:tcPr>
          <w:p w14:paraId="18A28FBF" w14:textId="77777777" w:rsidR="008324F8" w:rsidRDefault="00000000">
            <w:pPr>
              <w:spacing w:after="0" w:line="259" w:lineRule="auto"/>
              <w:ind w:left="2" w:right="0" w:firstLine="0"/>
              <w:jc w:val="left"/>
            </w:pPr>
            <w:r>
              <w:rPr>
                <w:color w:val="FFFFFF"/>
                <w:sz w:val="21"/>
              </w:rPr>
              <w:t>Cumulative IDPs</w:t>
            </w:r>
            <w:r>
              <w:t xml:space="preserve"> </w:t>
            </w:r>
          </w:p>
        </w:tc>
        <w:tc>
          <w:tcPr>
            <w:tcW w:w="1799" w:type="dxa"/>
            <w:tcBorders>
              <w:top w:val="single" w:sz="2" w:space="0" w:color="CCCCCC"/>
              <w:left w:val="single" w:sz="2" w:space="0" w:color="CCCCCC"/>
              <w:bottom w:val="single" w:sz="2" w:space="0" w:color="CCCCCC"/>
              <w:right w:val="single" w:sz="2" w:space="0" w:color="CCCCCC"/>
            </w:tcBorders>
            <w:shd w:val="clear" w:color="auto" w:fill="1F4E5F"/>
          </w:tcPr>
          <w:p w14:paraId="2F715347" w14:textId="77777777" w:rsidR="008324F8" w:rsidRDefault="00000000">
            <w:pPr>
              <w:spacing w:after="0" w:line="259" w:lineRule="auto"/>
              <w:ind w:left="0" w:right="0" w:firstLine="0"/>
              <w:jc w:val="left"/>
            </w:pPr>
            <w:r>
              <w:rPr>
                <w:color w:val="FFFFFF"/>
                <w:sz w:val="21"/>
              </w:rPr>
              <w:t>Share of AU total</w:t>
            </w:r>
            <w:r>
              <w:t xml:space="preserve"> </w:t>
            </w:r>
          </w:p>
        </w:tc>
      </w:tr>
      <w:tr w:rsidR="008324F8" w14:paraId="313EB6DC" w14:textId="77777777">
        <w:trPr>
          <w:trHeight w:val="473"/>
        </w:trPr>
        <w:tc>
          <w:tcPr>
            <w:tcW w:w="3201" w:type="dxa"/>
            <w:tcBorders>
              <w:top w:val="single" w:sz="2" w:space="0" w:color="CCCCCC"/>
              <w:left w:val="single" w:sz="2" w:space="0" w:color="CCCCCC"/>
              <w:bottom w:val="single" w:sz="2" w:space="0" w:color="CCCCCC"/>
              <w:right w:val="single" w:sz="2" w:space="0" w:color="CCCCCC"/>
            </w:tcBorders>
            <w:vAlign w:val="center"/>
          </w:tcPr>
          <w:p w14:paraId="42779AD2" w14:textId="77777777" w:rsidR="008324F8" w:rsidRDefault="00000000">
            <w:pPr>
              <w:spacing w:after="0" w:line="259" w:lineRule="auto"/>
              <w:ind w:left="0" w:right="0" w:firstLine="0"/>
              <w:jc w:val="left"/>
            </w:pPr>
            <w:r>
              <w:rPr>
                <w:color w:val="000000"/>
                <w:sz w:val="21"/>
              </w:rPr>
              <w:t>Eastern Africa</w:t>
            </w:r>
            <w:r>
              <w:t xml:space="preserve"> </w:t>
            </w:r>
          </w:p>
        </w:tc>
        <w:tc>
          <w:tcPr>
            <w:tcW w:w="2901" w:type="dxa"/>
            <w:tcBorders>
              <w:top w:val="single" w:sz="2" w:space="0" w:color="CCCCCC"/>
              <w:left w:val="single" w:sz="2" w:space="0" w:color="CCCCCC"/>
              <w:bottom w:val="single" w:sz="2" w:space="0" w:color="CCCCCC"/>
              <w:right w:val="single" w:sz="2" w:space="0" w:color="CCCCCC"/>
            </w:tcBorders>
            <w:vAlign w:val="center"/>
          </w:tcPr>
          <w:p w14:paraId="017B5537" w14:textId="77777777" w:rsidR="008324F8" w:rsidRDefault="00000000">
            <w:pPr>
              <w:spacing w:after="0" w:line="259" w:lineRule="auto"/>
              <w:ind w:left="2" w:right="0" w:firstLine="0"/>
              <w:jc w:val="left"/>
            </w:pPr>
            <w:r>
              <w:rPr>
                <w:color w:val="000000"/>
                <w:sz w:val="21"/>
              </w:rPr>
              <w:t>74,690,000</w:t>
            </w:r>
            <w:r>
              <w:t xml:space="preserve"> </w:t>
            </w:r>
          </w:p>
        </w:tc>
        <w:tc>
          <w:tcPr>
            <w:tcW w:w="1799" w:type="dxa"/>
            <w:tcBorders>
              <w:top w:val="single" w:sz="2" w:space="0" w:color="CCCCCC"/>
              <w:left w:val="single" w:sz="2" w:space="0" w:color="CCCCCC"/>
              <w:bottom w:val="single" w:sz="32" w:space="0" w:color="EAF1F4"/>
              <w:right w:val="single" w:sz="2" w:space="0" w:color="CCCCCC"/>
            </w:tcBorders>
            <w:vAlign w:val="center"/>
          </w:tcPr>
          <w:p w14:paraId="7380DA2C" w14:textId="77777777" w:rsidR="008324F8" w:rsidRDefault="00000000">
            <w:pPr>
              <w:spacing w:after="0" w:line="259" w:lineRule="auto"/>
              <w:ind w:left="0" w:right="0" w:firstLine="0"/>
              <w:jc w:val="left"/>
            </w:pPr>
            <w:r>
              <w:rPr>
                <w:color w:val="000000"/>
                <w:sz w:val="21"/>
              </w:rPr>
              <w:t>50.2%</w:t>
            </w:r>
            <w:r>
              <w:t xml:space="preserve"> </w:t>
            </w:r>
          </w:p>
        </w:tc>
      </w:tr>
      <w:tr w:rsidR="008324F8" w14:paraId="470C321D" w14:textId="77777777">
        <w:trPr>
          <w:trHeight w:val="355"/>
        </w:trPr>
        <w:tc>
          <w:tcPr>
            <w:tcW w:w="3201" w:type="dxa"/>
            <w:tcBorders>
              <w:top w:val="single" w:sz="2" w:space="0" w:color="CCCCCC"/>
              <w:left w:val="single" w:sz="2" w:space="0" w:color="CCCCCC"/>
              <w:bottom w:val="single" w:sz="2" w:space="0" w:color="CCCCCC"/>
              <w:right w:val="single" w:sz="2" w:space="0" w:color="CCCCCC"/>
            </w:tcBorders>
            <w:shd w:val="clear" w:color="auto" w:fill="EAF1F4"/>
          </w:tcPr>
          <w:p w14:paraId="4DF9D217" w14:textId="77777777" w:rsidR="008324F8" w:rsidRDefault="00000000">
            <w:pPr>
              <w:spacing w:after="0" w:line="259" w:lineRule="auto"/>
              <w:ind w:left="0" w:right="0" w:firstLine="0"/>
              <w:jc w:val="left"/>
            </w:pPr>
            <w:r>
              <w:rPr>
                <w:color w:val="000000"/>
                <w:sz w:val="21"/>
              </w:rPr>
              <w:t>Central Africa</w:t>
            </w:r>
            <w:r>
              <w:t xml:space="preserve"> </w:t>
            </w:r>
          </w:p>
        </w:tc>
        <w:tc>
          <w:tcPr>
            <w:tcW w:w="2901" w:type="dxa"/>
            <w:tcBorders>
              <w:top w:val="single" w:sz="2" w:space="0" w:color="CCCCCC"/>
              <w:left w:val="single" w:sz="2" w:space="0" w:color="CCCCCC"/>
              <w:bottom w:val="single" w:sz="2" w:space="0" w:color="CCCCCC"/>
              <w:right w:val="single" w:sz="2" w:space="0" w:color="CCCCCC"/>
            </w:tcBorders>
            <w:shd w:val="clear" w:color="auto" w:fill="EAF1F4"/>
          </w:tcPr>
          <w:p w14:paraId="03FD90BB" w14:textId="77777777" w:rsidR="008324F8" w:rsidRDefault="00000000">
            <w:pPr>
              <w:spacing w:after="0" w:line="259" w:lineRule="auto"/>
              <w:ind w:left="2" w:right="0" w:firstLine="0"/>
              <w:jc w:val="left"/>
            </w:pPr>
            <w:r>
              <w:rPr>
                <w:color w:val="000000"/>
                <w:sz w:val="21"/>
              </w:rPr>
              <w:t>43,680,000</w:t>
            </w:r>
            <w:r>
              <w:t xml:space="preserve"> </w:t>
            </w:r>
          </w:p>
        </w:tc>
        <w:tc>
          <w:tcPr>
            <w:tcW w:w="1799" w:type="dxa"/>
            <w:tcBorders>
              <w:top w:val="single" w:sz="32" w:space="0" w:color="EAF1F4"/>
              <w:left w:val="single" w:sz="2" w:space="0" w:color="CCCCCC"/>
              <w:bottom w:val="single" w:sz="2" w:space="0" w:color="CCCCCC"/>
              <w:right w:val="single" w:sz="2" w:space="0" w:color="CCCCCC"/>
            </w:tcBorders>
            <w:shd w:val="clear" w:color="auto" w:fill="EAF1F4"/>
          </w:tcPr>
          <w:p w14:paraId="31A5F747" w14:textId="77777777" w:rsidR="008324F8" w:rsidRDefault="00000000">
            <w:pPr>
              <w:spacing w:after="0" w:line="259" w:lineRule="auto"/>
              <w:ind w:left="0" w:right="0" w:firstLine="0"/>
              <w:jc w:val="left"/>
            </w:pPr>
            <w:r>
              <w:rPr>
                <w:color w:val="000000"/>
                <w:sz w:val="21"/>
              </w:rPr>
              <w:t>29.4%</w:t>
            </w:r>
            <w:r>
              <w:t xml:space="preserve"> </w:t>
            </w:r>
          </w:p>
        </w:tc>
      </w:tr>
      <w:tr w:rsidR="008324F8" w14:paraId="60AE87DA" w14:textId="77777777">
        <w:trPr>
          <w:trHeight w:val="473"/>
        </w:trPr>
        <w:tc>
          <w:tcPr>
            <w:tcW w:w="3201" w:type="dxa"/>
            <w:tcBorders>
              <w:top w:val="single" w:sz="2" w:space="0" w:color="CCCCCC"/>
              <w:left w:val="single" w:sz="2" w:space="0" w:color="CCCCCC"/>
              <w:bottom w:val="single" w:sz="2" w:space="0" w:color="CCCCCC"/>
              <w:right w:val="single" w:sz="2" w:space="0" w:color="CCCCCC"/>
            </w:tcBorders>
            <w:vAlign w:val="center"/>
          </w:tcPr>
          <w:p w14:paraId="39EB5BC7" w14:textId="77777777" w:rsidR="008324F8" w:rsidRDefault="00000000">
            <w:pPr>
              <w:spacing w:after="0" w:line="259" w:lineRule="auto"/>
              <w:ind w:left="0" w:right="0" w:firstLine="0"/>
              <w:jc w:val="left"/>
            </w:pPr>
            <w:r>
              <w:rPr>
                <w:color w:val="000000"/>
                <w:sz w:val="21"/>
              </w:rPr>
              <w:t>Western Africa</w:t>
            </w:r>
            <w:r>
              <w:t xml:space="preserve"> </w:t>
            </w:r>
          </w:p>
        </w:tc>
        <w:tc>
          <w:tcPr>
            <w:tcW w:w="2901" w:type="dxa"/>
            <w:tcBorders>
              <w:top w:val="single" w:sz="2" w:space="0" w:color="CCCCCC"/>
              <w:left w:val="single" w:sz="2" w:space="0" w:color="CCCCCC"/>
              <w:bottom w:val="single" w:sz="2" w:space="0" w:color="CCCCCC"/>
              <w:right w:val="single" w:sz="2" w:space="0" w:color="CCCCCC"/>
            </w:tcBorders>
            <w:vAlign w:val="center"/>
          </w:tcPr>
          <w:p w14:paraId="152CA196" w14:textId="77777777" w:rsidR="008324F8" w:rsidRDefault="00000000">
            <w:pPr>
              <w:spacing w:after="0" w:line="259" w:lineRule="auto"/>
              <w:ind w:left="2" w:right="0" w:firstLine="0"/>
              <w:jc w:val="left"/>
            </w:pPr>
            <w:r>
              <w:rPr>
                <w:color w:val="000000"/>
                <w:sz w:val="21"/>
              </w:rPr>
              <w:t>26,514,000</w:t>
            </w:r>
            <w:r>
              <w:t xml:space="preserve"> </w:t>
            </w:r>
          </w:p>
        </w:tc>
        <w:tc>
          <w:tcPr>
            <w:tcW w:w="1799" w:type="dxa"/>
            <w:tcBorders>
              <w:top w:val="single" w:sz="2" w:space="0" w:color="CCCCCC"/>
              <w:left w:val="single" w:sz="2" w:space="0" w:color="CCCCCC"/>
              <w:bottom w:val="single" w:sz="32" w:space="0" w:color="EAF1F4"/>
              <w:right w:val="single" w:sz="2" w:space="0" w:color="CCCCCC"/>
            </w:tcBorders>
            <w:vAlign w:val="center"/>
          </w:tcPr>
          <w:p w14:paraId="6C3FA51F" w14:textId="77777777" w:rsidR="008324F8" w:rsidRDefault="00000000">
            <w:pPr>
              <w:spacing w:after="0" w:line="259" w:lineRule="auto"/>
              <w:ind w:left="0" w:right="0" w:firstLine="0"/>
              <w:jc w:val="left"/>
            </w:pPr>
            <w:r>
              <w:rPr>
                <w:color w:val="000000"/>
                <w:sz w:val="21"/>
              </w:rPr>
              <w:t>17.8%</w:t>
            </w:r>
            <w:r>
              <w:t xml:space="preserve"> </w:t>
            </w:r>
          </w:p>
        </w:tc>
      </w:tr>
      <w:tr w:rsidR="008324F8" w14:paraId="7342F9E5" w14:textId="77777777">
        <w:trPr>
          <w:trHeight w:val="353"/>
        </w:trPr>
        <w:tc>
          <w:tcPr>
            <w:tcW w:w="3201" w:type="dxa"/>
            <w:tcBorders>
              <w:top w:val="single" w:sz="2" w:space="0" w:color="CCCCCC"/>
              <w:left w:val="single" w:sz="2" w:space="0" w:color="CCCCCC"/>
              <w:bottom w:val="single" w:sz="2" w:space="0" w:color="CCCCCC"/>
              <w:right w:val="single" w:sz="2" w:space="0" w:color="CCCCCC"/>
            </w:tcBorders>
            <w:shd w:val="clear" w:color="auto" w:fill="EAF1F4"/>
          </w:tcPr>
          <w:p w14:paraId="229E9E1F" w14:textId="77777777" w:rsidR="008324F8" w:rsidRDefault="00000000">
            <w:pPr>
              <w:spacing w:after="0" w:line="259" w:lineRule="auto"/>
              <w:ind w:left="0" w:right="0" w:firstLine="0"/>
              <w:jc w:val="left"/>
            </w:pPr>
            <w:r>
              <w:rPr>
                <w:color w:val="000000"/>
                <w:sz w:val="21"/>
              </w:rPr>
              <w:t>Southern Africa</w:t>
            </w:r>
            <w:r>
              <w:t xml:space="preserve"> </w:t>
            </w:r>
          </w:p>
        </w:tc>
        <w:tc>
          <w:tcPr>
            <w:tcW w:w="2901" w:type="dxa"/>
            <w:tcBorders>
              <w:top w:val="single" w:sz="2" w:space="0" w:color="CCCCCC"/>
              <w:left w:val="single" w:sz="2" w:space="0" w:color="CCCCCC"/>
              <w:bottom w:val="single" w:sz="2" w:space="0" w:color="CCCCCC"/>
              <w:right w:val="single" w:sz="2" w:space="0" w:color="CCCCCC"/>
            </w:tcBorders>
            <w:shd w:val="clear" w:color="auto" w:fill="EAF1F4"/>
          </w:tcPr>
          <w:p w14:paraId="3A24E2A1" w14:textId="77777777" w:rsidR="008324F8" w:rsidRDefault="00000000">
            <w:pPr>
              <w:spacing w:after="0" w:line="259" w:lineRule="auto"/>
              <w:ind w:left="2" w:right="0" w:firstLine="0"/>
              <w:jc w:val="left"/>
            </w:pPr>
            <w:r>
              <w:rPr>
                <w:color w:val="000000"/>
                <w:sz w:val="21"/>
              </w:rPr>
              <w:t>2,602,400</w:t>
            </w:r>
            <w:r>
              <w:t xml:space="preserve"> </w:t>
            </w:r>
          </w:p>
        </w:tc>
        <w:tc>
          <w:tcPr>
            <w:tcW w:w="1799" w:type="dxa"/>
            <w:tcBorders>
              <w:top w:val="single" w:sz="32" w:space="0" w:color="EAF1F4"/>
              <w:left w:val="single" w:sz="2" w:space="0" w:color="CCCCCC"/>
              <w:bottom w:val="single" w:sz="2" w:space="0" w:color="CCCCCC"/>
              <w:right w:val="single" w:sz="2" w:space="0" w:color="CCCCCC"/>
            </w:tcBorders>
            <w:shd w:val="clear" w:color="auto" w:fill="EAF1F4"/>
          </w:tcPr>
          <w:p w14:paraId="34170C63" w14:textId="77777777" w:rsidR="008324F8" w:rsidRDefault="00000000">
            <w:pPr>
              <w:spacing w:after="0" w:line="259" w:lineRule="auto"/>
              <w:ind w:left="0" w:right="0" w:firstLine="0"/>
              <w:jc w:val="left"/>
            </w:pPr>
            <w:r>
              <w:rPr>
                <w:color w:val="000000"/>
                <w:sz w:val="21"/>
              </w:rPr>
              <w:t>1.8%</w:t>
            </w:r>
            <w:r>
              <w:t xml:space="preserve"> </w:t>
            </w:r>
          </w:p>
        </w:tc>
      </w:tr>
      <w:tr w:rsidR="008324F8" w14:paraId="22B10C73" w14:textId="77777777">
        <w:trPr>
          <w:trHeight w:val="445"/>
        </w:trPr>
        <w:tc>
          <w:tcPr>
            <w:tcW w:w="3201" w:type="dxa"/>
            <w:tcBorders>
              <w:top w:val="single" w:sz="2" w:space="0" w:color="CCCCCC"/>
              <w:left w:val="single" w:sz="2" w:space="0" w:color="CCCCCC"/>
              <w:bottom w:val="single" w:sz="2" w:space="0" w:color="CCCCCC"/>
              <w:right w:val="single" w:sz="2" w:space="0" w:color="CCCCCC"/>
            </w:tcBorders>
          </w:tcPr>
          <w:p w14:paraId="6B79AE6A" w14:textId="77777777" w:rsidR="008324F8" w:rsidRDefault="00000000">
            <w:pPr>
              <w:spacing w:after="0" w:line="259" w:lineRule="auto"/>
              <w:ind w:left="0" w:right="0" w:firstLine="0"/>
              <w:jc w:val="left"/>
            </w:pPr>
            <w:r>
              <w:rPr>
                <w:color w:val="000000"/>
                <w:sz w:val="21"/>
              </w:rPr>
              <w:t>Northern Africa</w:t>
            </w:r>
            <w:r>
              <w:t xml:space="preserve"> </w:t>
            </w:r>
          </w:p>
        </w:tc>
        <w:tc>
          <w:tcPr>
            <w:tcW w:w="2901" w:type="dxa"/>
            <w:tcBorders>
              <w:top w:val="single" w:sz="2" w:space="0" w:color="CCCCCC"/>
              <w:left w:val="single" w:sz="2" w:space="0" w:color="CCCCCC"/>
              <w:bottom w:val="single" w:sz="2" w:space="0" w:color="CCCCCC"/>
              <w:right w:val="single" w:sz="2" w:space="0" w:color="CCCCCC"/>
            </w:tcBorders>
          </w:tcPr>
          <w:p w14:paraId="36250BD3" w14:textId="77777777" w:rsidR="008324F8" w:rsidRDefault="00000000">
            <w:pPr>
              <w:spacing w:after="0" w:line="259" w:lineRule="auto"/>
              <w:ind w:left="2" w:right="0" w:firstLine="0"/>
              <w:jc w:val="left"/>
            </w:pPr>
            <w:r>
              <w:rPr>
                <w:color w:val="000000"/>
                <w:sz w:val="21"/>
              </w:rPr>
              <w:t>1,171,500</w:t>
            </w:r>
            <w:r>
              <w:t xml:space="preserve"> </w:t>
            </w:r>
          </w:p>
        </w:tc>
        <w:tc>
          <w:tcPr>
            <w:tcW w:w="1799" w:type="dxa"/>
            <w:tcBorders>
              <w:top w:val="single" w:sz="2" w:space="0" w:color="CCCCCC"/>
              <w:left w:val="single" w:sz="2" w:space="0" w:color="CCCCCC"/>
              <w:bottom w:val="single" w:sz="2" w:space="0" w:color="CCCCCC"/>
              <w:right w:val="single" w:sz="2" w:space="0" w:color="CCCCCC"/>
            </w:tcBorders>
          </w:tcPr>
          <w:p w14:paraId="4643661C" w14:textId="77777777" w:rsidR="008324F8" w:rsidRDefault="00000000">
            <w:pPr>
              <w:spacing w:after="0" w:line="259" w:lineRule="auto"/>
              <w:ind w:left="0" w:right="0" w:firstLine="0"/>
              <w:jc w:val="left"/>
            </w:pPr>
            <w:r>
              <w:rPr>
                <w:color w:val="000000"/>
                <w:sz w:val="21"/>
              </w:rPr>
              <w:t>0.8%</w:t>
            </w:r>
            <w:r>
              <w:t xml:space="preserve"> </w:t>
            </w:r>
          </w:p>
        </w:tc>
      </w:tr>
    </w:tbl>
    <w:p w14:paraId="7D376E2B" w14:textId="77777777" w:rsidR="008324F8" w:rsidRDefault="00000000">
      <w:pPr>
        <w:spacing w:after="135" w:line="259" w:lineRule="auto"/>
        <w:ind w:left="20" w:right="0" w:firstLine="0"/>
        <w:jc w:val="left"/>
      </w:pPr>
      <w:r>
        <w:t xml:space="preserve"> </w:t>
      </w:r>
    </w:p>
    <w:p w14:paraId="528A5205" w14:textId="77777777" w:rsidR="008324F8" w:rsidRDefault="00000000">
      <w:pPr>
        <w:spacing w:after="281"/>
        <w:ind w:left="15" w:right="-8"/>
      </w:pPr>
      <w:r>
        <w:t xml:space="preserve">Southern and Northern Africa are comparatively marginal in this dataset, together representing under 3% of the regional total — a useful reminder that “African displacement” is not evenly distributed and is really a story about a handful of conflict belts (the Horn of Africa, the Sahel, and the Great Lakes region) rather than the continent as a whole. </w:t>
      </w:r>
    </w:p>
    <w:p w14:paraId="1F7960F6" w14:textId="77777777" w:rsidR="008324F8" w:rsidRDefault="00000000">
      <w:pPr>
        <w:spacing w:after="84" w:line="259" w:lineRule="auto"/>
        <w:ind w:left="15" w:right="0"/>
        <w:jc w:val="left"/>
      </w:pPr>
      <w:r>
        <w:rPr>
          <w:color w:val="1F4E5F"/>
          <w:sz w:val="25"/>
        </w:rPr>
        <w:t xml:space="preserve">3.2 Income classification shift </w:t>
      </w:r>
    </w:p>
    <w:p w14:paraId="0E897A5D" w14:textId="77777777" w:rsidR="008324F8" w:rsidRDefault="00000000">
      <w:pPr>
        <w:spacing w:after="279"/>
        <w:ind w:left="15" w:right="-8"/>
      </w:pPr>
      <w:r>
        <w:t xml:space="preserve">The World Bank income classification view shows a structural shift over the period rather than just a volume increase. In 2009, low-income countries accounted for roughly 49% of classified IDPs, </w:t>
      </w:r>
      <w:r>
        <w:lastRenderedPageBreak/>
        <w:t xml:space="preserve">with the remainder spread fairly evenly across lower-middle, upper-middle and high-income countries. By 2024, low-income countries account for close to 69% of the total, having grown over 300% in absolute terms (5.3 million to 22.7 million) while upper-middle-income country figures have stayed roughly flat. High-income countries remain a rounding error throughout (well under half a percent of the total in every year). This is arguably the most policy-relevant trend on the page: displacement is increasingly concentrated in the states least able to absorb or resource a response. </w:t>
      </w:r>
    </w:p>
    <w:p w14:paraId="4B27EFB7" w14:textId="77777777" w:rsidR="008324F8" w:rsidRDefault="00000000">
      <w:pPr>
        <w:spacing w:after="84" w:line="259" w:lineRule="auto"/>
        <w:ind w:left="15" w:right="0"/>
        <w:jc w:val="left"/>
      </w:pPr>
      <w:r>
        <w:rPr>
          <w:color w:val="1F4E5F"/>
          <w:sz w:val="25"/>
        </w:rPr>
        <w:t xml:space="preserve">3.3 Continental distribution </w:t>
      </w:r>
    </w:p>
    <w:p w14:paraId="56242695" w14:textId="77777777" w:rsidR="008324F8" w:rsidRDefault="00000000">
      <w:pPr>
        <w:spacing w:after="281"/>
        <w:ind w:left="15" w:right="-8"/>
      </w:pPr>
      <w:r>
        <w:t xml:space="preserve">The UNSDG continental view confirms Africa and Asia as the two dominant regions, together accounting for over 92% of the 2024 total (57% and 35% respectively). Europe is a minor contributor in absolute terms but shows the steepest relative growth of any region — from about 77,500 in 2009 to 717,000 in 2024, a more than 8-fold increase, with a 534% single-year spike between 2021 and 2022 that lines up with the onset of the war in Ukraine. South America, Oceania and Northern America each remain under 6% of the global total throughout the series. </w:t>
      </w:r>
    </w:p>
    <w:p w14:paraId="573BCB02" w14:textId="77777777" w:rsidR="00C95E7F" w:rsidRDefault="00C95E7F">
      <w:pPr>
        <w:spacing w:after="281"/>
        <w:ind w:left="15" w:right="-8"/>
      </w:pPr>
    </w:p>
    <w:p w14:paraId="37033E18" w14:textId="77777777" w:rsidR="008324F8" w:rsidRDefault="00000000">
      <w:pPr>
        <w:pStyle w:val="Heading1"/>
        <w:ind w:left="372" w:hanging="367"/>
      </w:pPr>
      <w:r>
        <w:t xml:space="preserve">Key Takeaways </w:t>
      </w:r>
    </w:p>
    <w:p w14:paraId="1271E0F5" w14:textId="77777777" w:rsidR="008324F8" w:rsidRDefault="00000000">
      <w:pPr>
        <w:spacing w:after="245" w:line="259" w:lineRule="auto"/>
        <w:ind w:left="-8" w:right="-24" w:firstLine="0"/>
        <w:jc w:val="left"/>
      </w:pPr>
      <w:r>
        <w:rPr>
          <w:rFonts w:ascii="Calibri" w:eastAsia="Calibri" w:hAnsi="Calibri" w:cs="Calibri"/>
          <w:noProof/>
          <w:color w:val="000000"/>
        </w:rPr>
        <mc:AlternateContent>
          <mc:Choice Requires="wpg">
            <w:drawing>
              <wp:inline distT="0" distB="0" distL="0" distR="0" wp14:anchorId="665D2A4A" wp14:editId="1F2C4708">
                <wp:extent cx="5981065" cy="9144"/>
                <wp:effectExtent l="0" t="0" r="0" b="0"/>
                <wp:docPr id="4650" name="Group 4650"/>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5911" name="Shape 591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5F"/>
                          </a:fillRef>
                          <a:effectRef idx="0">
                            <a:scrgbClr r="0" g="0" b="0"/>
                          </a:effectRef>
                          <a:fontRef idx="none"/>
                        </wps:style>
                        <wps:bodyPr/>
                      </wps:wsp>
                    </wpg:wgp>
                  </a:graphicData>
                </a:graphic>
              </wp:inline>
            </w:drawing>
          </mc:Choice>
          <mc:Fallback xmlns:a="http://schemas.openxmlformats.org/drawingml/2006/main">
            <w:pict>
              <v:group id="Group 4650" style="width:470.95pt;height:0.720001pt;mso-position-horizontal-relative:char;mso-position-vertical-relative:line" coordsize="59810,91">
                <v:shape id="Shape 5912" style="position:absolute;width:59810;height:91;left:0;top:0;" coordsize="5981065,9144" path="m0,0l5981065,0l5981065,9144l0,9144l0,0">
                  <v:stroke weight="0pt" endcap="flat" joinstyle="miter" miterlimit="10" on="false" color="#000000" opacity="0"/>
                  <v:fill on="true" color="#1f4e5f"/>
                </v:shape>
              </v:group>
            </w:pict>
          </mc:Fallback>
        </mc:AlternateContent>
      </w:r>
    </w:p>
    <w:p w14:paraId="35CFE05C" w14:textId="2BE7FFCB" w:rsidR="008324F8" w:rsidRDefault="00000000">
      <w:pPr>
        <w:ind w:left="15" w:right="-8"/>
      </w:pPr>
      <w:r>
        <w:t xml:space="preserve">Three things come out of these two pages together. First, global displacement has more than tripled since 2009 and has not had a single down year since 2019, suggesting the dashboard is tracking an accumulating, not self-resolving, crisis. Second, the burden is structurally shifting toward </w:t>
      </w:r>
      <w:proofErr w:type="gramStart"/>
      <w:r>
        <w:t>low</w:t>
      </w:r>
      <w:r w:rsidR="00C95E7F">
        <w:t xml:space="preserve"> </w:t>
      </w:r>
      <w:r>
        <w:t>income</w:t>
      </w:r>
      <w:proofErr w:type="gramEnd"/>
      <w:r>
        <w:t xml:space="preserve"> countries, which now host roughly seven in ten classified IDPs versus about half in 2009 — a widening gap between where displacement happens and where response capacity exists. Third, the regional data shows displacement is geographically concentrated rather than diffuse: Eastern and Central Africa drive the African Union numbers, and Africa plus Asia drive the global numbers, while Europe's small but fast-growing share is a useful early-warning signal for emerging crises rather than a major share of volume. </w:t>
      </w:r>
    </w:p>
    <w:sectPr w:rsidR="008324F8">
      <w:pgSz w:w="12240" w:h="15840"/>
      <w:pgMar w:top="1484" w:right="1433" w:bottom="1643"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226BD"/>
    <w:multiLevelType w:val="hybridMultilevel"/>
    <w:tmpl w:val="FEC68E1C"/>
    <w:lvl w:ilvl="0" w:tplc="457E519A">
      <w:start w:val="1"/>
      <w:numFmt w:val="decimal"/>
      <w:pStyle w:val="Heading1"/>
      <w:lvlText w:val="%1."/>
      <w:lvlJc w:val="left"/>
      <w:pPr>
        <w:ind w:left="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1" w:tplc="058E6A2A">
      <w:start w:val="1"/>
      <w:numFmt w:val="lowerLetter"/>
      <w:lvlText w:val="%2"/>
      <w:lvlJc w:val="left"/>
      <w:pPr>
        <w:ind w:left="109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2" w:tplc="3A6CBE30">
      <w:start w:val="1"/>
      <w:numFmt w:val="lowerRoman"/>
      <w:lvlText w:val="%3"/>
      <w:lvlJc w:val="left"/>
      <w:pPr>
        <w:ind w:left="181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3" w:tplc="D0CA8496">
      <w:start w:val="1"/>
      <w:numFmt w:val="decimal"/>
      <w:lvlText w:val="%4"/>
      <w:lvlJc w:val="left"/>
      <w:pPr>
        <w:ind w:left="253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4" w:tplc="DBC00EB2">
      <w:start w:val="1"/>
      <w:numFmt w:val="lowerLetter"/>
      <w:lvlText w:val="%5"/>
      <w:lvlJc w:val="left"/>
      <w:pPr>
        <w:ind w:left="325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5" w:tplc="31EA6EAC">
      <w:start w:val="1"/>
      <w:numFmt w:val="lowerRoman"/>
      <w:lvlText w:val="%6"/>
      <w:lvlJc w:val="left"/>
      <w:pPr>
        <w:ind w:left="397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6" w:tplc="4C54A0B8">
      <w:start w:val="1"/>
      <w:numFmt w:val="decimal"/>
      <w:lvlText w:val="%7"/>
      <w:lvlJc w:val="left"/>
      <w:pPr>
        <w:ind w:left="469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7" w:tplc="2996B526">
      <w:start w:val="1"/>
      <w:numFmt w:val="lowerLetter"/>
      <w:lvlText w:val="%8"/>
      <w:lvlJc w:val="left"/>
      <w:pPr>
        <w:ind w:left="541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lvl w:ilvl="8" w:tplc="E3CCA826">
      <w:start w:val="1"/>
      <w:numFmt w:val="lowerRoman"/>
      <w:lvlText w:val="%9"/>
      <w:lvlJc w:val="left"/>
      <w:pPr>
        <w:ind w:left="6130"/>
      </w:pPr>
      <w:rPr>
        <w:rFonts w:ascii="Maiandra GD" w:eastAsia="Maiandra GD" w:hAnsi="Maiandra GD" w:cs="Maiandra GD"/>
        <w:b w:val="0"/>
        <w:i w:val="0"/>
        <w:strike w:val="0"/>
        <w:dstrike w:val="0"/>
        <w:color w:val="1F4E5F"/>
        <w:sz w:val="32"/>
        <w:szCs w:val="32"/>
        <w:u w:val="none" w:color="000000"/>
        <w:bdr w:val="none" w:sz="0" w:space="0" w:color="auto"/>
        <w:shd w:val="clear" w:color="auto" w:fill="auto"/>
        <w:vertAlign w:val="baseline"/>
      </w:rPr>
    </w:lvl>
  </w:abstractNum>
  <w:num w:numId="1" w16cid:durableId="54876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4F8"/>
    <w:rsid w:val="007B068E"/>
    <w:rsid w:val="008324F8"/>
    <w:rsid w:val="00C95E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2F3B"/>
  <w15:docId w15:val="{CC5FFFD6-3303-4FD1-8732-C63BCDE3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30" w:right="5" w:hanging="10"/>
      <w:jc w:val="both"/>
    </w:pPr>
    <w:rPr>
      <w:rFonts w:ascii="Maiandra GD" w:eastAsia="Maiandra GD" w:hAnsi="Maiandra GD" w:cs="Maiandra GD"/>
      <w:color w:val="1A1A1A"/>
      <w:sz w:val="22"/>
    </w:rPr>
  </w:style>
  <w:style w:type="paragraph" w:styleId="Heading1">
    <w:name w:val="heading 1"/>
    <w:next w:val="Normal"/>
    <w:link w:val="Heading1Char"/>
    <w:uiPriority w:val="9"/>
    <w:qFormat/>
    <w:pPr>
      <w:keepNext/>
      <w:keepLines/>
      <w:numPr>
        <w:numId w:val="1"/>
      </w:numPr>
      <w:spacing w:after="0" w:line="259" w:lineRule="auto"/>
      <w:ind w:left="30" w:hanging="10"/>
      <w:outlineLvl w:val="0"/>
    </w:pPr>
    <w:rPr>
      <w:rFonts w:ascii="Maiandra GD" w:eastAsia="Maiandra GD" w:hAnsi="Maiandra GD" w:cs="Maiandra GD"/>
      <w:color w:val="1F4E5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Maiandra GD" w:eastAsia="Maiandra GD" w:hAnsi="Maiandra GD" w:cs="Maiandra GD"/>
      <w:color w:val="1F4E5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OLADIMEJI OLUWASEUN OLATUNJI</cp:lastModifiedBy>
  <cp:revision>2</cp:revision>
  <dcterms:created xsi:type="dcterms:W3CDTF">2026-06-17T06:53:00Z</dcterms:created>
  <dcterms:modified xsi:type="dcterms:W3CDTF">2026-06-17T06:53:00Z</dcterms:modified>
</cp:coreProperties>
</file>