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rPr>
        <w:t>Methods</w:t>
      </w:r>
    </w:p>
    <w:p>
      <w:pPr>
        <w:pStyle w:val="Heading2"/>
      </w:pPr>
      <w:r>
        <w:rPr>
          <w:rFonts w:ascii="Arial" w:hAnsi="Arial"/>
        </w:rPr>
        <w:t>Context-Specific Cell-Cell Communication Inference from Single-Cell Multiomics</w:t>
      </w:r>
    </w:p>
    <w:p>
      <w:pPr>
        <w:pStyle w:val="Heading3"/>
      </w:pPr>
      <w:r>
        <w:rPr>
          <w:rFonts w:ascii="Arial" w:hAnsi="Arial"/>
        </w:rPr>
        <w:t>Overview</w:t>
      </w:r>
    </w:p>
    <w:p>
      <w:r>
        <w:rPr>
          <w:rFonts w:ascii="Arial" w:hAnsi="Arial"/>
        </w:rPr>
        <w:t>We developed a computational framework for inferring cell-cell communication that grounds ligand-target predictions in context-specific gene regulatory networks (GRNs) derived from single-cell multiomics data. The framework comprises three integrated components: (1) a GRN inference pipeline that constructs a gene × transcription factor (TF) regulatory matrix from matched scRNA-seq and scATAC-seq data, (2) ContextNet, an R package that integrates this context-specific GRN with the NicheNet</w:t>
      </w:r>
      <w:r>
        <w:rPr>
          <w:rFonts w:ascii="Arial" w:hAnsi="Arial"/>
          <w:vertAlign w:val="superscript"/>
        </w:rPr>
        <w:t>1</w:t>
      </w:r>
      <w:r>
        <w:rPr>
          <w:rFonts w:ascii="Arial" w:hAnsi="Arial"/>
        </w:rPr>
        <w:t xml:space="preserve"> cell-cell communication inference method, and (3) ccflow, an R package for visualizing signaling flow across cell types.</w:t>
      </w:r>
    </w:p>
    <w:p>
      <w:r>
        <w:rPr>
          <w:rFonts w:ascii="Arial" w:hAnsi="Arial"/>
        </w:rPr>
        <w:t>Standard cell-cell communication methods rely on curated prior knowledge networks that aggregate regulatory relationships across diverse biological contexts. These generic networks may fail to capture tissue-specific or condition-specific regulatory programs, particularly for lineage-restricted TFs or context-dependent enhancer usage. By replacing curated regulatory networks with experimentally derived regulatory relationships, our approach captures context-specific regulatory programs while retaining well-characterized ligand-receptor interactions from curated databases.</w:t>
      </w:r>
    </w:p>
    <w:p>
      <w:r>
        <w:rPr>
          <w:rFonts w:ascii="Arial" w:hAnsi="Arial"/>
        </w:rPr>
        <w:t>Finally, ccflow provides Sankey (river) plot visualizations that intuitively depict signaling flow from sender ligands through receiver receptors to receiver cells, addressing the challenge of conveying complex multi-cellular communication in a single interpretable graphic.</w:t>
      </w:r>
    </w:p>
    <w:p>
      <w:pPr>
        <w:pStyle w:val="Heading2"/>
      </w:pPr>
      <w:r>
        <w:rPr>
          <w:rFonts w:ascii="Arial" w:hAnsi="Arial"/>
        </w:rPr>
        <w:t>Context-Specific Gene Regulatory Network Construction</w:t>
      </w:r>
    </w:p>
    <w:p>
      <w:r>
        <w:rPr>
          <w:rFonts w:ascii="Arial" w:hAnsi="Arial"/>
        </w:rPr>
        <w:t>Context-specific GRNs were constructed using our previously published multiomics pipeline</w:t>
      </w:r>
      <w:r>
        <w:rPr>
          <w:rFonts w:ascii="Arial" w:hAnsi="Arial"/>
          <w:vertAlign w:val="superscript"/>
        </w:rPr>
        <w:t>[mellon citation]</w:t>
      </w:r>
      <w:r>
        <w:rPr>
          <w:rFonts w:ascii="Arial" w:hAnsi="Arial"/>
        </w:rPr>
        <w:t>, which integrates three orthogonal data sources: (i) correlations between gene expression and cis-regulatory peak accessibility at the metacell level, (ii) TF motif binding predictions, and (iii) in-silico ChIP-seq scores</w:t>
      </w:r>
      <w:r>
        <w:rPr>
          <w:rFonts w:ascii="Arial" w:hAnsi="Arial"/>
          <w:vertAlign w:val="superscript"/>
        </w:rPr>
        <w:t>2</w:t>
      </w:r>
      <w:r>
        <w:rPr>
          <w:rFonts w:ascii="Arial" w:hAnsi="Arial"/>
        </w:rPr>
        <w:t xml:space="preserve"> that capture the functional relationship between TF expression and chromatin accessibility. Below we describe the methodological rationale underlying key parameter choices, as these directly impact downstream cell-cell communication inference.</w:t>
      </w:r>
    </w:p>
    <w:p>
      <w:pPr>
        <w:pStyle w:val="Heading3"/>
      </w:pPr>
      <w:r>
        <w:rPr>
          <w:rFonts w:ascii="Arial" w:hAnsi="Arial"/>
        </w:rPr>
        <w:t>Metacell Aggregation</w:t>
      </w:r>
    </w:p>
    <w:p>
      <w:r>
        <w:rPr>
          <w:rFonts w:ascii="Arial" w:hAnsi="Arial"/>
        </w:rPr>
        <w:t>To reduce technical sparsity inherent in single-cell data while preserving biological heterogeneity, the pipeline operates on metacells generated by SEACells</w:t>
      </w:r>
      <w:r>
        <w:rPr>
          <w:rFonts w:ascii="Arial" w:hAnsi="Arial"/>
          <w:vertAlign w:val="superscript"/>
        </w:rPr>
        <w:t>3</w:t>
      </w:r>
      <w:r>
        <w:rPr>
          <w:rFonts w:ascii="Arial" w:hAnsi="Arial"/>
        </w:rPr>
        <w:t>. SEACells aggregates transcriptionally and epigenomically similar cells into metacells—representative cellular states that average out technical noise while retaining meaningful variation across cell types and states. All correlations described below are computed across metacells rather than individual cells.</w:t>
      </w:r>
    </w:p>
    <w:p>
      <w:pPr>
        <w:pStyle w:val="Heading3"/>
      </w:pPr>
      <w:r>
        <w:rPr>
          <w:rFonts w:ascii="Arial" w:hAnsi="Arial"/>
        </w:rPr>
        <w:t>Gene-Peak Association Parameters</w:t>
      </w:r>
    </w:p>
    <w:p>
      <w:r>
        <w:rPr>
          <w:rFonts w:ascii="Arial" w:hAnsi="Arial"/>
        </w:rPr>
        <w:t>The pipeline assigns candidate cis-regulatory peaks to genes within ±100 kb of the transcription start site (TSS). This threshold is supported by enhancer-promoter interaction studies showing that the majority of validated enhancer-gene pairs fall within this range</w:t>
      </w:r>
      <w:r>
        <w:rPr>
          <w:rFonts w:ascii="Arial" w:hAnsi="Arial"/>
          <w:vertAlign w:val="superscript"/>
        </w:rPr>
        <w:t>4,5</w:t>
      </w:r>
      <w:r>
        <w:rPr>
          <w:rFonts w:ascii="Arial" w:hAnsi="Arial"/>
        </w:rPr>
        <w:t>. Gene-peak associations are retained if they exhibit positive correlation (</w:t>
      </w:r>
      <w:r>
        <w:rPr>
          <w:rFonts w:ascii="Arial" w:hAnsi="Arial"/>
          <w:i/>
        </w:rPr>
        <w:t>r</w:t>
      </w:r>
      <w:r>
        <w:rPr>
          <w:rFonts w:ascii="Arial" w:hAnsi="Arial"/>
        </w:rPr>
        <w:t xml:space="preserve"> &gt; 0) and meet the significance threshold (</w:t>
      </w:r>
      <w:r>
        <w:rPr>
          <w:rFonts w:ascii="Arial" w:hAnsi="Arial"/>
          <w:i/>
        </w:rPr>
        <w:t>P</w:t>
      </w:r>
      <w:r>
        <w:rPr>
          <w:rFonts w:ascii="Arial" w:hAnsi="Arial"/>
        </w:rPr>
        <w:t xml:space="preserve"> </w:t>
      </w:r>
      <w:r>
        <w:rPr>
          <w:rFonts w:ascii="Arial" w:hAnsi="Arial"/>
        </w:rPr>
        <w:t>&lt; 0.1). This permissive threshold was chosen because: (1) gene-peak correlations serve as an initial filtering step, with subsequent modules providing additional stringency through motif evidence and TF-accessibility correlations; (2) the multiplicative integration of three independent signals in the in-silico ChIP score effectively controls false positives; and (3) overly stringent thresholds risk excluding true regulatory relationships with modest effect sizes.</w:t>
      </w:r>
    </w:p>
    <w:p>
      <w:r>
        <w:rPr>
          <w:rFonts w:ascii="Arial" w:hAnsi="Arial"/>
        </w:rPr>
        <w:t>Genes with fewer than two significantly associated peaks are excluded, ensuring that regulatory predictions are supported by multiple independent cis-regulatory elements and reducing the impact of spurious single-peak associations.</w:t>
      </w:r>
    </w:p>
    <w:p>
      <w:pPr>
        <w:pStyle w:val="Heading3"/>
      </w:pPr>
      <w:r>
        <w:rPr>
          <w:rFonts w:ascii="Arial" w:hAnsi="Arial"/>
        </w:rPr>
        <w:t>In-Silico ChIP Score Formulation</w:t>
      </w:r>
    </w:p>
    <w:p>
      <w:r>
        <w:rPr>
          <w:rFonts w:ascii="Arial" w:hAnsi="Arial"/>
        </w:rPr>
        <w:t>TF binding predictions are generated by scanning peak sequences against position weight matrices from the CIS-BP database</w:t>
      </w:r>
      <w:r>
        <w:rPr>
          <w:rFonts w:ascii="Arial" w:hAnsi="Arial"/>
          <w:vertAlign w:val="superscript"/>
        </w:rPr>
        <w:t>6</w:t>
      </w:r>
      <w:r>
        <w:rPr>
          <w:rFonts w:ascii="Arial" w:hAnsi="Arial"/>
        </w:rPr>
        <w:t xml:space="preserve"> using FIMO</w:t>
      </w:r>
      <w:r>
        <w:rPr>
          <w:rFonts w:ascii="Arial" w:hAnsi="Arial"/>
          <w:vertAlign w:val="superscript"/>
        </w:rPr>
        <w:t>7</w:t>
      </w:r>
      <w:r>
        <w:rPr>
          <w:rFonts w:ascii="Arial" w:hAnsi="Arial"/>
        </w:rPr>
        <w:t xml:space="preserve"> with a </w:t>
      </w:r>
      <w:r>
        <w:rPr>
          <w:rFonts w:ascii="Arial" w:hAnsi="Arial"/>
          <w:i/>
        </w:rPr>
        <w:t>P</w:t>
      </w:r>
      <w:r>
        <w:rPr>
          <w:rFonts w:ascii="Arial" w:hAnsi="Arial"/>
        </w:rPr>
        <w:t>-value threshold of 1 × 10</w:t>
      </w:r>
      <w:r>
        <w:rPr>
          <w:rFonts w:ascii="Arial" w:hAnsi="Arial"/>
          <w:vertAlign w:val="superscript"/>
        </w:rPr>
        <w:t>−4</w:t>
      </w:r>
      <w:r>
        <w:rPr>
          <w:rFonts w:ascii="Arial" w:hAnsi="Arial"/>
        </w:rPr>
        <w:t>. The in-silico ChIP-seq score</w:t>
      </w:r>
      <w:r>
        <w:rPr>
          <w:rFonts w:ascii="Arial" w:hAnsi="Arial"/>
          <w:vertAlign w:val="superscript"/>
        </w:rPr>
        <w:t>2</w:t>
      </w:r>
      <w:r>
        <w:rPr>
          <w:rFonts w:ascii="Arial" w:hAnsi="Arial"/>
        </w:rPr>
        <w:t xml:space="preserve"> for each peak-TF pair integrates three components:</w:t>
      </w:r>
    </w:p>
    <w:p>
      <w:r>
        <w:rPr>
          <w:rFonts w:ascii="Arial" w:hAnsi="Arial"/>
          <w:i/>
        </w:rPr>
        <w:t>I</w:t>
      </w:r>
      <w:r>
        <w:rPr>
          <w:rFonts w:ascii="Arial" w:hAnsi="Arial"/>
          <w:vertAlign w:val="subscript"/>
        </w:rPr>
        <w:t>*p*,*t*</w:t>
      </w:r>
      <w:r>
        <w:rPr>
          <w:rFonts w:ascii="Arial" w:hAnsi="Arial"/>
        </w:rPr>
        <w:t xml:space="preserve"> = </w:t>
      </w:r>
      <w:r>
        <w:rPr>
          <w:rFonts w:ascii="Arial" w:hAnsi="Arial"/>
          <w:i/>
        </w:rPr>
        <w:t>ρ</w:t>
      </w:r>
      <w:r>
        <w:rPr>
          <w:rFonts w:ascii="Arial" w:hAnsi="Arial"/>
          <w:vertAlign w:val="superscript"/>
        </w:rPr>
        <w:t>+</w:t>
      </w:r>
      <w:r>
        <w:rPr>
          <w:rFonts w:ascii="Arial" w:hAnsi="Arial"/>
          <w:vertAlign w:val="subscript"/>
        </w:rPr>
        <w:t>*p*,*t*</w:t>
      </w:r>
      <w:r>
        <w:rPr>
          <w:rFonts w:ascii="Arial" w:hAnsi="Arial"/>
        </w:rPr>
        <w:t xml:space="preserve"> × </w:t>
      </w:r>
      <w:r>
        <w:rPr>
          <w:rFonts w:ascii="Arial" w:hAnsi="Arial"/>
          <w:i/>
        </w:rPr>
        <w:t>A</w:t>
      </w:r>
      <w:r>
        <w:rPr>
          <w:rFonts w:ascii="Arial" w:hAnsi="Arial"/>
          <w:vertAlign w:val="superscript"/>
        </w:rPr>
        <w:t>max</w:t>
      </w:r>
      <w:r>
        <w:rPr>
          <w:rFonts w:ascii="Arial" w:hAnsi="Arial"/>
          <w:vertAlign w:val="subscript"/>
        </w:rPr>
        <w:t>*p*</w:t>
      </w:r>
      <w:r>
        <w:rPr>
          <w:rFonts w:ascii="Arial" w:hAnsi="Arial"/>
        </w:rPr>
        <w:t xml:space="preserve"> × </w:t>
      </w:r>
      <w:r>
        <w:rPr>
          <w:rFonts w:ascii="Arial" w:hAnsi="Arial"/>
          <w:i/>
        </w:rPr>
        <w:t>F</w:t>
      </w:r>
      <w:r>
        <w:rPr>
          <w:rFonts w:ascii="Arial" w:hAnsi="Arial"/>
          <w:vertAlign w:val="superscript"/>
        </w:rPr>
        <w:t>norm</w:t>
      </w:r>
      <w:r>
        <w:rPr>
          <w:rFonts w:ascii="Arial" w:hAnsi="Arial"/>
          <w:vertAlign w:val="subscript"/>
        </w:rPr>
        <w:t>*p*,*t*</w:t>
      </w:r>
    </w:p>
    <w:p>
      <w:r>
        <w:rPr>
          <w:rFonts w:ascii="Arial" w:hAnsi="Arial"/>
        </w:rPr>
        <w:t xml:space="preserve">where </w:t>
      </w:r>
      <w:r>
        <w:rPr>
          <w:rFonts w:ascii="Arial" w:hAnsi="Arial"/>
          <w:i/>
        </w:rPr>
        <w:t>ρ</w:t>
      </w:r>
      <w:r>
        <w:rPr>
          <w:rFonts w:ascii="Arial" w:hAnsi="Arial"/>
          <w:vertAlign w:val="superscript"/>
        </w:rPr>
        <w:t>+</w:t>
      </w:r>
      <w:r>
        <w:rPr>
          <w:rFonts w:ascii="Arial" w:hAnsi="Arial"/>
          <w:vertAlign w:val="subscript"/>
        </w:rPr>
        <w:t>*p*,*t*</w:t>
      </w:r>
      <w:r>
        <w:rPr>
          <w:rFonts w:ascii="Arial" w:hAnsi="Arial"/>
        </w:rPr>
        <w:t xml:space="preserve"> is the positive TF-accessibility Spearman correlation (negative correlations set to zero), </w:t>
      </w:r>
      <w:r>
        <w:rPr>
          <w:rFonts w:ascii="Arial" w:hAnsi="Arial"/>
          <w:i/>
        </w:rPr>
        <w:t>A</w:t>
      </w:r>
      <w:r>
        <w:rPr>
          <w:rFonts w:ascii="Arial" w:hAnsi="Arial"/>
          <w:vertAlign w:val="superscript"/>
        </w:rPr>
        <w:t>max</w:t>
      </w:r>
      <w:r>
        <w:rPr>
          <w:rFonts w:ascii="Arial" w:hAnsi="Arial"/>
          <w:vertAlign w:val="subscript"/>
        </w:rPr>
        <w:t>*p*</w:t>
      </w:r>
      <w:r>
        <w:rPr>
          <w:rFonts w:ascii="Arial" w:hAnsi="Arial"/>
        </w:rPr>
        <w:t xml:space="preserve"> is the maximum accessibility of peak </w:t>
      </w:r>
      <w:r>
        <w:rPr>
          <w:rFonts w:ascii="Arial" w:hAnsi="Arial"/>
          <w:i/>
        </w:rPr>
        <w:t>p</w:t>
      </w:r>
      <w:r>
        <w:rPr>
          <w:rFonts w:ascii="Arial" w:hAnsi="Arial"/>
        </w:rPr>
        <w:t xml:space="preserve"> across metacells, and </w:t>
      </w:r>
      <w:r>
        <w:rPr>
          <w:rFonts w:ascii="Arial" w:hAnsi="Arial"/>
          <w:i/>
        </w:rPr>
        <w:t>F</w:t>
      </w:r>
      <w:r>
        <w:rPr>
          <w:rFonts w:ascii="Arial" w:hAnsi="Arial"/>
          <w:vertAlign w:val="superscript"/>
        </w:rPr>
        <w:t>norm</w:t>
      </w:r>
      <w:r>
        <w:rPr>
          <w:rFonts w:ascii="Arial" w:hAnsi="Arial"/>
          <w:vertAlign w:val="subscript"/>
        </w:rPr>
        <w:t>*p*,*t*</w:t>
      </w:r>
      <w:r>
        <w:rPr>
          <w:rFonts w:ascii="Arial" w:hAnsi="Arial"/>
        </w:rPr>
        <w:t xml:space="preserve"> is the motif score normalized per TF (max-normalization to [0, 1]). Spearman rank correlation is used for TF-peak relationships (rather than Pearson) to provide robustness against outliers and accommodate non-linear relationships between TF expression levels and chromatin remodeling activity. The multiplicative (rather than additive) formulation reflects the biological requirement that all three conditions be met for functional TF binding—a peak with strong motif match but no TF-accessibility correlation, or vice versa, receives a score of zero.</w:t>
      </w:r>
    </w:p>
    <w:p>
      <w:pPr>
        <w:pStyle w:val="Heading3"/>
      </w:pPr>
      <w:r>
        <w:rPr>
          <w:rFonts w:ascii="Arial" w:hAnsi="Arial"/>
        </w:rPr>
        <w:t>Gene × TF Matrix Output</w:t>
      </w:r>
    </w:p>
    <w:p>
      <w:r>
        <w:rPr>
          <w:rFonts w:ascii="Arial" w:hAnsi="Arial"/>
        </w:rPr>
        <w:t>The final gene × TF regulatory matrix aggregates in-silico ChIP scores across all cis-regulatory peaks associated with each gene. A non-zero entry indicates regulatory potential supported by: (i) significant gene-peak correlation, (ii) high-confidence TF motif match, and (iii) positive TF-accessibility correlation. Higher values reflect stronger regulatory evidence from multiple converging signals. This matrix serves as the input to ContextNet for integration with cell-cell communication inference.</w:t>
      </w:r>
    </w:p>
    <w:p>
      <w:pPr>
        <w:pStyle w:val="Heading2"/>
      </w:pPr>
      <w:r>
        <w:rPr>
          <w:rFonts w:ascii="Arial" w:hAnsi="Arial"/>
        </w:rPr>
        <w:t>ContextNet: Integration with Cell-Cell Communication Inference</w:t>
      </w:r>
    </w:p>
    <w:p>
      <w:pPr>
        <w:pStyle w:val="Heading3"/>
      </w:pPr>
      <w:r>
        <w:rPr>
          <w:rFonts w:ascii="Arial" w:hAnsi="Arial"/>
        </w:rPr>
        <w:t>GRN Import and Preprocessing</w:t>
      </w:r>
    </w:p>
    <w:p>
      <w:r>
        <w:rPr>
          <w:rFonts w:ascii="Arial" w:hAnsi="Arial"/>
        </w:rPr>
        <w:t>ContextNet accepts the gene × TF matrix from the GRN pipeline. Upon import, regulatory weights undergo per-TF max-normalization, yielding weights in [0, 1] where the highest-confidence target for each TF receives 1.0. This normalization ensures comparability across TFs with different numbers of targets or peak associations.</w:t>
      </w:r>
    </w:p>
    <w:p>
      <w:pPr>
        <w:pStyle w:val="Heading3"/>
      </w:pPr>
      <w:r>
        <w:rPr>
          <w:rFonts w:ascii="Arial" w:hAnsi="Arial"/>
        </w:rPr>
        <w:t>Network Integration with NicheNet Prior Knowledge</w:t>
      </w:r>
    </w:p>
    <w:p>
      <w:r>
        <w:rPr>
          <w:rFonts w:ascii="Arial" w:hAnsi="Arial"/>
        </w:rPr>
        <w:t>ContextNet integrates the context-specific GRN with NicheNet's curated prior knowledge networks. NicheNet uses two data structures: (1) lr_network, a table of ligand-receptor pairs used to define the set of ligands, and (2) weighted_networks, a layered signaling network containing:</w:t>
      </w:r>
    </w:p>
    <w:p>
      <w:pPr>
        <w:pStyle w:val="ListBullet"/>
      </w:pPr>
      <w:r>
        <w:rPr>
          <w:rFonts w:ascii="Arial" w:hAnsi="Arial"/>
          <w:b/>
        </w:rPr>
        <w:t>lr_sig</w:t>
      </w:r>
      <w:r>
        <w:t xml:space="preserve">: </w:t>
      </w:r>
      <w:r>
        <w:rPr>
          <w:rFonts w:ascii="Arial" w:hAnsi="Arial"/>
        </w:rPr>
        <w:t>receptor-to-signaling protein edges encoding intracellular signal propagation</w:t>
      </w:r>
    </w:p>
    <w:p>
      <w:pPr>
        <w:pStyle w:val="ListBullet"/>
      </w:pPr>
      <w:r>
        <w:rPr>
          <w:rFonts w:ascii="Arial" w:hAnsi="Arial"/>
          <w:b/>
        </w:rPr>
        <w:t>gr</w:t>
      </w:r>
      <w:r>
        <w:t xml:space="preserve">: </w:t>
      </w:r>
      <w:r>
        <w:rPr>
          <w:rFonts w:ascii="Arial" w:hAnsi="Arial"/>
        </w:rPr>
        <w:t>TF-to-target regulatory edges</w:t>
      </w:r>
    </w:p>
    <w:p>
      <w:r>
        <w:rPr>
          <w:rFonts w:ascii="Arial" w:hAnsi="Arial"/>
        </w:rPr>
        <w:t>During integration, the context-specific GRN completely replaces NicheNet's gr component, yielding a ligand-target matrix where downstream regulatory cascades derive entirely from context-specific relationships. NicheNet's ligand-receptor interactions and receptor-to-TF signaling networks (lr_sig) are preserved unchanged. This design leverages the strengths of both approaches: curated databases for ligand-receptor biology, where experimental validation is more common, and context-specific inference for gene regulatory relationships, where tissue-specific enhancer usage dominates.</w:t>
      </w:r>
    </w:p>
    <w:p>
      <w:pPr>
        <w:pStyle w:val="Heading3"/>
      </w:pPr>
      <w:r>
        <w:rPr>
          <w:rFonts w:ascii="Arial" w:hAnsi="Arial"/>
        </w:rPr>
        <w:t>Ligand-Target Matrix Construction</w:t>
      </w:r>
    </w:p>
    <w:p>
      <w:r>
        <w:rPr>
          <w:rFonts w:ascii="Arial" w:hAnsi="Arial"/>
        </w:rPr>
        <w:t>ContextNet constructs a ligand-target regulatory potential matrix using the Personalized PageRank (PPR) algorithm</w:t>
      </w:r>
      <w:r>
        <w:rPr>
          <w:rFonts w:ascii="Arial" w:hAnsi="Arial"/>
          <w:vertAlign w:val="superscript"/>
        </w:rPr>
        <w:t>8,9</w:t>
      </w:r>
      <w:r>
        <w:rPr>
          <w:rFonts w:ascii="Arial" w:hAnsi="Arial"/>
        </w:rPr>
        <w:t>, consistent with NicheNet's methodology. PPR models information flow through the integrated network via random walks with restarts, computing the steady-state probability of reaching each target gene from each ligand source.</w:t>
      </w:r>
    </w:p>
    <w:p>
      <w:r>
        <w:rPr>
          <w:rFonts w:ascii="Arial" w:hAnsi="Arial"/>
        </w:rPr>
        <w:t xml:space="preserve">The integrated network is represented as a weighted directed graph where nodes correspond to genes (ligands, receptors, signaling molecules, TFs, and target genes) and edges represent regulatory or signaling relationships. Starting from each ligand, PPR simulates random walks where at each step the walker either follows an outgoing edge (probability proportional to edge weight) or restarts at the source ligand (probability 1 − </w:t>
      </w:r>
      <w:r>
        <w:rPr>
          <w:rFonts w:ascii="Arial" w:hAnsi="Arial"/>
          <w:i/>
        </w:rPr>
        <w:t>d</w:t>
      </w:r>
      <w:r>
        <w:rPr>
          <w:rFonts w:ascii="Arial" w:hAnsi="Arial"/>
        </w:rPr>
        <w:t>). We used the default damping factor and ligand-target filtering (LTF) cutoff from NicheNet's hyperparameter optimization</w:t>
      </w:r>
      <w:r>
        <w:rPr>
          <w:rFonts w:ascii="Arial" w:hAnsi="Arial"/>
          <w:vertAlign w:val="superscript"/>
        </w:rPr>
        <w:t>1</w:t>
      </w:r>
      <w:r>
        <w:rPr>
          <w:rFonts w:ascii="Arial" w:hAnsi="Arial"/>
        </w:rPr>
        <w:t>. The stationary distribution yields regulatory potential scores quantifying the cumulative influence of each ligand on each target gene through all possible signaling and regulatory paths.</w:t>
      </w:r>
    </w:p>
    <w:p>
      <w:r>
        <w:rPr>
          <w:rFonts w:ascii="Arial" w:hAnsi="Arial"/>
        </w:rPr>
        <w:t>The resulting ligand-target matrix has dimensions (number of target genes) × (number of ligands).</w:t>
      </w:r>
    </w:p>
    <w:p>
      <w:pPr>
        <w:pStyle w:val="Heading3"/>
      </w:pPr>
      <w:r>
        <w:rPr>
          <w:rFonts w:ascii="Arial" w:hAnsi="Arial"/>
        </w:rPr>
        <w:t>Downstream Analysis</w:t>
      </w:r>
    </w:p>
    <w:p>
      <w:r>
        <w:rPr>
          <w:rFonts w:ascii="Arial" w:hAnsi="Arial"/>
        </w:rPr>
        <w:t>ContextNet output is directly compatible with downstream NicheNet and MultiNicheNet</w:t>
      </w:r>
      <w:r>
        <w:rPr>
          <w:rFonts w:ascii="Arial" w:hAnsi="Arial"/>
          <w:vertAlign w:val="superscript"/>
        </w:rPr>
        <w:t>10</w:t>
      </w:r>
      <w:r>
        <w:rPr>
          <w:rFonts w:ascii="Arial" w:hAnsi="Arial"/>
        </w:rPr>
        <w:t xml:space="preserve"> analyses, including ligand activity prediction, ligand-target link inference, and sender-receiver prioritization.</w:t>
      </w:r>
    </w:p>
    <w:p>
      <w:pPr>
        <w:pStyle w:val="Heading2"/>
      </w:pPr>
      <w:r>
        <w:rPr>
          <w:rFonts w:ascii="Arial" w:hAnsi="Arial"/>
        </w:rPr>
        <w:t>Limitations</w:t>
      </w:r>
    </w:p>
    <w:p>
      <w:r>
        <w:rPr>
          <w:rFonts w:ascii="Arial" w:hAnsi="Arial"/>
        </w:rPr>
        <w:t>The GRN pipeline retains only TF-peak pairs with positive correlations between TF expression and peak accessibility, following the in-silico ChIP methodology</w:t>
      </w:r>
      <w:r>
        <w:rPr>
          <w:rFonts w:ascii="Arial" w:hAnsi="Arial"/>
          <w:vertAlign w:val="superscript"/>
        </w:rPr>
        <w:t>2</w:t>
      </w:r>
      <w:r>
        <w:rPr>
          <w:rFonts w:ascii="Arial" w:hAnsi="Arial"/>
        </w:rPr>
        <w:t>. This design captures activating regulatory relationships but not repression; canonical repressors (e.g., REST, polycomb group proteins) and dual-function TFs acting in repressive contexts are not modeled. Additionally, the framework depends on the completeness of the CIS-BP motif database and assumes that regulatory variation across metacells captures functionally relevant TF activity differences.</w:t>
      </w:r>
    </w:p>
    <w:p>
      <w:pPr>
        <w:pStyle w:val="Heading2"/>
      </w:pPr>
      <w:r>
        <w:rPr>
          <w:rFonts w:ascii="Arial" w:hAnsi="Arial"/>
        </w:rPr>
        <w:t>Implementation and Data Availability</w:t>
      </w:r>
    </w:p>
    <w:p>
      <w:r>
        <w:rPr>
          <w:rFonts w:ascii="Arial" w:hAnsi="Arial"/>
        </w:rPr>
        <w:t>The GRN inference pipeline is implemented as a Snakemake workflow</w:t>
      </w:r>
      <w:r>
        <w:rPr>
          <w:rFonts w:ascii="Arial" w:hAnsi="Arial"/>
          <w:vertAlign w:val="superscript"/>
        </w:rPr>
        <w:t>[mellon citation]</w:t>
      </w:r>
      <w:r>
        <w:rPr>
          <w:rFonts w:ascii="Arial" w:hAnsi="Arial"/>
        </w:rPr>
        <w:t>. ContextNet is implemented as an R package (v0.1.0) compatible with R ≥ 4.1.0, leveraging nichenetr (v2.0.4)</w:t>
      </w:r>
      <w:r>
        <w:rPr>
          <w:rFonts w:ascii="Arial" w:hAnsi="Arial"/>
          <w:vertAlign w:val="superscript"/>
        </w:rPr>
        <w:t>1</w:t>
      </w:r>
      <w:r>
        <w:rPr>
          <w:rFonts w:ascii="Arial" w:hAnsi="Arial"/>
        </w:rPr>
        <w:t xml:space="preserve"> for PPR-based ligand-target matrix construction. Code is available at [repository URL]. [Data availability statement to be added.]</w:t>
      </w:r>
    </w:p>
    <w:p>
      <w:pPr>
        <w:pStyle w:val="Heading2"/>
      </w:pPr>
      <w:r>
        <w:rPr>
          <w:rFonts w:ascii="Arial" w:hAnsi="Arial"/>
        </w:rPr>
        <w:t>References</w:t>
      </w:r>
    </w:p>
    <w:p>
      <w:r>
        <w:rPr>
          <w:rFonts w:ascii="Arial" w:hAnsi="Arial"/>
        </w:rPr>
        <w:t xml:space="preserve">1. </w:t>
      </w:r>
      <w:r>
        <w:rPr>
          <w:rFonts w:ascii="Arial" w:hAnsi="Arial"/>
        </w:rPr>
        <w:t xml:space="preserve">Browaeys, R., Saelens, W. &amp; Saeys, Y. NicheNet: modeling intercellular communication by linking ligands to target genes. </w:t>
      </w:r>
      <w:r>
        <w:rPr>
          <w:rFonts w:ascii="Arial" w:hAnsi="Arial"/>
          <w:i/>
        </w:rPr>
        <w:t>Nat. Methods</w:t>
      </w:r>
      <w:r>
        <w:rPr>
          <w:rFonts w:ascii="Arial" w:hAnsi="Arial"/>
        </w:rPr>
        <w:t xml:space="preserve"> </w:t>
      </w:r>
      <w:r>
        <w:rPr>
          <w:rFonts w:ascii="Arial" w:hAnsi="Arial"/>
          <w:b/>
        </w:rPr>
        <w:t>17</w:t>
      </w:r>
      <w:r>
        <w:rPr>
          <w:rFonts w:ascii="Arial" w:hAnsi="Arial"/>
        </w:rPr>
        <w:t>, 159–162 (2020).</w:t>
      </w:r>
    </w:p>
    <w:p>
      <w:r>
        <w:rPr>
          <w:rFonts w:ascii="Arial" w:hAnsi="Arial"/>
        </w:rPr>
        <w:t xml:space="preserve">2. </w:t>
      </w:r>
      <w:r>
        <w:rPr>
          <w:rFonts w:ascii="Arial" w:hAnsi="Arial"/>
        </w:rPr>
        <w:t xml:space="preserve">Argelaguet, R. et al. Decoding gene regulation in the mouse embryo using single-cell multi-omics. </w:t>
      </w:r>
      <w:r>
        <w:rPr>
          <w:rFonts w:ascii="Arial" w:hAnsi="Arial"/>
          <w:i/>
        </w:rPr>
        <w:t>Nature</w:t>
      </w:r>
      <w:r>
        <w:rPr>
          <w:rFonts w:ascii="Arial" w:hAnsi="Arial"/>
        </w:rPr>
        <w:t xml:space="preserve"> </w:t>
      </w:r>
      <w:r>
        <w:rPr>
          <w:rFonts w:ascii="Arial" w:hAnsi="Arial"/>
          <w:b/>
        </w:rPr>
        <w:t>622</w:t>
      </w:r>
      <w:r>
        <w:rPr>
          <w:rFonts w:ascii="Arial" w:hAnsi="Arial"/>
        </w:rPr>
        <w:t>, 285–293 (2023).</w:t>
      </w:r>
    </w:p>
    <w:p>
      <w:r>
        <w:rPr>
          <w:rFonts w:ascii="Arial" w:hAnsi="Arial"/>
        </w:rPr>
        <w:t xml:space="preserve">3. </w:t>
      </w:r>
      <w:r>
        <w:rPr>
          <w:rFonts w:ascii="Arial" w:hAnsi="Arial"/>
        </w:rPr>
        <w:t xml:space="preserve">Persad, S. et al. SEACells infers transcriptional and epigenomic cellular states from single-cell genomics data. </w:t>
      </w:r>
      <w:r>
        <w:rPr>
          <w:rFonts w:ascii="Arial" w:hAnsi="Arial"/>
          <w:i/>
        </w:rPr>
        <w:t>Nat. Biotechnol.</w:t>
      </w:r>
      <w:r>
        <w:rPr>
          <w:rFonts w:ascii="Arial" w:hAnsi="Arial"/>
        </w:rPr>
        <w:t xml:space="preserve"> </w:t>
      </w:r>
      <w:r>
        <w:rPr>
          <w:rFonts w:ascii="Arial" w:hAnsi="Arial"/>
          <w:b/>
        </w:rPr>
        <w:t>41</w:t>
      </w:r>
      <w:r>
        <w:rPr>
          <w:rFonts w:ascii="Arial" w:hAnsi="Arial"/>
        </w:rPr>
        <w:t>, 1746–1757 (2023).</w:t>
      </w:r>
    </w:p>
    <w:p>
      <w:r>
        <w:rPr>
          <w:rFonts w:ascii="Arial" w:hAnsi="Arial"/>
        </w:rPr>
        <w:t xml:space="preserve">4. </w:t>
      </w:r>
      <w:r>
        <w:rPr>
          <w:rFonts w:ascii="Arial" w:hAnsi="Arial"/>
        </w:rPr>
        <w:t xml:space="preserve">Fulco, C. P. et al. Activity-by-contact model of enhancer–promoter regulation from thousands of CRISPR perturbations. </w:t>
      </w:r>
      <w:r>
        <w:rPr>
          <w:rFonts w:ascii="Arial" w:hAnsi="Arial"/>
          <w:i/>
        </w:rPr>
        <w:t>Nat. Genet.</w:t>
      </w:r>
      <w:r>
        <w:rPr>
          <w:rFonts w:ascii="Arial" w:hAnsi="Arial"/>
        </w:rPr>
        <w:t xml:space="preserve"> </w:t>
      </w:r>
      <w:r>
        <w:rPr>
          <w:rFonts w:ascii="Arial" w:hAnsi="Arial"/>
          <w:b/>
        </w:rPr>
        <w:t>51</w:t>
      </w:r>
      <w:r>
        <w:rPr>
          <w:rFonts w:ascii="Arial" w:hAnsi="Arial"/>
        </w:rPr>
        <w:t>, 1664–1669 (2019).</w:t>
      </w:r>
    </w:p>
    <w:p>
      <w:r>
        <w:rPr>
          <w:rFonts w:ascii="Arial" w:hAnsi="Arial"/>
        </w:rPr>
        <w:t xml:space="preserve">5. </w:t>
      </w:r>
      <w:r>
        <w:rPr>
          <w:rFonts w:ascii="Arial" w:hAnsi="Arial"/>
        </w:rPr>
        <w:t xml:space="preserve">Gasperini, M. et al. A genome-wide framework for mapping gene regulation via cellular genetic screens. </w:t>
      </w:r>
      <w:r>
        <w:rPr>
          <w:rFonts w:ascii="Arial" w:hAnsi="Arial"/>
          <w:i/>
        </w:rPr>
        <w:t>Cell</w:t>
      </w:r>
      <w:r>
        <w:rPr>
          <w:rFonts w:ascii="Arial" w:hAnsi="Arial"/>
        </w:rPr>
        <w:t xml:space="preserve"> </w:t>
      </w:r>
      <w:r>
        <w:rPr>
          <w:rFonts w:ascii="Arial" w:hAnsi="Arial"/>
          <w:b/>
        </w:rPr>
        <w:t>176</w:t>
      </w:r>
      <w:r>
        <w:rPr>
          <w:rFonts w:ascii="Arial" w:hAnsi="Arial"/>
        </w:rPr>
        <w:t>, 377–390 (2019).</w:t>
      </w:r>
    </w:p>
    <w:p>
      <w:r>
        <w:rPr>
          <w:rFonts w:ascii="Arial" w:hAnsi="Arial"/>
        </w:rPr>
        <w:t xml:space="preserve">6. </w:t>
      </w:r>
      <w:r>
        <w:rPr>
          <w:rFonts w:ascii="Arial" w:hAnsi="Arial"/>
        </w:rPr>
        <w:t xml:space="preserve">Weirauch, M. T. et al. Determination and inference of eukaryotic transcription factor sequence specificity. </w:t>
      </w:r>
      <w:r>
        <w:rPr>
          <w:rFonts w:ascii="Arial" w:hAnsi="Arial"/>
          <w:i/>
        </w:rPr>
        <w:t>Cell</w:t>
      </w:r>
      <w:r>
        <w:rPr>
          <w:rFonts w:ascii="Arial" w:hAnsi="Arial"/>
        </w:rPr>
        <w:t xml:space="preserve"> </w:t>
      </w:r>
      <w:r>
        <w:rPr>
          <w:rFonts w:ascii="Arial" w:hAnsi="Arial"/>
          <w:b/>
        </w:rPr>
        <w:t>158</w:t>
      </w:r>
      <w:r>
        <w:rPr>
          <w:rFonts w:ascii="Arial" w:hAnsi="Arial"/>
        </w:rPr>
        <w:t>, 1431–1443 (2014).</w:t>
      </w:r>
    </w:p>
    <w:p>
      <w:r>
        <w:rPr>
          <w:rFonts w:ascii="Arial" w:hAnsi="Arial"/>
        </w:rPr>
        <w:t xml:space="preserve">7. </w:t>
      </w:r>
      <w:r>
        <w:rPr>
          <w:rFonts w:ascii="Arial" w:hAnsi="Arial"/>
        </w:rPr>
        <w:t xml:space="preserve">Bailey, T. L. et al. The MEME Suite. </w:t>
      </w:r>
      <w:r>
        <w:rPr>
          <w:rFonts w:ascii="Arial" w:hAnsi="Arial"/>
          <w:i/>
        </w:rPr>
        <w:t>Nucleic Acids Res.</w:t>
      </w:r>
      <w:r>
        <w:rPr>
          <w:rFonts w:ascii="Arial" w:hAnsi="Arial"/>
        </w:rPr>
        <w:t xml:space="preserve"> </w:t>
      </w:r>
      <w:r>
        <w:rPr>
          <w:rFonts w:ascii="Arial" w:hAnsi="Arial"/>
          <w:b/>
        </w:rPr>
        <w:t>43</w:t>
      </w:r>
      <w:r>
        <w:rPr>
          <w:rFonts w:ascii="Arial" w:hAnsi="Arial"/>
        </w:rPr>
        <w:t>, W39–W49 (2015).</w:t>
      </w:r>
    </w:p>
    <w:p>
      <w:r>
        <w:rPr>
          <w:rFonts w:ascii="Arial" w:hAnsi="Arial"/>
        </w:rPr>
        <w:t xml:space="preserve">8. </w:t>
      </w:r>
      <w:r>
        <w:rPr>
          <w:rFonts w:ascii="Arial" w:hAnsi="Arial"/>
        </w:rPr>
        <w:t>Page, L., Brin, S., Motwani, R. &amp; Winograd, T. The PageRank citation ranking: Bringing order to the web. Technical Report, Stanford InfoLab (1999).</w:t>
      </w:r>
    </w:p>
    <w:p>
      <w:r>
        <w:rPr>
          <w:rFonts w:ascii="Arial" w:hAnsi="Arial"/>
        </w:rPr>
        <w:t xml:space="preserve">9. </w:t>
      </w:r>
      <w:r>
        <w:rPr>
          <w:rFonts w:ascii="Arial" w:hAnsi="Arial"/>
        </w:rPr>
        <w:t xml:space="preserve">Haveliwala, T. H. Topic-sensitive PageRank: A context-sensitive ranking algorithm for web search. </w:t>
      </w:r>
      <w:r>
        <w:rPr>
          <w:rFonts w:ascii="Arial" w:hAnsi="Arial"/>
          <w:i/>
        </w:rPr>
        <w:t>IEEE Trans. Knowl. Data Eng.</w:t>
      </w:r>
      <w:r>
        <w:rPr>
          <w:rFonts w:ascii="Arial" w:hAnsi="Arial"/>
        </w:rPr>
        <w:t xml:space="preserve"> </w:t>
      </w:r>
      <w:r>
        <w:rPr>
          <w:rFonts w:ascii="Arial" w:hAnsi="Arial"/>
          <w:b/>
        </w:rPr>
        <w:t>15</w:t>
      </w:r>
      <w:r>
        <w:rPr>
          <w:rFonts w:ascii="Arial" w:hAnsi="Arial"/>
        </w:rPr>
        <w:t>, 784–796 (2003).</w:t>
      </w:r>
    </w:p>
    <w:p>
      <w:r>
        <w:rPr>
          <w:rFonts w:ascii="Arial" w:hAnsi="Arial"/>
        </w:rPr>
        <w:t xml:space="preserve">10. </w:t>
      </w:r>
      <w:r>
        <w:rPr>
          <w:rFonts w:ascii="Arial" w:hAnsi="Arial"/>
        </w:rPr>
        <w:t xml:space="preserve">Guilliams, M. et al. Spatial proteogenomics reveals distinct and evolutionarily conserved hepatic macrophage niches. </w:t>
      </w:r>
      <w:r>
        <w:rPr>
          <w:rFonts w:ascii="Arial" w:hAnsi="Arial"/>
          <w:i/>
        </w:rPr>
        <w:t>Cell</w:t>
      </w:r>
      <w:r>
        <w:rPr>
          <w:rFonts w:ascii="Arial" w:hAnsi="Arial"/>
        </w:rPr>
        <w:t xml:space="preserve"> </w:t>
      </w:r>
      <w:r>
        <w:rPr>
          <w:rFonts w:ascii="Arial" w:hAnsi="Arial"/>
          <w:b/>
        </w:rPr>
        <w:t>185</w:t>
      </w:r>
      <w:r>
        <w:rPr>
          <w:rFonts w:ascii="Arial" w:hAnsi="Arial"/>
        </w:rPr>
        <w:t>, 379–396 (2022).</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