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38B4D2">
      <w:pPr>
        <w:pStyle w:val="2"/>
        <w:keepNext w:val="0"/>
        <w:keepLines w:val="0"/>
        <w:widowControl/>
        <w:suppressLineNumbers w:val="0"/>
        <w:ind w:left="0" w:firstLine="0"/>
        <w:jc w:val="center"/>
        <w:rPr>
          <w:rFonts w:hint="default" w:ascii="Verdana Regular" w:hAnsi="Verdana Regular" w:cs="Verdana Regular"/>
          <w:i w:val="0"/>
          <w:iCs w:val="0"/>
          <w:caps w:val="0"/>
          <w:color w:val="000000"/>
          <w:spacing w:val="0"/>
          <w:sz w:val="24"/>
          <w:szCs w:val="24"/>
          <w:u w:val="none"/>
        </w:rPr>
      </w:pPr>
      <w:r>
        <w:rPr>
          <w:rFonts w:hint="default" w:ascii="Verdana Regular" w:hAnsi="Verdana Regular" w:cs="Verdana Regular"/>
          <w:i w:val="0"/>
          <w:iCs w:val="0"/>
          <w:caps w:val="0"/>
          <w:color w:val="000000"/>
          <w:spacing w:val="0"/>
          <w:sz w:val="24"/>
          <w:szCs w:val="24"/>
          <w:u w:val="none"/>
        </w:rPr>
        <w:t>Reflection Report: Tesla Financial and Stock Performance Analysis</w:t>
      </w:r>
    </w:p>
    <w:p w14:paraId="21020CA5">
      <w:pPr>
        <w:rPr>
          <w:rFonts w:hint="default"/>
          <w:sz w:val="24"/>
          <w:szCs w:val="24"/>
          <w:lang w:val="en-US"/>
        </w:rPr>
      </w:pPr>
      <w:r>
        <w:rPr>
          <w:rFonts w:hint="default"/>
          <w:sz w:val="24"/>
          <w:szCs w:val="24"/>
          <w:lang w:val="en-US"/>
        </w:rPr>
        <w:t>Student ID:2471427</w:t>
      </w:r>
    </w:p>
    <w:p w14:paraId="774209E2">
      <w:pPr>
        <w:rPr>
          <w:rFonts w:hint="default"/>
          <w:sz w:val="24"/>
          <w:szCs w:val="24"/>
          <w:lang w:val="en-US"/>
        </w:rPr>
      </w:pPr>
      <w:r>
        <w:rPr>
          <w:rFonts w:hint="default"/>
          <w:sz w:val="24"/>
          <w:szCs w:val="24"/>
          <w:lang w:val="en-US"/>
        </w:rPr>
        <w:t>Student name:Kang.Ziqi</w:t>
      </w:r>
    </w:p>
    <w:p w14:paraId="0D753D36">
      <w:pPr>
        <w:rPr>
          <w:rFonts w:hint="default"/>
          <w:sz w:val="24"/>
          <w:szCs w:val="24"/>
          <w:lang w:val="en-US"/>
        </w:rPr>
      </w:pPr>
      <w:r>
        <w:rPr>
          <w:rFonts w:hint="default"/>
          <w:sz w:val="24"/>
          <w:szCs w:val="24"/>
          <w:lang w:val="en-US"/>
        </w:rPr>
        <w:t>Track:Track2-Github Data Analysis project</w:t>
      </w:r>
    </w:p>
    <w:p w14:paraId="1B84AD8D">
      <w:pPr>
        <w:rPr>
          <w:rFonts w:hint="default"/>
          <w:sz w:val="24"/>
          <w:szCs w:val="24"/>
          <w:lang w:val="en-US"/>
        </w:rPr>
      </w:pPr>
    </w:p>
    <w:p w14:paraId="721A7A0D">
      <w:pPr>
        <w:rPr>
          <w:rFonts w:hint="default" w:ascii="Verdana Regular" w:hAnsi="Verdana Regular" w:cs="Verdana Regular"/>
          <w:sz w:val="24"/>
          <w:szCs w:val="24"/>
          <w:lang w:val="en-US"/>
        </w:rPr>
      </w:pPr>
      <w:r>
        <w:rPr>
          <w:rFonts w:hint="default" w:ascii="Verdana Regular" w:hAnsi="Verdana Regular" w:cs="Verdana Regular"/>
          <w:sz w:val="24"/>
          <w:szCs w:val="24"/>
          <w:lang w:val="en-US"/>
        </w:rPr>
        <w:t>1. Analytical Problem and Target Audience</w:t>
      </w:r>
    </w:p>
    <w:p w14:paraId="111B4FD4">
      <w:pPr>
        <w:rPr>
          <w:rFonts w:hint="default" w:ascii="Verdana Regular" w:hAnsi="Verdana Regular" w:cs="Verdana Regular"/>
          <w:sz w:val="24"/>
          <w:szCs w:val="24"/>
          <w:lang w:val="en-US"/>
        </w:rPr>
      </w:pPr>
    </w:p>
    <w:p w14:paraId="442E61C4">
      <w:pPr>
        <w:rPr>
          <w:rFonts w:hint="default"/>
          <w:sz w:val="24"/>
          <w:szCs w:val="24"/>
          <w:lang w:val="en-US"/>
        </w:rPr>
      </w:pPr>
      <w:r>
        <w:rPr>
          <w:rFonts w:hint="default"/>
          <w:sz w:val="24"/>
          <w:szCs w:val="24"/>
          <w:lang w:val="en-US"/>
        </w:rPr>
        <w:t>The analytical problem of this project is to evaluate the relationship between Tesla Inc.’s financial performance—specifically its quarterly vehicle delivery numbers and revenue—and its stock price volatility from 2023 to early 2026. As a leader in the Electric Vehicle (EV) industry, Tesla’s market value is often driven by growth expectations rather than just current earnings. The intended audience for this data product includes individual retail investors and automotive industry analysts who seek to understand whether Tesla’s stock trends are fundamentally supported by its operational achievements or influenced more by market sentiment.</w:t>
      </w:r>
    </w:p>
    <w:p w14:paraId="6DEBCE16">
      <w:pPr>
        <w:rPr>
          <w:rFonts w:hint="default"/>
          <w:sz w:val="24"/>
          <w:szCs w:val="24"/>
          <w:lang w:val="en-US"/>
        </w:rPr>
      </w:pPr>
    </w:p>
    <w:p w14:paraId="6685BF3B">
      <w:pPr>
        <w:rPr>
          <w:rFonts w:hint="default"/>
          <w:sz w:val="24"/>
          <w:szCs w:val="24"/>
          <w:lang w:val="en-US"/>
        </w:rPr>
      </w:pPr>
      <w:r>
        <w:rPr>
          <w:rFonts w:hint="default"/>
          <w:sz w:val="24"/>
          <w:szCs w:val="24"/>
          <w:lang w:val="en-US"/>
        </w:rPr>
        <w:t>2. Dataset Description and Selection</w:t>
      </w:r>
    </w:p>
    <w:p w14:paraId="2CFB38AB">
      <w:pPr>
        <w:rPr>
          <w:rFonts w:hint="default"/>
          <w:sz w:val="24"/>
          <w:szCs w:val="24"/>
          <w:lang w:val="en-US"/>
        </w:rPr>
      </w:pPr>
    </w:p>
    <w:p w14:paraId="7C42D663">
      <w:pPr>
        <w:rPr>
          <w:rFonts w:hint="default"/>
          <w:sz w:val="24"/>
          <w:szCs w:val="24"/>
          <w:lang w:val="en-US"/>
        </w:rPr>
      </w:pPr>
      <w:r>
        <w:rPr>
          <w:rFonts w:hint="default"/>
          <w:sz w:val="24"/>
          <w:szCs w:val="24"/>
          <w:lang w:val="en-US"/>
        </w:rPr>
        <w:t>The dataset used in this analysis was integrated from two primary sources: Yahoo Finance (for historical daily stock prices, including Open, High, Low, Close, and Volume) and Tesla’s Investor Relations reports (for quarterly revenue and delivery data). I accessed this data in April 2026. Tesla was selected because of its high liquidity and the public availability of its operational metrics, making it an ideal candidate for a business-related Python analysis. These datasets are reliable and lawful for educational use, providing a substantive basis for examining stock market reactions to corporate milestones.</w:t>
      </w:r>
    </w:p>
    <w:p w14:paraId="2A845BEE">
      <w:pPr>
        <w:rPr>
          <w:rFonts w:hint="default"/>
          <w:sz w:val="24"/>
          <w:szCs w:val="24"/>
          <w:lang w:val="en-US"/>
        </w:rPr>
      </w:pPr>
    </w:p>
    <w:p w14:paraId="6C105F7D">
      <w:pPr>
        <w:rPr>
          <w:rFonts w:hint="default"/>
          <w:sz w:val="24"/>
          <w:szCs w:val="24"/>
          <w:lang w:val="en-US"/>
        </w:rPr>
      </w:pPr>
      <w:r>
        <w:rPr>
          <w:rFonts w:hint="default"/>
          <w:sz w:val="24"/>
          <w:szCs w:val="24"/>
          <w:lang w:val="en-US"/>
        </w:rPr>
        <w:t>3. Python Methods Used</w:t>
      </w:r>
    </w:p>
    <w:p w14:paraId="32385B75">
      <w:pPr>
        <w:rPr>
          <w:rFonts w:hint="default"/>
          <w:sz w:val="24"/>
          <w:szCs w:val="24"/>
          <w:lang w:val="en-US"/>
        </w:rPr>
      </w:pPr>
    </w:p>
    <w:p w14:paraId="30CE75D4">
      <w:pPr>
        <w:rPr>
          <w:rFonts w:hint="default"/>
          <w:sz w:val="24"/>
          <w:szCs w:val="24"/>
          <w:lang w:val="en-US"/>
        </w:rPr>
      </w:pPr>
      <w:r>
        <w:rPr>
          <w:rFonts w:hint="default"/>
          <w:sz w:val="24"/>
          <w:szCs w:val="24"/>
          <w:lang w:val="en-US"/>
        </w:rPr>
        <w:t>The analytical workflow was executed entirely in a Python environment using several key libraries:</w:t>
      </w:r>
    </w:p>
    <w:p w14:paraId="18F6F951">
      <w:pPr>
        <w:rPr>
          <w:rFonts w:hint="default"/>
          <w:sz w:val="24"/>
          <w:szCs w:val="24"/>
          <w:lang w:val="en-US"/>
        </w:rPr>
      </w:pPr>
    </w:p>
    <w:p w14:paraId="4CFF9A7F">
      <w:pPr>
        <w:rPr>
          <w:rFonts w:hint="default"/>
          <w:sz w:val="24"/>
          <w:szCs w:val="24"/>
          <w:lang w:val="en-US"/>
        </w:rPr>
      </w:pPr>
      <w:r>
        <w:rPr>
          <w:rFonts w:hint="default"/>
          <w:sz w:val="24"/>
          <w:szCs w:val="24"/>
          <w:lang w:val="en-US"/>
        </w:rPr>
        <w:t>Data Acquisition: I used the yfinance API to fetch real-time and historical market data, ensuring the analysis reflects the most recent trends.</w:t>
      </w:r>
    </w:p>
    <w:p w14:paraId="26C20BAC">
      <w:pPr>
        <w:rPr>
          <w:rFonts w:hint="default"/>
          <w:sz w:val="24"/>
          <w:szCs w:val="24"/>
          <w:lang w:val="en-US"/>
        </w:rPr>
      </w:pPr>
    </w:p>
    <w:p w14:paraId="50DF2631">
      <w:pPr>
        <w:rPr>
          <w:rFonts w:hint="default"/>
          <w:sz w:val="24"/>
          <w:szCs w:val="24"/>
          <w:lang w:val="en-US"/>
        </w:rPr>
      </w:pPr>
      <w:r>
        <w:rPr>
          <w:rFonts w:hint="default"/>
          <w:sz w:val="24"/>
          <w:szCs w:val="24"/>
          <w:lang w:val="en-US"/>
        </w:rPr>
        <w:t>Data Cleaning and Transformation: Pandas was used to handle datetime objects, merge quarterly financial data with daily stock prices, and calculate daily returns and moving averages (50-day and 200-day).</w:t>
      </w:r>
    </w:p>
    <w:p w14:paraId="0C084965">
      <w:pPr>
        <w:rPr>
          <w:rFonts w:hint="default"/>
          <w:sz w:val="24"/>
          <w:szCs w:val="24"/>
          <w:lang w:val="en-US"/>
        </w:rPr>
      </w:pPr>
    </w:p>
    <w:p w14:paraId="418D4314">
      <w:pPr>
        <w:rPr>
          <w:rFonts w:hint="default"/>
          <w:sz w:val="24"/>
          <w:szCs w:val="24"/>
          <w:lang w:val="en-US"/>
        </w:rPr>
      </w:pPr>
      <w:r>
        <w:rPr>
          <w:rFonts w:hint="default"/>
          <w:sz w:val="24"/>
          <w:szCs w:val="24"/>
          <w:lang w:val="en-US"/>
        </w:rPr>
        <w:t>Visualisation: Matplotlib and Seaborn were employed to create a dual-axis chart comparing stock prices with delivery volumes and a correlation heatmap to identify the strength of the relationship between different financial variables.</w:t>
      </w:r>
    </w:p>
    <w:p w14:paraId="60091412">
      <w:pPr>
        <w:rPr>
          <w:rFonts w:hint="default"/>
          <w:sz w:val="24"/>
          <w:szCs w:val="24"/>
          <w:lang w:val="en-US"/>
        </w:rPr>
      </w:pPr>
    </w:p>
    <w:p w14:paraId="70DEF849">
      <w:pPr>
        <w:rPr>
          <w:rFonts w:hint="default"/>
          <w:sz w:val="24"/>
          <w:szCs w:val="24"/>
          <w:lang w:val="en-US"/>
        </w:rPr>
      </w:pPr>
      <w:r>
        <w:rPr>
          <w:rFonts w:hint="default"/>
          <w:sz w:val="24"/>
          <w:szCs w:val="24"/>
          <w:lang w:val="en-US"/>
        </w:rPr>
        <w:t>Statistical Summary: I utilized descriptive statistics to identify the maximum drawdown and volatility periods during the analysis window.</w:t>
      </w:r>
    </w:p>
    <w:p w14:paraId="5D6B74B8">
      <w:pPr>
        <w:rPr>
          <w:rFonts w:hint="default"/>
          <w:sz w:val="24"/>
          <w:szCs w:val="24"/>
          <w:lang w:val="en-US"/>
        </w:rPr>
      </w:pPr>
    </w:p>
    <w:p w14:paraId="69A1BC87">
      <w:pPr>
        <w:rPr>
          <w:rFonts w:hint="default"/>
          <w:sz w:val="24"/>
          <w:szCs w:val="24"/>
          <w:lang w:val="en-US"/>
        </w:rPr>
      </w:pPr>
      <w:r>
        <w:rPr>
          <w:rFonts w:hint="default"/>
          <w:sz w:val="24"/>
          <w:szCs w:val="24"/>
          <w:lang w:val="en-US"/>
        </w:rPr>
        <w:t>4. Main Insights and Outputs</w:t>
      </w:r>
    </w:p>
    <w:p w14:paraId="6DE234DB">
      <w:pPr>
        <w:rPr>
          <w:rFonts w:hint="default"/>
          <w:sz w:val="24"/>
          <w:szCs w:val="24"/>
          <w:lang w:val="en-US"/>
        </w:rPr>
      </w:pPr>
    </w:p>
    <w:p w14:paraId="07A07AF1">
      <w:pPr>
        <w:rPr>
          <w:rFonts w:hint="default"/>
          <w:sz w:val="24"/>
          <w:szCs w:val="24"/>
          <w:lang w:val="en-US"/>
        </w:rPr>
      </w:pPr>
      <w:r>
        <w:rPr>
          <w:rFonts w:hint="default"/>
          <w:sz w:val="24"/>
          <w:szCs w:val="24"/>
          <w:lang w:val="en-US"/>
        </w:rPr>
        <w:t>The analysis produced several key insights:</w:t>
      </w:r>
    </w:p>
    <w:p w14:paraId="71AD0CA3">
      <w:pPr>
        <w:rPr>
          <w:rFonts w:hint="default"/>
          <w:sz w:val="24"/>
          <w:szCs w:val="24"/>
          <w:lang w:val="en-US"/>
        </w:rPr>
      </w:pPr>
    </w:p>
    <w:p w14:paraId="5CA19BDD">
      <w:pPr>
        <w:rPr>
          <w:rFonts w:hint="default"/>
          <w:sz w:val="24"/>
          <w:szCs w:val="24"/>
          <w:lang w:val="en-US"/>
        </w:rPr>
      </w:pPr>
      <w:r>
        <w:rPr>
          <w:rFonts w:hint="default"/>
          <w:sz w:val="24"/>
          <w:szCs w:val="24"/>
          <w:lang w:val="en-US"/>
        </w:rPr>
        <w:t>Correlation with Deliveries: There is a [Moderate/Strong] positive correlation between Tesla’s vehicle delivery volume and its stock price peaks, suggesting that the market rewards physical production growth.</w:t>
      </w:r>
    </w:p>
    <w:p w14:paraId="5644E469">
      <w:pPr>
        <w:rPr>
          <w:rFonts w:hint="default"/>
          <w:sz w:val="24"/>
          <w:szCs w:val="24"/>
          <w:lang w:val="en-US"/>
        </w:rPr>
      </w:pPr>
    </w:p>
    <w:p w14:paraId="61A0FC07">
      <w:pPr>
        <w:rPr>
          <w:rFonts w:hint="default"/>
          <w:sz w:val="24"/>
          <w:szCs w:val="24"/>
          <w:lang w:val="en-US"/>
        </w:rPr>
      </w:pPr>
      <w:r>
        <w:rPr>
          <w:rFonts w:hint="default"/>
          <w:sz w:val="24"/>
          <w:szCs w:val="24"/>
          <w:lang w:val="en-US"/>
        </w:rPr>
        <w:t>Volatility Patterns: The stock showed significant volatility during earnings call weeks, often independent of whether the company met revenue targets, indicating a high sensitivity to forward-looking guidance.</w:t>
      </w:r>
    </w:p>
    <w:p w14:paraId="0933C54A">
      <w:pPr>
        <w:rPr>
          <w:rFonts w:hint="default"/>
          <w:sz w:val="24"/>
          <w:szCs w:val="24"/>
          <w:lang w:val="en-US"/>
        </w:rPr>
      </w:pPr>
    </w:p>
    <w:p w14:paraId="3CF77449">
      <w:pPr>
        <w:rPr>
          <w:rFonts w:hint="default"/>
          <w:sz w:val="24"/>
          <w:szCs w:val="24"/>
          <w:lang w:val="en-US"/>
        </w:rPr>
      </w:pPr>
      <w:r>
        <w:rPr>
          <w:rFonts w:hint="default"/>
          <w:sz w:val="24"/>
          <w:szCs w:val="24"/>
          <w:lang w:val="en-US"/>
        </w:rPr>
        <w:t>Moving Average Crossover: The visualization of the 50-day and 200-day moving averages identified [a "Golden Cross" or "Death Cross"] in late 2025, which served as a critical indicator for price momentum.</w:t>
      </w:r>
    </w:p>
    <w:p w14:paraId="6388711F">
      <w:pPr>
        <w:rPr>
          <w:rFonts w:hint="default"/>
          <w:sz w:val="24"/>
          <w:szCs w:val="24"/>
          <w:lang w:val="en-US"/>
        </w:rPr>
      </w:pPr>
    </w:p>
    <w:p w14:paraId="10186F97">
      <w:pPr>
        <w:rPr>
          <w:rFonts w:hint="default"/>
          <w:sz w:val="24"/>
          <w:szCs w:val="24"/>
          <w:lang w:val="en-US"/>
        </w:rPr>
      </w:pPr>
      <w:r>
        <w:rPr>
          <w:rFonts w:hint="default"/>
          <w:sz w:val="24"/>
          <w:szCs w:val="24"/>
          <w:lang w:val="en-US"/>
        </w:rPr>
        <w:t>5. Limitations and Improvements</w:t>
      </w:r>
    </w:p>
    <w:p w14:paraId="44D62352">
      <w:pPr>
        <w:rPr>
          <w:rFonts w:hint="default"/>
          <w:sz w:val="24"/>
          <w:szCs w:val="24"/>
          <w:lang w:val="en-US"/>
        </w:rPr>
      </w:pPr>
    </w:p>
    <w:p w14:paraId="77FD72DE">
      <w:pPr>
        <w:rPr>
          <w:rFonts w:hint="default"/>
          <w:sz w:val="24"/>
          <w:szCs w:val="24"/>
          <w:lang w:val="en-US"/>
        </w:rPr>
      </w:pPr>
      <w:r>
        <w:rPr>
          <w:rFonts w:hint="default"/>
          <w:sz w:val="24"/>
          <w:szCs w:val="24"/>
          <w:lang w:val="en-US"/>
        </w:rPr>
        <w:t>This study has limitations. First, the analysis does not account for external macroeconomic factors such as Federal Reserve interest rate changes, which heavily impact growth stocks like Tesla. Second, social media sentiment (e.g., from X/Twitter) was not included, which is known to influence Tesla’s retail trading volume. Future versions of this tool could integrate Sentiment Analysis using Natural Language Processing (NLP) to provide a more holistic view of price drivers.</w:t>
      </w:r>
    </w:p>
    <w:p w14:paraId="45A6A6F8">
      <w:pPr>
        <w:rPr>
          <w:rFonts w:hint="default"/>
          <w:sz w:val="24"/>
          <w:szCs w:val="24"/>
          <w:lang w:val="en-US"/>
        </w:rPr>
      </w:pPr>
    </w:p>
    <w:p w14:paraId="111770DF">
      <w:pPr>
        <w:rPr>
          <w:rFonts w:hint="default"/>
          <w:sz w:val="24"/>
          <w:szCs w:val="24"/>
          <w:lang w:val="en-US"/>
        </w:rPr>
      </w:pPr>
      <w:r>
        <w:rPr>
          <w:rFonts w:hint="default"/>
          <w:sz w:val="24"/>
          <w:szCs w:val="24"/>
          <w:lang w:val="en-US"/>
        </w:rPr>
        <w:t>6. Personal Contribution and Learning</w:t>
      </w:r>
    </w:p>
    <w:p w14:paraId="378A1F51">
      <w:pPr>
        <w:rPr>
          <w:rFonts w:hint="default"/>
          <w:sz w:val="24"/>
          <w:szCs w:val="24"/>
          <w:lang w:val="en-US"/>
        </w:rPr>
      </w:pPr>
    </w:p>
    <w:p w14:paraId="48682281">
      <w:pPr>
        <w:rPr>
          <w:rFonts w:hint="default"/>
          <w:sz w:val="24"/>
          <w:szCs w:val="24"/>
          <w:lang w:val="en-US"/>
        </w:rPr>
      </w:pPr>
      <w:r>
        <w:rPr>
          <w:rFonts w:hint="default"/>
          <w:sz w:val="24"/>
          <w:szCs w:val="24"/>
          <w:lang w:val="en-US"/>
        </w:rPr>
        <w:t>Through this assignment, I took full responsibility for the project lifecycle, from defining the business problem to publishing the repository on GitHub. I learned how to handle time-series data and realized the importance of "product thinking"—ensuring that charts are not just technically correct but also visually interpretable for a user. Deciding to use Track 2 allowed me to develop version control skills, which are essential for a career in accounting and finance analytics.</w:t>
      </w:r>
    </w:p>
    <w:p w14:paraId="74BAD6A3">
      <w:pPr>
        <w:rPr>
          <w:rFonts w:hint="default"/>
          <w:sz w:val="24"/>
          <w:szCs w:val="24"/>
          <w:lang w:val="en-US"/>
        </w:rPr>
      </w:pPr>
    </w:p>
    <w:p w14:paraId="6439D04F">
      <w:pPr>
        <w:rPr>
          <w:rFonts w:hint="default"/>
          <w:sz w:val="24"/>
          <w:szCs w:val="24"/>
          <w:lang w:val="en-US"/>
        </w:rPr>
      </w:pPr>
      <w:r>
        <w:rPr>
          <w:rFonts w:hint="default"/>
          <w:sz w:val="24"/>
          <w:szCs w:val="24"/>
          <w:lang w:val="en-US"/>
        </w:rPr>
        <w:t>AI Disclosure</w:t>
      </w:r>
    </w:p>
    <w:p w14:paraId="00AB2273">
      <w:pPr>
        <w:rPr>
          <w:rFonts w:hint="default"/>
          <w:sz w:val="24"/>
          <w:szCs w:val="24"/>
          <w:lang w:val="en-US"/>
        </w:rPr>
      </w:pPr>
    </w:p>
    <w:p w14:paraId="26C47F6F">
      <w:pPr>
        <w:rPr>
          <w:rFonts w:hint="default"/>
          <w:sz w:val="24"/>
          <w:szCs w:val="24"/>
          <w:lang w:val="en-US"/>
        </w:rPr>
      </w:pPr>
      <w:r>
        <w:rPr>
          <w:rFonts w:hint="default"/>
          <w:sz w:val="24"/>
          <w:szCs w:val="24"/>
          <w:lang w:val="en-US"/>
        </w:rPr>
        <w:t xml:space="preserve">AI Tool: </w:t>
      </w:r>
      <w:r>
        <w:rPr>
          <w:rFonts w:hint="eastAsia"/>
          <w:sz w:val="24"/>
          <w:szCs w:val="24"/>
          <w:lang w:val="en-US" w:eastAsia="zh-CN"/>
        </w:rPr>
        <w:t>XIPU AI/</w:t>
      </w:r>
      <w:r>
        <w:rPr>
          <w:rFonts w:hint="default"/>
          <w:sz w:val="24"/>
          <w:szCs w:val="24"/>
          <w:lang w:val="en-US"/>
        </w:rPr>
        <w:t>Gemini / ChatGPT-4o</w:t>
      </w:r>
      <w:bookmarkStart w:id="0" w:name="_GoBack"/>
      <w:bookmarkEnd w:id="0"/>
    </w:p>
    <w:p w14:paraId="6B0258FB">
      <w:pPr>
        <w:rPr>
          <w:rFonts w:hint="default"/>
          <w:sz w:val="24"/>
          <w:szCs w:val="24"/>
          <w:lang w:val="en-US"/>
        </w:rPr>
      </w:pPr>
    </w:p>
    <w:p w14:paraId="09C2D798">
      <w:pPr>
        <w:rPr>
          <w:rFonts w:hint="default"/>
          <w:sz w:val="24"/>
          <w:szCs w:val="24"/>
          <w:lang w:val="en-US"/>
        </w:rPr>
      </w:pPr>
      <w:r>
        <w:rPr>
          <w:rFonts w:hint="default"/>
          <w:sz w:val="24"/>
          <w:szCs w:val="24"/>
          <w:lang w:val="en-US"/>
        </w:rPr>
        <w:t>Date of Access: April 2026</w:t>
      </w:r>
    </w:p>
    <w:p w14:paraId="4CA1E910">
      <w:pPr>
        <w:rPr>
          <w:rFonts w:hint="default"/>
          <w:sz w:val="24"/>
          <w:szCs w:val="24"/>
          <w:lang w:val="en-US"/>
        </w:rPr>
      </w:pPr>
    </w:p>
    <w:p w14:paraId="4E43D1EC">
      <w:pPr>
        <w:rPr>
          <w:rFonts w:hint="default"/>
          <w:sz w:val="24"/>
          <w:szCs w:val="24"/>
          <w:lang w:val="en-US"/>
        </w:rPr>
      </w:pPr>
      <w:r>
        <w:rPr>
          <w:rFonts w:hint="default"/>
          <w:sz w:val="24"/>
          <w:szCs w:val="24"/>
          <w:lang w:val="en-US"/>
        </w:rPr>
        <w:t>Nature of Use: The AI was used to assist in debugging the yfinance data merging code, structuring the English README file, and providing a template for the reflection report to ensure compliance with the module requirements.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Verdana Regular">
    <w:panose1 w:val="020B0804030504040204"/>
    <w:charset w:val="00"/>
    <w:family w:val="auto"/>
    <w:pitch w:val="default"/>
    <w:sig w:usb0="A10006FF" w:usb1="4000205B" w:usb2="00000010" w:usb3="00000000" w:csb0="2000019F" w:csb1="00000000"/>
  </w:font>
  <w:font w:name="Chakra Petch Regular">
    <w:panose1 w:val="00000500000000000000"/>
    <w:charset w:val="00"/>
    <w:family w:val="auto"/>
    <w:pitch w:val="default"/>
    <w:sig w:usb0="21000007" w:usb1="00000001" w:usb2="00000000" w:usb3="00000000" w:csb0="200101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AFB7C19"/>
    <w:rsid w:val="35F4DB57"/>
    <w:rsid w:val="FAFB7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Office_6.8.2.8850_F1E327BC-269C-435d-A152-05C5408002CA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2026-04-24T15:57:00Z</dcterms:created>
  <dc:creator>k&amp;k</dc:creator>
  <cp:lastModifiedBy>k&amp;k</cp:lastModifiedBy>
  <dcterms:modified xsi:type="dcterms:W3CDTF">2026-04-24T16:04:35Z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2052-6.8.2.8850</vt:lpwstr>
  </property>
  <property fmtid="{D5CDD505-2E9C-101B-9397-08002B2CF9AE}" pid="3" name="ICV">
    <vt:lpwstr>EE58812D7767F1EF7522EB69619A6894_41</vt:lpwstr>
  </property>
</Properties>
</file>