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약이음 개발 해설서</w:t>
      </w:r>
    </w:p>
    <w:p>
      <w:r>
        <w:rPr>
          <w:rFonts w:ascii="NanumGothic" w:hAnsi="NanumGothic" w:eastAsia="NanumGothic" w:cs="NanumGothic"/>
          <w:b w:val="0"/>
          <w:color w:val="000000"/>
          <w:sz w:val="22"/>
        </w:rPr>
        <w:t>발표자가 개발 목적과 동작 원리 및 검증 범위를 이해하기 위한 자료</w:t>
      </w:r>
    </w:p>
    <w:p>
      <w:r>
        <w:rPr>
          <w:rFonts w:ascii="NanumGothic" w:hAnsi="NanumGothic" w:eastAsia="NanumGothic" w:cs="NanumGothic"/>
          <w:b w:val="0"/>
          <w:color w:val="000000"/>
        </w:rPr>
        <w:t>약이음은 이전과 현재의 약 기록에서 달라진 값을 찾고, 지금 실제로 먹는지는 가족이 따로 확인해 남기는 웹서비스입니다. 발표에서는 이 사용 목적을 먼저 설명하고, 기술은 그 과정을 어떻게 구현했는지 뒷받침하는 데 사용합니다.</w:t>
      </w:r>
    </w:p>
    <w:p>
      <w:pPr>
        <w:spacing w:line="280" w:lineRule="exact"/>
      </w:pPr>
      <w:r>
        <w:rPr>
          <w:rFonts w:ascii="NanumGothic" w:hAnsi="NanumGothic" w:eastAsia="NanumGothic" w:cs="NanumGothic"/>
          <w:b w:val="0"/>
          <w:color w:val="000000"/>
          <w:sz w:val="21"/>
        </w:rPr>
        <w:t>기준: YAKEUM_PRESENTATION_EASY.pptx 26장 · 앱 codex/mvp-completion의 ccb2602 · 발표 15분 중 영상 7분. 이 문서는 코드 전체 감사나 새로운 실제 연동 시험 결과가 아닙니다.</w:t>
      </w:r>
    </w:p>
    <w:p>
      <w:pPr>
        <w:pStyle w:val="Heading2"/>
      </w:pPr>
      <w:r>
        <w:t>1 개발 목적을 이해하는 예</w:t>
      </w:r>
    </w:p>
    <w:p>
      <w:r>
        <w:rPr>
          <w:rFonts w:ascii="NanumGothic" w:hAnsi="NanumGothic" w:eastAsia="NanumGothic" w:cs="NanumGothic"/>
          <w:b w:val="0"/>
          <w:color w:val="000000"/>
        </w:rPr>
        <w:t>여러 병원과 약국의 기록을 정리하는 가족은 약 이름이 같은지뿐 아니라 한 번에 먹는 양, 하루 횟수 등이 바뀌었는지도 확인해야 합니다. 최신 문서에 없는 약을 계속 먹고 있을 수도 있습니다. 약이음은 이 대조와 확인을 돕기 위해 기획했습니다.</w:t>
      </w:r>
    </w:p>
    <w:tbl>
      <w:tblPr>
        <w:tblW w:type="auto" w:w="0"/>
        <w:jc w:val="center"/>
        <w:tblLayout w:type="fixed"/>
        <w:tblLook w:firstColumn="1" w:firstRow="1" w:lastColumn="0" w:lastRow="0" w:noHBand="0" w:noVBand="1" w:val="04A0"/>
      </w:tblPr>
      <w:tblGrid>
        <w:gridCol w:w="4320"/>
        <w:gridCol w:w="2736"/>
        <w:gridCol w:w="2880"/>
      </w:tblGrid>
      <w:tr>
        <w:trPr>
          <w:cantSplit/>
          <w:tblHeader/>
        </w:trPr>
        <w:tc>
          <w:tcPr>
            <w:tcW w:type="dxa" w:w="4320"/>
            <w:vAlign w:val="center"/>
            <w:shd w:fill="27495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color w:val="FFFFFF"/>
                <w:sz w:val="22"/>
              </w:rPr>
              <w:t>확인할 정보</w:t>
            </w:r>
          </w:p>
        </w:tc>
        <w:tc>
          <w:tcPr>
            <w:tcW w:type="dxa" w:w="2736"/>
            <w:vAlign w:val="center"/>
            <w:shd w:fill="27495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color w:val="FFFFFF"/>
                <w:sz w:val="22"/>
              </w:rPr>
              <w:t>이전 자료</w:t>
            </w:r>
          </w:p>
        </w:tc>
        <w:tc>
          <w:tcPr>
            <w:tcW w:type="dxa" w:w="2880"/>
            <w:vAlign w:val="center"/>
            <w:shd w:fill="27495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color w:val="FFFFFF"/>
                <w:sz w:val="22"/>
              </w:rPr>
              <w:t>현재 자료</w:t>
            </w:r>
          </w:p>
        </w:tc>
      </w:tr>
      <w:tr>
        <w:trPr>
          <w:cantSplit/>
        </w:trPr>
        <w:tc>
          <w:tcPr>
            <w:tcW w:type="dxa" w:w="4320"/>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합성 제품</w:t>
            </w:r>
          </w:p>
        </w:tc>
        <w:tc>
          <w:tcPr>
            <w:tcW w:type="dxa" w:w="2736"/>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가상알파정</w:t>
            </w:r>
          </w:p>
        </w:tc>
        <w:tc>
          <w:tcPr>
            <w:tcW w:type="dxa" w:w="2880"/>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가상알파정</w:t>
            </w:r>
          </w:p>
        </w:tc>
      </w:tr>
      <w:tr>
        <w:trPr>
          <w:cantSplit/>
        </w:trPr>
        <w:tc>
          <w:tcPr>
            <w:tcW w:type="dxa" w:w="4320"/>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한 알의 성분량</w:t>
            </w:r>
          </w:p>
        </w:tc>
        <w:tc>
          <w:tcPr>
            <w:tcW w:type="dxa" w:w="2736"/>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100 mg</w:t>
            </w:r>
          </w:p>
        </w:tc>
        <w:tc>
          <w:tcPr>
            <w:tcW w:type="dxa" w:w="2880"/>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100 mg</w:t>
            </w:r>
          </w:p>
        </w:tc>
      </w:tr>
      <w:tr>
        <w:trPr>
          <w:cantSplit/>
        </w:trPr>
        <w:tc>
          <w:tcPr>
            <w:tcW w:type="dxa" w:w="4320"/>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한 번에 먹는 양</w:t>
            </w:r>
          </w:p>
        </w:tc>
        <w:tc>
          <w:tcPr>
            <w:tcW w:type="dxa" w:w="2736"/>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1정</w:t>
            </w:r>
          </w:p>
        </w:tc>
        <w:tc>
          <w:tcPr>
            <w:tcW w:type="dxa" w:w="2880"/>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2정</w:t>
            </w:r>
          </w:p>
        </w:tc>
      </w:tr>
      <w:tr>
        <w:trPr>
          <w:cantSplit/>
        </w:trPr>
        <w:tc>
          <w:tcPr>
            <w:tcW w:type="dxa" w:w="4320"/>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하루 횟수</w:t>
            </w:r>
          </w:p>
        </w:tc>
        <w:tc>
          <w:tcPr>
            <w:tcW w:type="dxa" w:w="2736"/>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2회</w:t>
            </w:r>
          </w:p>
        </w:tc>
        <w:tc>
          <w:tcPr>
            <w:tcW w:type="dxa" w:w="2880"/>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2회</w:t>
            </w:r>
          </w:p>
        </w:tc>
      </w:tr>
    </w:tbl>
    <w:p>
      <w:pPr>
        <w:spacing w:after="40"/>
      </w:pPr>
      <w:r>
        <w:rPr>
          <w:rFonts w:ascii="NanumGothic" w:hAnsi="NanumGothic" w:eastAsia="NanumGothic" w:cs="NanumGothic"/>
          <w:b w:val="0"/>
          <w:color w:val="000000"/>
        </w:rPr>
      </w:r>
    </w:p>
    <w:p>
      <w:r>
        <w:rPr>
          <w:rFonts w:ascii="NanumGothic" w:hAnsi="NanumGothic" w:eastAsia="NanumGothic" w:cs="NanumGothic"/>
          <w:b w:val="0"/>
          <w:color w:val="000000"/>
        </w:rPr>
        <w:t>이 예에서 바뀐 값은 한 번에 먹는 양입니다. 100 mg은 한 알에 든 성분량이고, 2정은 한 번에 먹는 알 수입니다. 두 값을 모두 “용량”이라고만 부르면 청중이 혼동하기 쉽습니다.</w:t>
      </w:r>
    </w:p>
    <w:p>
      <w:pPr>
        <w:pStyle w:val="Heading2"/>
      </w:pPr>
      <w:r>
        <w:t>2 발표에서 유지할 설명</w:t>
      </w:r>
    </w:p>
    <w:p>
      <w:r>
        <w:rPr>
          <w:rFonts w:ascii="NanumGothic" w:hAnsi="NanumGothic" w:eastAsia="NanumGothic" w:cs="NanumGothic"/>
          <w:b/>
          <w:color w:val="000000"/>
        </w:rPr>
        <w:t xml:space="preserve">만든 기능  </w:t>
      </w:r>
      <w:r>
        <w:rPr>
          <w:rFonts w:ascii="NanumGothic" w:hAnsi="NanumGothic" w:eastAsia="NanumGothic" w:cs="NanumGothic"/>
          <w:color w:val="000000"/>
        </w:rPr>
        <w:t>사진·파일의 이전과 현재 기록을 비교하고, 내용을 확인한 뒤 가족별로 저장·재조회하는 시제품입니다.</w:t>
      </w:r>
    </w:p>
    <w:p>
      <w:r>
        <w:rPr>
          <w:rFonts w:ascii="NanumGothic" w:hAnsi="NanumGothic" w:eastAsia="NanumGothic" w:cs="NanumGothic"/>
          <w:b/>
          <w:color w:val="000000"/>
        </w:rPr>
        <w:t xml:space="preserve">쉽게 쓰도록 바꾼 점  </w:t>
      </w:r>
      <w:r>
        <w:rPr>
          <w:rFonts w:ascii="NanumGothic" w:hAnsi="NanumGothic" w:eastAsia="NanumGothic" w:cs="NanumGothic"/>
          <w:color w:val="000000"/>
        </w:rPr>
        <w:t>사진 화면을 등록 → 내용 확인 → 결과의 세 단계로 정리했습니다. 복잡한 진단은 접고, 결과에서는 달라진 값과 복용 선택을 구분했습니다.</w:t>
      </w:r>
    </w:p>
    <w:p>
      <w:r>
        <w:rPr>
          <w:rFonts w:ascii="NanumGothic" w:hAnsi="NanumGothic" w:eastAsia="NanumGothic" w:cs="NanumGothic"/>
          <w:b/>
          <w:color w:val="000000"/>
        </w:rPr>
        <w:t xml:space="preserve">아직 측정하지 않은 점  </w:t>
      </w:r>
      <w:r>
        <w:rPr>
          <w:rFonts w:ascii="NanumGothic" w:hAnsi="NanumGothic" w:eastAsia="NanumGothic" w:cs="NanumGothic"/>
          <w:color w:val="000000"/>
        </w:rPr>
        <w:t>실제 사용자가 더 쉽게 썼는지, 오류나 시간이 얼마나 줄었는지는 사용자 시험으로 확인해야 합니다. 설계 의도를 효과 측정 결과처럼 말하지 않습니다.</w:t>
      </w:r>
    </w:p>
    <w:p>
      <w:pPr>
        <w:spacing w:line="280" w:lineRule="exact"/>
      </w:pPr>
      <w:r>
        <w:rPr>
          <w:rFonts w:ascii="NanumGothic" w:hAnsi="NanumGothic" w:eastAsia="NanumGothic" w:cs="NanumGothic"/>
          <w:b w:val="0"/>
          <w:color w:val="000000"/>
          <w:sz w:val="21"/>
        </w:rPr>
        <w:t>읽는 순서: 1쪽 목적 → 2~3쪽 동작 → 4쪽 검증 → 5~6쪽 역할·근거. 이후 별도 발표 대본으로 연습합니다. 근거 [1][2][3].</w:t>
      </w:r>
    </w:p>
    <w:p>
      <w:pPr>
        <w:pStyle w:val="Heading1"/>
        <w:pageBreakBefore/>
      </w:pPr>
      <w:r>
        <w:t>사용자가 하는 일과 내부 처리</w:t>
      </w:r>
    </w:p>
    <w:p>
      <w:r>
        <w:rPr>
          <w:rFonts w:ascii="NanumGothic" w:hAnsi="NanumGothic" w:eastAsia="NanumGothic" w:cs="NanumGothic"/>
          <w:b w:val="0"/>
          <w:color w:val="000000"/>
        </w:rPr>
        <w:t>사진 경로에서는 AI가 읽은 내용을 사용자가 원본과 대조한 뒤 비교에 사용합니다. HIRA 경로는 업로드한 합성 XLSX 파일을 정해진 규칙으로 읽습니다. 두 입력 경로의 비교·저장 결과는 출처를 구분해 표시합니다.</w:t>
      </w:r>
    </w:p>
    <w:tbl>
      <w:tblPr>
        <w:tblW w:type="auto" w:w="0"/>
        <w:jc w:val="center"/>
        <w:tblLayout w:type="fixed"/>
        <w:tblLook w:firstColumn="1" w:firstRow="1" w:lastColumn="0" w:lastRow="0" w:noHBand="0" w:noVBand="1" w:val="04A0"/>
      </w:tblPr>
      <w:tblGrid>
        <w:gridCol w:w="1699"/>
        <w:gridCol w:w="3341"/>
        <w:gridCol w:w="4896"/>
      </w:tblGrid>
      <w:tr>
        <w:trPr>
          <w:cantSplit/>
          <w:tblHeader/>
        </w:trPr>
        <w:tc>
          <w:tcPr>
            <w:tcW w:type="dxa" w:w="1699"/>
            <w:vAlign w:val="center"/>
            <w:shd w:fill="27495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color w:val="FFFFFF"/>
                <w:sz w:val="21"/>
              </w:rPr>
              <w:t>단계</w:t>
            </w:r>
          </w:p>
        </w:tc>
        <w:tc>
          <w:tcPr>
            <w:tcW w:type="dxa" w:w="3341"/>
            <w:vAlign w:val="center"/>
            <w:shd w:fill="27495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color w:val="FFFFFF"/>
                <w:sz w:val="21"/>
              </w:rPr>
              <w:t>사용자에게 보이는 일</w:t>
            </w:r>
          </w:p>
        </w:tc>
        <w:tc>
          <w:tcPr>
            <w:tcW w:type="dxa" w:w="4896"/>
            <w:vAlign w:val="center"/>
            <w:shd w:fill="27495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color w:val="FFFFFF"/>
                <w:sz w:val="21"/>
              </w:rPr>
              <w:t>내부에서 하는 일</w:t>
            </w:r>
          </w:p>
        </w:tc>
      </w:tr>
      <w:tr>
        <w:trPr>
          <w:cantSplit/>
        </w:trPr>
        <w:tc>
          <w:tcPr>
            <w:tcW w:type="dxa" w:w="1699"/>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가족 선택</w:t>
            </w:r>
          </w:p>
        </w:tc>
        <w:tc>
          <w:tcPr>
            <w:tcW w:type="dxa" w:w="3341"/>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누구의 기록인지 선택</w:t>
            </w:r>
          </w:p>
        </w:tc>
        <w:tc>
          <w:tcPr>
            <w:tcW w:type="dxa" w:w="4896"/>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해당 계정과 가족의 접근 권한 확인</w:t>
            </w:r>
          </w:p>
        </w:tc>
      </w:tr>
      <w:tr>
        <w:trPr>
          <w:cantSplit/>
        </w:trPr>
        <w:tc>
          <w:tcPr>
            <w:tcW w:type="dxa" w:w="1699"/>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자료 등록</w:t>
            </w:r>
          </w:p>
        </w:tc>
        <w:tc>
          <w:tcPr>
            <w:tcW w:type="dxa" w:w="3341"/>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이전·현재 사진과 날짜 선택</w:t>
            </w:r>
          </w:p>
        </w:tc>
        <w:tc>
          <w:tcPr>
            <w:tcW w:type="dxa" w:w="4896"/>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두 시점의 입력과 출처를 구분</w:t>
            </w:r>
          </w:p>
        </w:tc>
      </w:tr>
      <w:tr>
        <w:trPr>
          <w:cantSplit/>
        </w:trPr>
        <w:tc>
          <w:tcPr>
            <w:tcW w:type="dxa" w:w="1699"/>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사진 읽기</w:t>
            </w:r>
          </w:p>
        </w:tc>
        <w:tc>
          <w:tcPr>
            <w:tcW w:type="dxa" w:w="3341"/>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읽힌 약 이름·성분·수량 확인</w:t>
            </w:r>
          </w:p>
        </w:tc>
        <w:tc>
          <w:tcPr>
            <w:tcW w:type="dxa" w:w="4896"/>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Gemini 또는 Mock이 추출 후보 생성</w:t>
            </w:r>
          </w:p>
        </w:tc>
      </w:tr>
      <w:tr>
        <w:trPr>
          <w:cantSplit/>
        </w:trPr>
        <w:tc>
          <w:tcPr>
            <w:tcW w:type="dxa" w:w="1699"/>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내용 확인</w:t>
            </w:r>
          </w:p>
        </w:tc>
        <w:tc>
          <w:tcPr>
            <w:tcW w:type="dxa" w:w="3341"/>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원본과 대조하고 틀린 값 수정</w:t>
            </w:r>
          </w:p>
        </w:tc>
        <w:tc>
          <w:tcPr>
            <w:tcW w:type="dxa" w:w="4896"/>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사용자가 확인한 초안을 다음 처리에 사용</w:t>
            </w:r>
          </w:p>
        </w:tc>
      </w:tr>
      <w:tr>
        <w:trPr>
          <w:cantSplit/>
        </w:trPr>
        <w:tc>
          <w:tcPr>
            <w:tcW w:type="dxa" w:w="1699"/>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약품 확인·비교</w:t>
            </w:r>
          </w:p>
        </w:tc>
        <w:tc>
          <w:tcPr>
            <w:tcW w:type="dxa" w:w="3341"/>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달라진 값 또는 보류 사유 확인</w:t>
            </w:r>
          </w:p>
        </w:tc>
        <w:tc>
          <w:tcPr>
            <w:tcW w:type="dxa" w:w="4896"/>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표기 정리·약품 연결 후 비교 가능 여부 점검</w:t>
            </w:r>
          </w:p>
        </w:tc>
      </w:tr>
      <w:tr>
        <w:trPr>
          <w:cantSplit/>
        </w:trPr>
        <w:tc>
          <w:tcPr>
            <w:tcW w:type="dxa" w:w="1699"/>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복용 확인</w:t>
            </w:r>
          </w:p>
        </w:tc>
        <w:tc>
          <w:tcPr>
            <w:tcW w:type="dxa" w:w="3341"/>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먹고 있음·먹지 않음·잘 모르겠음 선택</w:t>
            </w:r>
          </w:p>
        </w:tc>
        <w:tc>
          <w:tcPr>
            <w:tcW w:type="dxa" w:w="4896"/>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기록 비교와 별도 상태로 관리</w:t>
            </w:r>
          </w:p>
        </w:tc>
      </w:tr>
      <w:tr>
        <w:trPr>
          <w:cantSplit/>
        </w:trPr>
        <w:tc>
          <w:tcPr>
            <w:tcW w:type="dxa" w:w="1699"/>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저장·다시 열기</w:t>
            </w:r>
          </w:p>
        </w:tc>
        <w:tc>
          <w:tcPr>
            <w:tcW w:type="dxa" w:w="3341"/>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저장 기록에서 같은 결과 확인</w:t>
            </w:r>
          </w:p>
        </w:tc>
        <w:tc>
          <w:tcPr>
            <w:tcW w:type="dxa" w:w="4896"/>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처리 결과와 출처, 복용 확인을 보관·조회</w:t>
            </w:r>
          </w:p>
        </w:tc>
      </w:tr>
    </w:tbl>
    <w:p>
      <w:pPr>
        <w:spacing w:after="40"/>
      </w:pPr>
      <w:r>
        <w:rPr>
          <w:rFonts w:ascii="NanumGothic" w:hAnsi="NanumGothic" w:eastAsia="NanumGothic" w:cs="NanumGothic"/>
          <w:b w:val="0"/>
          <w:color w:val="000000"/>
        </w:rPr>
      </w:r>
    </w:p>
    <w:p>
      <w:pPr>
        <w:pStyle w:val="Heading2"/>
      </w:pPr>
      <w:r>
        <w:t>기술이 맡은 역할</w:t>
      </w:r>
    </w:p>
    <w:tbl>
      <w:tblPr>
        <w:tblW w:type="auto" w:w="0"/>
        <w:jc w:val="center"/>
        <w:tblLayout w:type="fixed"/>
        <w:tblLook w:firstColumn="1" w:firstRow="1" w:lastColumn="0" w:lastRow="0" w:noHBand="0" w:noVBand="1" w:val="04A0"/>
      </w:tblPr>
      <w:tblGrid>
        <w:gridCol w:w="3240"/>
        <w:gridCol w:w="6696"/>
      </w:tblGrid>
      <w:tr>
        <w:trPr>
          <w:cantSplit/>
          <w:tblHeader/>
        </w:trPr>
        <w:tc>
          <w:tcPr>
            <w:tcW w:type="dxa" w:w="3240"/>
            <w:vAlign w:val="center"/>
            <w:shd w:fill="27495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color w:val="FFFFFF"/>
                <w:sz w:val="21"/>
              </w:rPr>
              <w:t>구성</w:t>
            </w:r>
          </w:p>
        </w:tc>
        <w:tc>
          <w:tcPr>
            <w:tcW w:type="dxa" w:w="6696"/>
            <w:vAlign w:val="center"/>
            <w:shd w:fill="27495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color w:val="FFFFFF"/>
                <w:sz w:val="21"/>
              </w:rPr>
              <w:t>쉽게 설명하는 역할</w:t>
            </w:r>
          </w:p>
        </w:tc>
      </w:tr>
      <w:tr>
        <w:trPr>
          <w:cantSplit/>
        </w:trPr>
        <w:tc>
          <w:tcPr>
            <w:tcW w:type="dxa" w:w="3240"/>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React + TypeScript</w:t>
            </w:r>
          </w:p>
        </w:tc>
        <w:tc>
          <w:tcPr>
            <w:tcW w:type="dxa" w:w="6696"/>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가족 선택·사진 등록·내용 수정·비교 결과를 보여 주는 화면</w:t>
            </w:r>
          </w:p>
        </w:tc>
      </w:tr>
      <w:tr>
        <w:trPr>
          <w:cantSplit/>
        </w:trPr>
        <w:tc>
          <w:tcPr>
            <w:tcW w:type="dxa" w:w="3240"/>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FastAPI + Python</w:t>
            </w:r>
          </w:p>
        </w:tc>
        <w:tc>
          <w:tcPr>
            <w:tcW w:type="dxa" w:w="6696"/>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요청을 받아 추출·정규화·비교·저장 기능을 연결하는 서버</w:t>
            </w:r>
          </w:p>
        </w:tc>
      </w:tr>
      <w:tr>
        <w:trPr>
          <w:cantSplit/>
        </w:trPr>
        <w:tc>
          <w:tcPr>
            <w:tcW w:type="dxa" w:w="3240"/>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PostgreSQL</w:t>
            </w:r>
          </w:p>
        </w:tc>
        <w:tc>
          <w:tcPr>
            <w:tcW w:type="dxa" w:w="6696"/>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계정·가족별 결과 등 지속적으로 보관할 정보를 저장하는 DB</w:t>
            </w:r>
          </w:p>
        </w:tc>
      </w:tr>
      <w:tr>
        <w:trPr>
          <w:cantSplit/>
        </w:trPr>
        <w:tc>
          <w:tcPr>
            <w:tcW w:type="dxa" w:w="3240"/>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Gemini / 식약처 정보</w:t>
            </w:r>
          </w:p>
        </w:tc>
        <w:tc>
          <w:tcPr>
            <w:tcW w:type="dxa" w:w="6696"/>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Gemini는 사진의 문자를 읽고, 식약처 정보는 약품의 제품·성분 등을 확인하는 데 사용</w:t>
            </w:r>
          </w:p>
        </w:tc>
      </w:tr>
    </w:tbl>
    <w:p>
      <w:pPr>
        <w:spacing w:after="40"/>
      </w:pPr>
      <w:r>
        <w:rPr>
          <w:rFonts w:ascii="NanumGothic" w:hAnsi="NanumGothic" w:eastAsia="NanumGothic" w:cs="NanumGothic"/>
          <w:b w:val="0"/>
          <w:color w:val="000000"/>
        </w:rPr>
      </w:r>
    </w:p>
    <w:p>
      <w:r>
        <w:rPr>
          <w:rFonts w:ascii="NanumGothic" w:hAnsi="NanumGothic" w:eastAsia="NanumGothic" w:cs="NanumGothic"/>
          <w:b w:val="0"/>
          <w:color w:val="000000"/>
        </w:rPr>
        <w:t>사진 읽기와 약품 확인은 다른 기능입니다. Gemini가 약 이름을 읽었다고 공식 제품 매칭까지 성공한 것은 아닙니다. 마찬가지로 식약처에 연결됐다고 사용자 입력값 전체가 정확하다는 뜻도 아닙니다.</w:t>
      </w:r>
    </w:p>
    <w:p>
      <w:pPr>
        <w:spacing w:line="280" w:lineRule="exact"/>
      </w:pPr>
      <w:r>
        <w:rPr>
          <w:rFonts w:ascii="NanumGothic" w:hAnsi="NanumGothic" w:eastAsia="NanumGothic" w:cs="NanumGothic"/>
          <w:b w:val="0"/>
          <w:color w:val="000000"/>
          <w:sz w:val="21"/>
        </w:rPr>
        <w:t>기술 구성은 기획서·패키지와 서버 의존성·개발 문서 기준입니다. 로컬 검사에는 SQLite 등 별도 가상 환경도 사용됐습니다. 모든 화면에서 두 외부 서비스를 동시에 실제 호출한다는 뜻은 아닙니다. 근거 [1][3][4].</w:t>
      </w:r>
    </w:p>
    <w:p>
      <w:pPr>
        <w:pStyle w:val="Heading1"/>
        <w:pageBreakBefore/>
      </w:pPr>
      <w:r>
        <w:t>비교 규칙과 확인 상태</w:t>
      </w:r>
    </w:p>
    <w:p>
      <w:pPr>
        <w:pStyle w:val="Heading2"/>
      </w:pPr>
      <w:r>
        <w:t>제품을 먼저 대응시키고 값을 비교합니다</w:t>
      </w:r>
    </w:p>
    <w:p>
      <w:r>
        <w:rPr>
          <w:rFonts w:ascii="NanumGothic" w:hAnsi="NanumGothic" w:eastAsia="NanumGothic" w:cs="NanumGothic"/>
          <w:b w:val="0"/>
          <w:color w:val="000000"/>
        </w:rPr>
        <w:t>비교 엔진은 이미 구조화된 기록을 받습니다. 제품을 대응시킬 때 식약처 제품 ID, 약품코드, 정리된 제품명과 성분명을 순서대로 확인합니다. 양쪽에 서로 다른 공식 제품 ID가 있으면 같은 성분만으로 같은 제품이라고 묶지 않습니다. 같은 수준의 후보가 여러 개이면 임의로 하나를 고르지 않습니다.</w:t>
      </w:r>
    </w:p>
    <w:p>
      <w:r>
        <w:rPr>
          <w:rFonts w:ascii="NanumGothic" w:hAnsi="NanumGothic" w:eastAsia="NanumGothic" w:cs="NanumGothic"/>
          <w:b w:val="0"/>
          <w:color w:val="000000"/>
        </w:rPr>
        <w:t>대응한 기록에서는 성분별 함량과 단위, 한 번에 먹는 양, 투약 단위, 하루 횟수의 변화를 확인합니다. 숫자는 십진수 자료형인 Decimal로 비교합니다. 날짜와 투약 기간은 표시·보존하되 이 “기록 동일” 판정의 비교 항목과 구분합니다.</w:t>
      </w:r>
    </w:p>
    <w:tbl>
      <w:tblPr>
        <w:tblW w:type="auto" w:w="0"/>
        <w:jc w:val="center"/>
        <w:tblLayout w:type="fixed"/>
        <w:tblLook w:firstColumn="1" w:firstRow="1" w:lastColumn="0" w:lastRow="0" w:noHBand="0" w:noVBand="1" w:val="04A0"/>
      </w:tblPr>
      <w:tblGrid>
        <w:gridCol w:w="1800"/>
        <w:gridCol w:w="3816"/>
        <w:gridCol w:w="4320"/>
      </w:tblGrid>
      <w:tr>
        <w:trPr>
          <w:cantSplit/>
          <w:tblHeader/>
        </w:trPr>
        <w:tc>
          <w:tcPr>
            <w:tcW w:type="dxa" w:w="1800"/>
            <w:vAlign w:val="center"/>
            <w:shd w:fill="27495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color w:val="FFFFFF"/>
                <w:sz w:val="21"/>
              </w:rPr>
              <w:t>화면 표시</w:t>
            </w:r>
          </w:p>
        </w:tc>
        <w:tc>
          <w:tcPr>
            <w:tcW w:type="dxa" w:w="3816"/>
            <w:vAlign w:val="center"/>
            <w:shd w:fill="27495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color w:val="FFFFFF"/>
                <w:sz w:val="21"/>
              </w:rPr>
              <w:t>뜻</w:t>
            </w:r>
          </w:p>
        </w:tc>
        <w:tc>
          <w:tcPr>
            <w:tcW w:type="dxa" w:w="4320"/>
            <w:vAlign w:val="center"/>
            <w:shd w:fill="27495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color w:val="FFFFFF"/>
                <w:sz w:val="21"/>
              </w:rPr>
              <w:t>단정하면 안 되는 것</w:t>
            </w:r>
          </w:p>
        </w:tc>
      </w:tr>
      <w:tr>
        <w:trPr>
          <w:cantSplit/>
        </w:trPr>
        <w:tc>
          <w:tcPr>
            <w:tcW w:type="dxa" w:w="1800"/>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기록 동일</w:t>
            </w:r>
          </w:p>
        </w:tc>
        <w:tc>
          <w:tcPr>
            <w:tcW w:type="dxa" w:w="3816"/>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비교 가능한 기준값이 같음</w:t>
            </w:r>
          </w:p>
        </w:tc>
        <w:tc>
          <w:tcPr>
            <w:tcW w:type="dxa" w:w="4320"/>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문서 전체 또는 실제 복용까지 동일</w:t>
            </w:r>
          </w:p>
        </w:tc>
      </w:tr>
      <w:tr>
        <w:trPr>
          <w:cantSplit/>
        </w:trPr>
        <w:tc>
          <w:tcPr>
            <w:tcW w:type="dxa" w:w="1800"/>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복용정보 변경</w:t>
            </w:r>
          </w:p>
        </w:tc>
        <w:tc>
          <w:tcPr>
            <w:tcW w:type="dxa" w:w="3816"/>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비교한 값 중 차이가 있음</w:t>
            </w:r>
          </w:p>
        </w:tc>
        <w:tc>
          <w:tcPr>
            <w:tcW w:type="dxa" w:w="4320"/>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변경된 양이 의학적으로 적절함</w:t>
            </w:r>
          </w:p>
        </w:tc>
      </w:tr>
      <w:tr>
        <w:trPr>
          <w:cantSplit/>
        </w:trPr>
        <w:tc>
          <w:tcPr>
            <w:tcW w:type="dxa" w:w="1800"/>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이번에만</w:t>
            </w:r>
          </w:p>
        </w:tc>
        <w:tc>
          <w:tcPr>
            <w:tcW w:type="dxa" w:w="3816"/>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현재 자료에만 대응 기록이 있음</w:t>
            </w:r>
          </w:p>
        </w:tc>
        <w:tc>
          <w:tcPr>
            <w:tcW w:type="dxa" w:w="4320"/>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환자가 새로 먹기 시작했음</w:t>
            </w:r>
          </w:p>
        </w:tc>
      </w:tr>
      <w:tr>
        <w:trPr>
          <w:cantSplit/>
        </w:trPr>
        <w:tc>
          <w:tcPr>
            <w:tcW w:type="dxa" w:w="1800"/>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이전에만</w:t>
            </w:r>
          </w:p>
        </w:tc>
        <w:tc>
          <w:tcPr>
            <w:tcW w:type="dxa" w:w="3816"/>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현재 자료에서 대응 기록이 확인되지 않음</w:t>
            </w:r>
          </w:p>
        </w:tc>
        <w:tc>
          <w:tcPr>
            <w:tcW w:type="dxa" w:w="4320"/>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복용을 중단했음</w:t>
            </w:r>
          </w:p>
        </w:tc>
      </w:tr>
      <w:tr>
        <w:trPr>
          <w:cantSplit/>
        </w:trPr>
        <w:tc>
          <w:tcPr>
            <w:tcW w:type="dxa" w:w="1800"/>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비교 보류</w:t>
            </w:r>
          </w:p>
        </w:tc>
        <w:tc>
          <w:tcPr>
            <w:tcW w:type="dxa" w:w="3816"/>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비교 조건이 충족되지 않아 판단을 멈춤</w:t>
            </w:r>
          </w:p>
        </w:tc>
        <w:tc>
          <w:tcPr>
            <w:tcW w:type="dxa" w:w="4320"/>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약이 없거나 안전·위험 판정이 끝남</w:t>
            </w:r>
          </w:p>
        </w:tc>
      </w:tr>
    </w:tbl>
    <w:p>
      <w:pPr>
        <w:spacing w:after="40"/>
      </w:pPr>
      <w:r>
        <w:rPr>
          <w:rFonts w:ascii="NanumGothic" w:hAnsi="NanumGothic" w:eastAsia="NanumGothic" w:cs="NanumGothic"/>
          <w:b w:val="0"/>
          <w:color w:val="000000"/>
        </w:rPr>
      </w:r>
    </w:p>
    <w:p>
      <w:pPr>
        <w:pStyle w:val="Heading2"/>
      </w:pPr>
      <w:r>
        <w:t>보류는 비교 엔진 앞의 검사와 함께 이해합니다</w:t>
      </w:r>
    </w:p>
    <w:p>
      <w:r>
        <w:rPr>
          <w:rFonts w:ascii="NanumGothic" w:hAnsi="NanumGothic" w:eastAsia="NanumGothic" w:cs="NanumGothic"/>
          <w:b w:val="0"/>
          <w:color w:val="000000"/>
        </w:rPr>
        <w:t>핵심 엔진은 알려진 값끼리 비교합니다. 필수값 누락을 보류로 처리하는 것은 앞단의 검사와 함께 이루어집니다. HIRA v2는 실패 행, 비교 필드 미확인, 모호한 반복 기록 등이 있으면 양쪽 전체 비교를 보류하는 정책입니다. 정상 행만 골라 전체 성공처럼 보여 주는 방식으로 설명하지 않습니다.</w:t>
      </w:r>
    </w:p>
    <w:p>
      <w:pPr>
        <w:spacing w:line="280" w:lineRule="exact"/>
      </w:pPr>
      <w:r>
        <w:rPr>
          <w:rFonts w:ascii="NanumGothic" w:hAnsi="NanumGothic" w:eastAsia="NanumGothic" w:cs="NanumGothic"/>
          <w:b w:val="0"/>
          <w:color w:val="000000"/>
          <w:sz w:val="21"/>
        </w:rPr>
        <w:t>보류는 비교가 실행되지 않은 상태입니다. 정상 0건은 처리가 완료됐지만 비교할 항목이 없는 상태입니다. 두 경우를 같은 “결과 없음”으로 설명하지 않습니다.</w:t>
      </w:r>
    </w:p>
    <w:p>
      <w:pPr>
        <w:pStyle w:val="Heading2"/>
      </w:pPr>
      <w:r>
        <w:t>세 종류의 확인을 섞지 않습니다</w:t>
      </w:r>
    </w:p>
    <w:p>
      <w:r>
        <w:rPr>
          <w:rFonts w:ascii="NanumGothic" w:hAnsi="NanumGothic" w:eastAsia="NanumGothic" w:cs="NanumGothic"/>
          <w:b/>
          <w:color w:val="000000"/>
        </w:rPr>
        <w:t xml:space="preserve">추출 내용 확인  </w:t>
      </w:r>
      <w:r>
        <w:rPr>
          <w:rFonts w:ascii="NanumGothic" w:hAnsi="NanumGothic" w:eastAsia="NanumGothic" w:cs="NanumGothic"/>
          <w:color w:val="000000"/>
        </w:rPr>
        <w:t>사진에 쓰인 값과 AI가 읽은 값이 맞는지 대조한 것입니다.</w:t>
      </w:r>
    </w:p>
    <w:p>
      <w:r>
        <w:rPr>
          <w:rFonts w:ascii="NanumGothic" w:hAnsi="NanumGothic" w:eastAsia="NanumGothic" w:cs="NanumGothic"/>
          <w:b/>
          <w:color w:val="000000"/>
        </w:rPr>
        <w:t xml:space="preserve">실제 복용 확인  </w:t>
      </w:r>
      <w:r>
        <w:rPr>
          <w:rFonts w:ascii="NanumGothic" w:hAnsi="NanumGothic" w:eastAsia="NanumGothic" w:cs="NanumGothic"/>
          <w:color w:val="000000"/>
        </w:rPr>
        <w:t>현재 먹는지 사용자가 답한 것입니다. 처음에는 UNKNOWN / PENDING이며, “잘 모르겠음”을 명시적으로 선택하면 UNKNOWN / USER_VERIFIED가 됩니다.</w:t>
      </w:r>
    </w:p>
    <w:p>
      <w:r>
        <w:rPr>
          <w:rFonts w:ascii="NanumGothic" w:hAnsi="NanumGothic" w:eastAsia="NanumGothic" w:cs="NanumGothic"/>
          <w:b/>
          <w:color w:val="000000"/>
        </w:rPr>
        <w:t xml:space="preserve">저장 완료  </w:t>
      </w:r>
      <w:r>
        <w:rPr>
          <w:rFonts w:ascii="NanumGothic" w:hAnsi="NanumGothic" w:eastAsia="NanumGothic" w:cs="NanumGothic"/>
          <w:color w:val="000000"/>
        </w:rPr>
        <w:t>기록을 보관했다는 뜻입니다. 저장만으로 내용이나 복용이 확인되지는 않습니다.</w:t>
      </w:r>
    </w:p>
    <w:p>
      <w:pPr>
        <w:spacing w:line="280" w:lineRule="exact"/>
      </w:pPr>
      <w:r>
        <w:rPr>
          <w:rFonts w:ascii="NanumGothic" w:hAnsi="NanumGothic" w:eastAsia="NanumGothic" w:cs="NanumGothic"/>
          <w:b w:val="0"/>
          <w:color w:val="000000"/>
          <w:sz w:val="21"/>
        </w:rPr>
        <w:t>개발 근거: engine.py, current_intake.py, HIRA 비교 보류 v2 문서 [4][5]. 단위 환산·모든 제형·특수 복용법의 완전 지원을 뜻하지 않습니다.</w:t>
      </w:r>
    </w:p>
    <w:p>
      <w:pPr>
        <w:pStyle w:val="Heading1"/>
        <w:pageBreakBefore/>
      </w:pPr>
      <w:r>
        <w:t>실제 연결로 확인한 범위</w:t>
      </w:r>
    </w:p>
    <w:p>
      <w:r>
        <w:rPr>
          <w:rFonts w:ascii="NanumGothic" w:hAnsi="NanumGothic" w:eastAsia="NanumGothic" w:cs="NanumGothic"/>
          <w:b w:val="0"/>
          <w:color w:val="000000"/>
        </w:rPr>
        <w:t>발표의 신뢰도는 “무엇을 해냈는가”와 “그 증거가 어디까지인가”를 함께 설명할 때 높아집니다. 아래 실제 실행 성과는 사용자가 제공한 Render 실행 응답과 저장·재조회 확인 기록에 근거합니다. 이번 문서 제작에서 새로 API를 호출한 결과는 아닙니다.</w:t>
      </w:r>
    </w:p>
    <w:tbl>
      <w:tblPr>
        <w:tblW w:type="auto" w:w="0"/>
        <w:jc w:val="center"/>
        <w:tblLayout w:type="fixed"/>
        <w:tblLook w:firstColumn="1" w:firstRow="1" w:lastColumn="0" w:lastRow="0" w:noHBand="0" w:noVBand="1" w:val="04A0"/>
      </w:tblPr>
      <w:tblGrid>
        <w:gridCol w:w="1728"/>
        <w:gridCol w:w="4032"/>
        <w:gridCol w:w="4176"/>
      </w:tblGrid>
      <w:tr>
        <w:trPr>
          <w:cantSplit/>
          <w:tblHeader/>
        </w:trPr>
        <w:tc>
          <w:tcPr>
            <w:tcW w:type="dxa" w:w="1728"/>
            <w:vAlign w:val="center"/>
            <w:shd w:fill="27495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color w:val="FFFFFF"/>
                <w:sz w:val="21"/>
              </w:rPr>
              <w:t>구분</w:t>
            </w:r>
          </w:p>
        </w:tc>
        <w:tc>
          <w:tcPr>
            <w:tcW w:type="dxa" w:w="4032"/>
            <w:vAlign w:val="center"/>
            <w:shd w:fill="27495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color w:val="FFFFFF"/>
                <w:sz w:val="21"/>
              </w:rPr>
              <w:t>확인된 범위</w:t>
            </w:r>
          </w:p>
        </w:tc>
        <w:tc>
          <w:tcPr>
            <w:tcW w:type="dxa" w:w="4176"/>
            <w:vAlign w:val="center"/>
            <w:shd w:fill="27495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color w:val="FFFFFF"/>
                <w:sz w:val="21"/>
              </w:rPr>
              <w:t>남은 검증</w:t>
            </w:r>
          </w:p>
        </w:tc>
      </w:tr>
      <w:tr>
        <w:trPr>
          <w:cantSplit/>
        </w:trPr>
        <w:tc>
          <w:tcPr>
            <w:tcW w:type="dxa" w:w="1728"/>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사진 경로</w:t>
            </w:r>
          </w:p>
        </w:tc>
        <w:tc>
          <w:tcPr>
            <w:tcW w:type="dxa" w:w="4032"/>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지정 합성 PNG의 실제 Gemini 추출 + 가상 약품 매칭으로 비교·저장·재조회</w:t>
            </w:r>
          </w:p>
        </w:tc>
        <w:tc>
          <w:tcPr>
            <w:tcW w:type="dxa" w:w="4176"/>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실제 Gemini 추출과 식약처 조회를 이어 가는 전체 흐름</w:t>
            </w:r>
          </w:p>
        </w:tc>
      </w:tr>
      <w:tr>
        <w:trPr>
          <w:cantSplit/>
        </w:trPr>
        <w:tc>
          <w:tcPr>
            <w:tcW w:type="dxa" w:w="1728"/>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HIRA 파일 경로</w:t>
            </w:r>
          </w:p>
        </w:tc>
        <w:tc>
          <w:tcPr>
            <w:tcW w:type="dxa" w:w="4032"/>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단일 합성 제품의 실제 식약처 매칭·비교·저장·재조회</w:t>
            </w:r>
          </w:p>
        </w:tc>
        <w:tc>
          <w:tcPr>
            <w:tcW w:type="dxa" w:w="4176"/>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다양한 제품·복합제·파일 양식 및 실제 사용자 자료</w:t>
            </w:r>
          </w:p>
        </w:tc>
      </w:tr>
      <w:tr>
        <w:trPr>
          <w:cantSplit/>
        </w:trPr>
        <w:tc>
          <w:tcPr>
            <w:tcW w:type="dxa" w:w="1728"/>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영상의 새 조작</w:t>
            </w:r>
          </w:p>
        </w:tc>
        <w:tc>
          <w:tcPr>
            <w:tcW w:type="dxa" w:w="4032"/>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로컬 합성 자료와 Mock으로 사용 흐름 촬영</w:t>
            </w:r>
          </w:p>
        </w:tc>
        <w:tc>
          <w:tcPr>
            <w:tcW w:type="dxa" w:w="4176"/>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실제 서비스 처리 속도·정확도·사용성 효과</w:t>
            </w:r>
          </w:p>
        </w:tc>
      </w:tr>
      <w:tr>
        <w:trPr>
          <w:cantSplit/>
        </w:trPr>
        <w:tc>
          <w:tcPr>
            <w:tcW w:type="dxa" w:w="1728"/>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운영 준비</w:t>
            </w:r>
          </w:p>
        </w:tc>
        <w:tc>
          <w:tcPr>
            <w:tcW w:type="dxa" w:w="4032"/>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개발용 인증·가족 권한 검사와 합성 자료 시험</w:t>
            </w:r>
          </w:p>
        </w:tc>
        <w:tc>
          <w:tcPr>
            <w:tcW w:type="dxa" w:w="4176"/>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실제 건강정보 동의·보관·삭제·백업 등 운영 체계</w:t>
            </w:r>
          </w:p>
        </w:tc>
      </w:tr>
    </w:tbl>
    <w:p>
      <w:pPr>
        <w:spacing w:after="40"/>
      </w:pPr>
      <w:r>
        <w:rPr>
          <w:rFonts w:ascii="NanumGothic" w:hAnsi="NanumGothic" w:eastAsia="NanumGothic" w:cs="NanumGothic"/>
          <w:b w:val="0"/>
          <w:color w:val="000000"/>
        </w:rPr>
      </w:r>
    </w:p>
    <w:p>
      <w:pPr>
        <w:pStyle w:val="Heading2"/>
      </w:pPr>
      <w:r>
        <w:t>HIRA 실조회 근거를 물으면</w:t>
      </w:r>
    </w:p>
    <w:p>
      <w:r>
        <w:rPr>
          <w:rFonts w:ascii="NanumGothic" w:hAnsi="NanumGothic" w:eastAsia="NanumGothic" w:cs="NanumGothic"/>
          <w:b w:val="0"/>
          <w:color w:val="000000"/>
        </w:rPr>
        <w:t>제공된 응답은 MFDS_LIVE, 요청 1회, 자동 재시도 0회, 후보 전체 1건 중 1건 수신이었습니다. 이전·현재는 NAME_EXACT로 같은 제품에 연결됐고 비교가 실행됐으며, 이후 저장·재조회가 화면으로 확인됐습니다. 동일 검색 재사용 1회도 기록됐습니다.</w:t>
      </w:r>
    </w:p>
    <w:p>
      <w:r>
        <w:rPr>
          <w:rFonts w:ascii="NanumGothic" w:hAnsi="NanumGothic" w:eastAsia="NanumGothic" w:cs="NanumGothic"/>
          <w:b w:val="0"/>
          <w:color w:val="000000"/>
        </w:rPr>
        <w:t>합성 입력의 제품명은 타이레놀정500밀리그람(아세트아미노펜), 성분은 아세트아미노펜 500 mg입니다. 공식 제품 ID는 202106092였습니다. 이 한 사례의 성공을 다른 제품 전체의 정확도로 확대하지 않습니다.</w:t>
      </w:r>
    </w:p>
    <w:p>
      <w:pPr>
        <w:pStyle w:val="Heading2"/>
      </w:pPr>
      <w:r>
        <w:t>설명에서 가장 자주 생기는 오해</w:t>
      </w:r>
    </w:p>
    <w:p>
      <w:r>
        <w:rPr>
          <w:rFonts w:ascii="NanumGothic" w:hAnsi="NanumGothic" w:eastAsia="NanumGothic" w:cs="NanumGothic"/>
          <w:b/>
          <w:color w:val="000000"/>
        </w:rPr>
        <w:t xml:space="preserve">HIRA와 식약처  </w:t>
      </w:r>
      <w:r>
        <w:rPr>
          <w:rFonts w:ascii="NanumGothic" w:hAnsi="NanumGothic" w:eastAsia="NanumGothic" w:cs="NanumGothic"/>
          <w:color w:val="000000"/>
        </w:rPr>
        <w:t>HIRA는 자료 경로의 이름이고, 이 시험에서 실제 조회한 약품 정보는 식약처입니다. HIRA 기관에서 실제 환자 투약이력을 직접 가져온 시험이 아닙니다.</w:t>
      </w:r>
    </w:p>
    <w:p>
      <w:r>
        <w:rPr>
          <w:rFonts w:ascii="NanumGothic" w:hAnsi="NanumGothic" w:eastAsia="NanumGothic" w:cs="NanumGothic"/>
          <w:b/>
          <w:color w:val="000000"/>
        </w:rPr>
        <w:t xml:space="preserve">영상과 기존 실행  </w:t>
      </w:r>
      <w:r>
        <w:rPr>
          <w:rFonts w:ascii="NanumGothic" w:hAnsi="NanumGothic" w:eastAsia="NanumGothic" w:cs="NanumGothic"/>
          <w:color w:val="000000"/>
        </w:rPr>
        <w:t>영상의 새 조작은 가상 응답이며, 기존 실검증 부분은 제공된 실행 기록의 요약입니다. 한 번의 완전한 실제 연동 촬영처럼 설명하지 않습니다.</w:t>
      </w:r>
    </w:p>
    <w:p>
      <w:r>
        <w:rPr>
          <w:rFonts w:ascii="NanumGothic" w:hAnsi="NanumGothic" w:eastAsia="NanumGothic" w:cs="NanumGothic"/>
          <w:b/>
          <w:color w:val="000000"/>
        </w:rPr>
        <w:t xml:space="preserve">검사 통과와 정확도  </w:t>
      </w:r>
      <w:r>
        <w:rPr>
          <w:rFonts w:ascii="NanumGothic" w:hAnsi="NanumGothic" w:eastAsia="NanumGothic" w:cs="NanumGothic"/>
          <w:color w:val="000000"/>
        </w:rPr>
        <w:t>기능 검사가 통과한 수는 사진 인식 정확도나 임상 효과 수치가 아닙니다. 기획서의 약 20건·5~20명 시험은 완료 성과로 말하지 않습니다.</w:t>
      </w:r>
    </w:p>
    <w:p>
      <w:pPr>
        <w:spacing w:line="280" w:lineRule="exact"/>
      </w:pPr>
      <w:r>
        <w:rPr>
          <w:rFonts w:ascii="NanumGothic" w:hAnsi="NanumGothic" w:eastAsia="NanumGothic" w:cs="NanumGothic"/>
          <w:b w:val="0"/>
          <w:color w:val="000000"/>
          <w:sz w:val="21"/>
        </w:rPr>
        <w:t>근거 [2][6]. 초기 README와 과거 문서에는 당시 “실연동 미완료” 문구가 남아 있습니다. 발표에서는 이후 제공된 실행 증거와 그 제한 범위를 함께 사용합니다.</w:t>
      </w:r>
    </w:p>
    <w:p>
      <w:pPr>
        <w:pStyle w:val="Heading1"/>
        <w:pageBreakBefore/>
      </w:pPr>
      <w:r>
        <w:t>개발 분담과 화면을 단순하게 만든 이유</w:t>
      </w:r>
    </w:p>
    <w:tbl>
      <w:tblPr>
        <w:tblW w:type="auto" w:w="0"/>
        <w:jc w:val="center"/>
        <w:tblLayout w:type="fixed"/>
        <w:tblLook w:firstColumn="1" w:firstRow="1" w:lastColumn="0" w:lastRow="0" w:noHBand="0" w:noVBand="1" w:val="04A0"/>
      </w:tblPr>
      <w:tblGrid>
        <w:gridCol w:w="1800"/>
        <w:gridCol w:w="2376"/>
        <w:gridCol w:w="5760"/>
      </w:tblGrid>
      <w:tr>
        <w:trPr>
          <w:cantSplit/>
          <w:tblHeader/>
        </w:trPr>
        <w:tc>
          <w:tcPr>
            <w:tcW w:type="dxa" w:w="1800"/>
            <w:vAlign w:val="center"/>
            <w:shd w:fill="27495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color w:val="FFFFFF"/>
                <w:sz w:val="22"/>
              </w:rPr>
              <w:t>팀원</w:t>
            </w:r>
          </w:p>
        </w:tc>
        <w:tc>
          <w:tcPr>
            <w:tcW w:type="dxa" w:w="2376"/>
            <w:vAlign w:val="center"/>
            <w:shd w:fill="27495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color w:val="FFFFFF"/>
                <w:sz w:val="22"/>
              </w:rPr>
              <w:t>담당</w:t>
            </w:r>
          </w:p>
        </w:tc>
        <w:tc>
          <w:tcPr>
            <w:tcW w:type="dxa" w:w="5760"/>
            <w:vAlign w:val="center"/>
            <w:shd w:fill="27495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color w:val="FFFFFF"/>
                <w:sz w:val="22"/>
              </w:rPr>
              <w:t>발표에서 설명할 산출물</w:t>
            </w:r>
          </w:p>
        </w:tc>
      </w:tr>
      <w:tr>
        <w:trPr>
          <w:cantSplit/>
        </w:trPr>
        <w:tc>
          <w:tcPr>
            <w:tcW w:type="dxa" w:w="1800"/>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김수정</w:t>
            </w:r>
          </w:p>
        </w:tc>
        <w:tc>
          <w:tcPr>
            <w:tcW w:type="dxa" w:w="2376"/>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AI 문서인식</w:t>
            </w:r>
          </w:p>
        </w:tc>
        <w:tc>
          <w:tcPr>
            <w:tcW w:type="dxa" w:w="5760"/>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약 이름·용량 등 추출 후보와 결과 검토</w:t>
            </w:r>
          </w:p>
        </w:tc>
      </w:tr>
      <w:tr>
        <w:trPr>
          <w:cantSplit/>
        </w:trPr>
        <w:tc>
          <w:tcPr>
            <w:tcW w:type="dxa" w:w="1800"/>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공미순</w:t>
            </w:r>
          </w:p>
        </w:tc>
        <w:tc>
          <w:tcPr>
            <w:tcW w:type="dxa" w:w="2376"/>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데이터·백엔드</w:t>
            </w:r>
          </w:p>
        </w:tc>
        <w:tc>
          <w:tcPr>
            <w:tcW w:type="dxa" w:w="5760"/>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식약처 연결과 제품·성분·단위 정규화</w:t>
            </w:r>
          </w:p>
        </w:tc>
      </w:tr>
      <w:tr>
        <w:trPr>
          <w:cantSplit/>
        </w:trPr>
        <w:tc>
          <w:tcPr>
            <w:tcW w:type="dxa" w:w="1800"/>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안영주</w:t>
            </w:r>
          </w:p>
        </w:tc>
        <w:tc>
          <w:tcPr>
            <w:tcW w:type="dxa" w:w="2376"/>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프론트엔드</w:t>
            </w:r>
          </w:p>
        </w:tc>
        <w:tc>
          <w:tcPr>
            <w:tcW w:type="dxa" w:w="5760"/>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가족 선택·업로드·내용 확인·결과 화면</w:t>
            </w:r>
          </w:p>
        </w:tc>
      </w:tr>
      <w:tr>
        <w:trPr>
          <w:cantSplit/>
        </w:trPr>
        <w:tc>
          <w:tcPr>
            <w:tcW w:type="dxa" w:w="1800"/>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최슬기 · 팀장</w:t>
            </w:r>
          </w:p>
        </w:tc>
        <w:tc>
          <w:tcPr>
            <w:tcW w:type="dxa" w:w="2376"/>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핵심엔진·통합</w:t>
            </w:r>
          </w:p>
        </w:tc>
        <w:tc>
          <w:tcPr>
            <w:tcW w:type="dxa" w:w="5760"/>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80" w:lineRule="exact"/>
            </w:pPr>
            <w:r>
              <w:rPr>
                <w:rFonts w:ascii="NanumGothic" w:hAnsi="NanumGothic" w:eastAsia="NanumGothic" w:cs="NanumGothic"/>
                <w:b w:val="0"/>
                <w:color w:val="000000"/>
                <w:sz w:val="22"/>
              </w:rPr>
              <w:t>이전·현재 비교, 실제 복용 상태, 기능 연결·검사</w:t>
            </w:r>
          </w:p>
        </w:tc>
      </w:tr>
    </w:tbl>
    <w:p>
      <w:pPr>
        <w:spacing w:after="40"/>
      </w:pPr>
      <w:r>
        <w:rPr>
          <w:rFonts w:ascii="NanumGothic" w:hAnsi="NanumGothic" w:eastAsia="NanumGothic" w:cs="NanumGothic"/>
          <w:b w:val="0"/>
          <w:color w:val="000000"/>
        </w:rPr>
      </w:r>
    </w:p>
    <w:p>
      <w:pPr>
        <w:spacing w:line="280" w:lineRule="exact"/>
      </w:pPr>
      <w:r>
        <w:rPr>
          <w:rFonts w:ascii="NanumGothic" w:hAnsi="NanumGothic" w:eastAsia="NanumGothic" w:cs="NanumGothic"/>
          <w:b w:val="0"/>
          <w:color w:val="000000"/>
          <w:sz w:val="21"/>
        </w:rPr>
        <w:t>최종 PPT에서 확인한 역할 기준입니다. 개인별 커밋 수나 전체 기여도를 정량 평가한 표는 아닙니다. 발표자는 팀원 중 한 명이며 팀장으로 가정하지 않습니다.</w:t>
      </w:r>
    </w:p>
    <w:p>
      <w:pPr>
        <w:pStyle w:val="Heading2"/>
      </w:pPr>
      <w:r>
        <w:t>누를 것이 많다는 문제를 화면 흐름으로 해결했습니다</w:t>
      </w:r>
    </w:p>
    <w:p>
      <w:r>
        <w:rPr>
          <w:rFonts w:ascii="NanumGothic" w:hAnsi="NanumGothic" w:eastAsia="NanumGothic" w:cs="NanumGothic"/>
          <w:b w:val="0"/>
          <w:color w:val="000000"/>
        </w:rPr>
        <w:t>처음 화면에서는 파일과 날짜 등록에 집중하고, 다음 단계에서 추출 내용을 확인하며, 마지막 단계에서 비교 결과와 실제 복용을 확인하도록 정리했습니다. 사진·HIRA·저장 기록을 구분하고, 상세·진단은 필요할 때 펼치게 했습니다.</w:t>
      </w:r>
    </w:p>
    <w:p>
      <w:r>
        <w:rPr>
          <w:rFonts w:ascii="NanumGothic" w:hAnsi="NanumGothic" w:eastAsia="NanumGothic" w:cs="NanumGothic"/>
          <w:b w:val="0"/>
          <w:color w:val="000000"/>
        </w:rPr>
        <w:t>저장 목록과 상세 화면을 분리해 결과를 찾기 쉽게 했고, 복용 상태는 선택 후 저장 버튼 하나로 반영하도록 바꿨습니다. 잘 보이는 글자 크기와 모바일 화면도 점검했다는 개발 기록이 있습니다. 실제 사용 편의성이 좋아졌는지는 후속 사용자 시험 대상입니다.</w:t>
      </w:r>
    </w:p>
    <w:p>
      <w:pPr>
        <w:pStyle w:val="Heading2"/>
      </w:pPr>
      <w:r>
        <w:t>문제 해결 사례로 설명할 수 있는 내용</w:t>
      </w:r>
    </w:p>
    <w:p>
      <w:r>
        <w:rPr>
          <w:rFonts w:ascii="NanumGothic" w:hAnsi="NanumGothic" w:eastAsia="NanumGothic" w:cs="NanumGothic"/>
          <w:b w:val="0"/>
          <w:color w:val="000000"/>
        </w:rPr>
        <w:t>HIRA 저장 목록을 새로고침하면 현재의 미저장 결과가 사라지는 문제가 있었습니다. 원인을 재현한 뒤 새로고침 시 결과와 저장 버튼을 유지하고, DB에 남은 초안을 복구하는 경로를 추가했습니다. 사용자는 복구한 결과를 저장하고 다시 열 수 있게 됐습니다.</w:t>
      </w:r>
    </w:p>
    <w:p>
      <w:r>
        <w:rPr>
          <w:rFonts w:ascii="NanumGothic" w:hAnsi="NanumGothic" w:eastAsia="NanumGothic" w:cs="NanumGothic"/>
          <w:b w:val="0"/>
          <w:color w:val="000000"/>
        </w:rPr>
        <w:t>또한 저장 응답이 끊겼을 때 화면의 실패 표시만 보고 다시 저장하면 중복 처리가 생길 수 있습니다. 개선 화면은 결과가 불명확한 상태를 구분하고 조회로 저장 여부를 확인하도록 했습니다. 모든 운영 환경에서 중복 처리가 없다는 보장으로 확대하지 않습니다.</w:t>
      </w:r>
    </w:p>
    <w:p>
      <w:pPr>
        <w:pStyle w:val="Heading2"/>
      </w:pPr>
      <w:r>
        <w:t>현재 저장 구조에서 이해할 점</w:t>
      </w:r>
    </w:p>
    <w:p>
      <w:r>
        <w:rPr>
          <w:rFonts w:ascii="NanumGothic" w:hAnsi="NanumGothic" w:eastAsia="NanumGothic" w:cs="NanumGothic"/>
          <w:b w:val="0"/>
          <w:color w:val="000000"/>
        </w:rPr>
        <w:t>사진과 HIRA 결과는 출처를 구분해 보관합니다. HIRA 저장은 제한된 원본 필드·정규화 결과·비교 및 보류 사유·별도 복용 상태를 담습니다. 원본 XLSX 파일 전체를 그대로 보관한다는 뜻은 아닙니다. 가족별 접근 검사와 동시 편집 충돌 해결은 별개의 문제입니다.</w:t>
      </w:r>
    </w:p>
    <w:p>
      <w:pPr>
        <w:spacing w:line="280" w:lineRule="exact"/>
      </w:pPr>
      <w:r>
        <w:rPr>
          <w:rFonts w:ascii="NanumGothic" w:hAnsi="NanumGothic" w:eastAsia="NanumGothic" w:cs="NanumGothic"/>
          <w:b w:val="0"/>
          <w:color w:val="000000"/>
          <w:sz w:val="21"/>
        </w:rPr>
        <w:t>근거: 최종 PPT와 사용자 제공 595e77f·ddabaa6·ccb2602 개선 보고, HIRA 저장 문서 [2][5][6].</w:t>
      </w:r>
    </w:p>
    <w:p>
      <w:pPr>
        <w:pStyle w:val="Heading1"/>
        <w:pageBreakBefore/>
      </w:pPr>
      <w:r>
        <w:t>발표 용어와 근거 확인</w:t>
      </w:r>
    </w:p>
    <w:tbl>
      <w:tblPr>
        <w:tblW w:type="auto" w:w="0"/>
        <w:jc w:val="center"/>
        <w:tblLayout w:type="fixed"/>
        <w:tblLook w:firstColumn="1" w:firstRow="1" w:lastColumn="0" w:lastRow="0" w:noHBand="0" w:noVBand="1" w:val="04A0"/>
      </w:tblPr>
      <w:tblGrid>
        <w:gridCol w:w="2520"/>
        <w:gridCol w:w="7416"/>
      </w:tblGrid>
      <w:tr>
        <w:trPr>
          <w:cantSplit/>
          <w:tblHeader/>
        </w:trPr>
        <w:tc>
          <w:tcPr>
            <w:tcW w:type="dxa" w:w="2520"/>
            <w:vAlign w:val="center"/>
            <w:shd w:fill="27495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color w:val="FFFFFF"/>
                <w:sz w:val="21"/>
              </w:rPr>
              <w:t>용어</w:t>
            </w:r>
          </w:p>
        </w:tc>
        <w:tc>
          <w:tcPr>
            <w:tcW w:type="dxa" w:w="7416"/>
            <w:vAlign w:val="center"/>
            <w:shd w:fill="27495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color w:val="FFFFFF"/>
                <w:sz w:val="21"/>
              </w:rPr>
              <w:t>발표자가 이해할 뜻</w:t>
            </w:r>
          </w:p>
        </w:tc>
      </w:tr>
      <w:tr>
        <w:trPr>
          <w:cantSplit/>
        </w:trPr>
        <w:tc>
          <w:tcPr>
            <w:tcW w:type="dxa" w:w="2520"/>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추출</w:t>
            </w:r>
          </w:p>
        </w:tc>
        <w:tc>
          <w:tcPr>
            <w:tcW w:type="dxa" w:w="7416"/>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사진에서 약 이름·함량·수량 등을 읽어 항목으로 나누는 일</w:t>
            </w:r>
          </w:p>
        </w:tc>
      </w:tr>
      <w:tr>
        <w:trPr>
          <w:cantSplit/>
        </w:trPr>
        <w:tc>
          <w:tcPr>
            <w:tcW w:type="dxa" w:w="2520"/>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정규화</w:t>
            </w:r>
          </w:p>
        </w:tc>
        <w:tc>
          <w:tcPr>
            <w:tcW w:type="dxa" w:w="7416"/>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다른 이름·단위 표기를 비교할 수 있는 형태로 맞추는 일</w:t>
            </w:r>
          </w:p>
        </w:tc>
      </w:tr>
      <w:tr>
        <w:trPr>
          <w:cantSplit/>
        </w:trPr>
        <w:tc>
          <w:tcPr>
            <w:tcW w:type="dxa" w:w="2520"/>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매칭</w:t>
            </w:r>
          </w:p>
        </w:tc>
        <w:tc>
          <w:tcPr>
            <w:tcW w:type="dxa" w:w="7416"/>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입력된 약 정보를 제품 정보와 대응시키는 일</w:t>
            </w:r>
          </w:p>
        </w:tc>
      </w:tr>
      <w:tr>
        <w:trPr>
          <w:cantSplit/>
        </w:trPr>
        <w:tc>
          <w:tcPr>
            <w:tcW w:type="dxa" w:w="2520"/>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비교 엔진</w:t>
            </w:r>
          </w:p>
        </w:tc>
        <w:tc>
          <w:tcPr>
            <w:tcW w:type="dxa" w:w="7416"/>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정리된 이전·현재 기록을 정해진 규칙으로 비교하는 코드</w:t>
            </w:r>
          </w:p>
        </w:tc>
      </w:tr>
      <w:tr>
        <w:trPr>
          <w:cantSplit/>
        </w:trPr>
        <w:tc>
          <w:tcPr>
            <w:tcW w:type="dxa" w:w="2520"/>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Mock / 모크</w:t>
            </w:r>
          </w:p>
        </w:tc>
        <w:tc>
          <w:tcPr>
            <w:tcW w:type="dxa" w:w="7416"/>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외부 서비스를 새로 호출하지 않고 준비한 시험 값을 돌려주는 방식</w:t>
            </w:r>
          </w:p>
        </w:tc>
      </w:tr>
      <w:tr>
        <w:trPr>
          <w:cantSplit/>
        </w:trPr>
        <w:tc>
          <w:tcPr>
            <w:tcW w:type="dxa" w:w="2520"/>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API / 에이피아이</w:t>
            </w:r>
          </w:p>
        </w:tc>
        <w:tc>
          <w:tcPr>
            <w:tcW w:type="dxa" w:w="7416"/>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다른 시스템과 정해진 형식으로 자료를 주고받는 연결 방식</w:t>
            </w:r>
          </w:p>
        </w:tc>
      </w:tr>
      <w:tr>
        <w:trPr>
          <w:cantSplit/>
        </w:trPr>
        <w:tc>
          <w:tcPr>
            <w:tcW w:type="dxa" w:w="2520"/>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HIRA / 심평원</w:t>
            </w:r>
          </w:p>
        </w:tc>
        <w:tc>
          <w:tcPr>
            <w:tcW w:type="dxa" w:w="7416"/>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건강보험심사평가원. 이번 시험은 합성 파일 처리 경로</w:t>
            </w:r>
          </w:p>
        </w:tc>
      </w:tr>
      <w:tr>
        <w:trPr>
          <w:cantSplit/>
        </w:trPr>
        <w:tc>
          <w:tcPr>
            <w:tcW w:type="dxa" w:w="2520"/>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MFDS / 식약처</w:t>
            </w:r>
          </w:p>
        </w:tc>
        <w:tc>
          <w:tcPr>
            <w:tcW w:type="dxa" w:w="7416"/>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식품의약품안전처. 이 프로젝트에서는 공식 약품 정보 확인에 사용</w:t>
            </w:r>
          </w:p>
        </w:tc>
      </w:tr>
      <w:tr>
        <w:trPr>
          <w:cantSplit/>
        </w:trPr>
        <w:tc>
          <w:tcPr>
            <w:tcW w:type="dxa" w:w="2520"/>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DUR</w:t>
            </w:r>
          </w:p>
        </w:tc>
        <w:tc>
          <w:tcPr>
            <w:tcW w:type="dxa" w:w="7416"/>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의약품안전사용서비스. 주의정보 연결은 이번 발표의 확장 계획</w:t>
            </w:r>
          </w:p>
        </w:tc>
      </w:tr>
      <w:tr>
        <w:trPr>
          <w:cantSplit/>
        </w:trPr>
        <w:tc>
          <w:tcPr>
            <w:tcW w:type="dxa" w:w="2520"/>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Gemini / 제미나이</w:t>
            </w:r>
          </w:p>
        </w:tc>
        <w:tc>
          <w:tcPr>
            <w:tcW w:type="dxa" w:w="7416"/>
            <w:vAlign w:val="center"/>
            <w:shd w:fill="FFFFFF"/>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사진에서 항목을 읽는 데 사용한 AI 서비스</w:t>
            </w:r>
          </w:p>
        </w:tc>
      </w:tr>
      <w:tr>
        <w:trPr>
          <w:cantSplit/>
        </w:trPr>
        <w:tc>
          <w:tcPr>
            <w:tcW w:type="dxa" w:w="2520"/>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DB / 데이터베이스</w:t>
            </w:r>
          </w:p>
        </w:tc>
        <w:tc>
          <w:tcPr>
            <w:tcW w:type="dxa" w:w="7416"/>
            <w:vAlign w:val="center"/>
            <w:shd w:fill="F2F5F6"/>
            <w:tcBorders>
              <w:top w:val="single" w:sz="5" w:color="D9D9D9"/>
              <w:left w:val="single" w:sz="5" w:color="D9D9D9"/>
              <w:bottom w:val="single" w:sz="5" w:color="D9D9D9"/>
              <w:right w:val="single" w:sz="5" w:color="D9D9D9"/>
            </w:tcBorders>
            <w:tcMar>
              <w:top w:w="80" w:type="dxa"/>
              <w:bottom w:w="80" w:type="dxa"/>
              <w:left w:w="80" w:type="dxa"/>
              <w:right w:w="80" w:type="dxa"/>
            </w:tcMar>
          </w:tcPr>
          <w:p>
            <w:pPr>
              <w:spacing w:after="20" w:before="20" w:line="270" w:lineRule="exact"/>
            </w:pPr>
            <w:r>
              <w:rPr>
                <w:rFonts w:ascii="NanumGothic" w:hAnsi="NanumGothic" w:eastAsia="NanumGothic" w:cs="NanumGothic"/>
                <w:b w:val="0"/>
                <w:color w:val="000000"/>
                <w:sz w:val="21"/>
              </w:rPr>
              <w:t>처리 결과 등 다시 조회할 정보를 보관하는 저장소</w:t>
            </w:r>
          </w:p>
        </w:tc>
      </w:tr>
    </w:tbl>
    <w:p>
      <w:pPr>
        <w:spacing w:after="40"/>
      </w:pPr>
      <w:r>
        <w:rPr>
          <w:rFonts w:ascii="NanumGothic" w:hAnsi="NanumGothic" w:eastAsia="NanumGothic" w:cs="NanumGothic"/>
          <w:b w:val="0"/>
          <w:color w:val="000000"/>
        </w:rPr>
      </w:r>
    </w:p>
    <w:p>
      <w:pPr>
        <w:pStyle w:val="Heading2"/>
      </w:pPr>
      <w:r>
        <w:t>이 문서의 근거</w:t>
      </w:r>
    </w:p>
    <w:p>
      <w:pPr>
        <w:spacing w:line="280" w:lineRule="exact"/>
      </w:pPr>
      <w:r>
        <w:rPr>
          <w:rFonts w:ascii="NanumGothic" w:hAnsi="NanumGothic" w:eastAsia="NanumGothic" w:cs="NanumGothic"/>
          <w:b w:val="0"/>
          <w:color w:val="000000"/>
          <w:sz w:val="21"/>
        </w:rPr>
        <w:t>[1] 4조 프로젝트기획서 약이음 1~2쪽. 개발 목적·기술 구상·역할 분야·향후 계획.</w:t>
      </w:r>
    </w:p>
    <w:p>
      <w:pPr>
        <w:spacing w:line="280" w:lineRule="exact"/>
      </w:pPr>
      <w:r>
        <w:rPr>
          <w:rFonts w:ascii="NanumGothic" w:hAnsi="NanumGothic" w:eastAsia="NanumGothic" w:cs="NanumGothic"/>
          <w:b w:val="0"/>
          <w:color w:val="000000"/>
          <w:sz w:val="21"/>
        </w:rPr>
        <w:t>[2] YAKEUM_PRESENTATION_EASY.pptx. 본문 1~12장, 부록 13~26장. 팀원 이름과 현재 발표 범위.</w:t>
      </w:r>
    </w:p>
    <w:p>
      <w:pPr>
        <w:spacing w:line="280" w:lineRule="exact"/>
      </w:pPr>
      <w:r>
        <w:rPr>
          <w:rFonts w:ascii="NanumGothic" w:hAnsi="NanumGothic" w:eastAsia="NanumGothic" w:cs="NanumGothic"/>
          <w:b w:val="0"/>
          <w:color w:val="000000"/>
          <w:sz w:val="21"/>
        </w:rPr>
        <w:t>[3] 저장소 ccb2602의 README.md, frontend/package.json, backend/requirements.txt. 구조·기술 확인.</w:t>
      </w:r>
    </w:p>
    <w:p>
      <w:pPr>
        <w:spacing w:line="280" w:lineRule="exact"/>
      </w:pPr>
      <w:r>
        <w:rPr>
          <w:rFonts w:ascii="NanumGothic" w:hAnsi="NanumGothic" w:eastAsia="NanumGothic" w:cs="NanumGothic"/>
          <w:b w:val="0"/>
          <w:color w:val="000000"/>
          <w:sz w:val="21"/>
        </w:rPr>
        <w:t>[4] backend/services/reconciliation/engine.py 및 current_intake.py. 제품 대응·비교·별도 복용 상태 코드 확인.</w:t>
      </w:r>
    </w:p>
    <w:p>
      <w:pPr>
        <w:spacing w:line="280" w:lineRule="exact"/>
      </w:pPr>
      <w:r>
        <w:rPr>
          <w:rFonts w:ascii="NanumGothic" w:hAnsi="NanumGothic" w:eastAsia="NanumGothic" w:cs="NanumGothic"/>
          <w:b w:val="0"/>
          <w:color w:val="000000"/>
          <w:sz w:val="21"/>
        </w:rPr>
        <w:t>[5] docs/integration/HIRA_COMPARISON_HOLD_V2.md, ACCOUNT_HIRA_STORAGE_V1.md. 보류·저장 의미 확인.</w:t>
      </w:r>
    </w:p>
    <w:p>
      <w:pPr>
        <w:spacing w:line="280" w:lineRule="exact"/>
      </w:pPr>
      <w:r>
        <w:rPr>
          <w:rFonts w:ascii="NanumGothic" w:hAnsi="NanumGothic" w:eastAsia="NanumGothic" w:cs="NanumGothic"/>
          <w:b w:val="0"/>
          <w:color w:val="000000"/>
          <w:sz w:val="21"/>
        </w:rPr>
        <w:t>[6] 사용자 제공 Render 응답·저장 및 재조회 화면·개발 완료 보고. 실제 실행 성공 범위의 근거.</w:t>
      </w:r>
    </w:p>
    <w:p>
      <w:pPr>
        <w:spacing w:line="280" w:lineRule="exact"/>
      </w:pPr>
      <w:r>
        <w:rPr>
          <w:rFonts w:ascii="NanumGothic" w:hAnsi="NanumGothic" w:eastAsia="NanumGothic" w:cs="NanumGothic"/>
          <w:b w:val="0"/>
          <w:color w:val="000000"/>
          <w:sz w:val="21"/>
        </w:rPr>
        <w:t>[7] docs/integration/RENDER_GEMINI_RESTRICTED.md. 관리자·동의·지정 PNG·총 2회 DB 슬롯 제한 경로.</w:t>
      </w:r>
    </w:p>
    <w:p>
      <w:pPr>
        <w:spacing w:line="280" w:lineRule="exact"/>
      </w:pPr>
      <w:r>
        <w:rPr>
          <w:rFonts w:ascii="NanumGothic" w:hAnsi="NanumGothic" w:eastAsia="NanumGothic" w:cs="NanumGothic"/>
          <w:b w:val="0"/>
          <w:color w:val="000000"/>
          <w:sz w:val="21"/>
        </w:rPr>
        <w:t>[8] 기존 서비스 비교의 공식 출처와 상세 URL은 최종 PPT 5장·26장 및 발표자 노트에 수록.</w:t>
      </w:r>
    </w:p>
    <w:p>
      <w:pPr>
        <w:spacing w:line="280" w:lineRule="exact"/>
      </w:pPr>
      <w:r>
        <w:rPr>
          <w:rFonts w:ascii="NanumGothic" w:hAnsi="NanumGothic" w:eastAsia="NanumGothic" w:cs="NanumGothic"/>
          <w:b w:val="0"/>
          <w:color w:val="000000"/>
          <w:sz w:val="21"/>
        </w:rPr>
        <w:t>코드·문서 기준 주소: https://github.com/seulkichoe80-hash/yakeum/tree/ccb2602</w:t>
      </w:r>
    </w:p>
    <w:p>
      <w:pPr>
        <w:spacing w:line="280" w:lineRule="exact"/>
      </w:pPr>
      <w:r>
        <w:rPr>
          <w:rFonts w:ascii="NanumGothic" w:hAnsi="NanumGothic" w:eastAsia="NanumGothic" w:cs="NanumGothic"/>
          <w:b w:val="0"/>
          <w:color w:val="000000"/>
          <w:sz w:val="21"/>
        </w:rPr>
        <w:t>발표 전 스스로 설명해 보기: 100 mg과 2정의 차이 / Gemini와 식약처의 역할 / 보류와 0건의 차이 / 사진과 HIRA의 실제 검증 범위 / 저장과 복용 확인의 차이.</w:t>
      </w:r>
    </w:p>
    <w:sectPr w:rsidR="00FC693F" w:rsidRPr="0006063C" w:rsidSect="00034616">
      <w:headerReference w:type="default" r:id="rId9"/>
      <w:footerReference w:type="default" r:id="rId10"/>
      <w:pgSz w:w="12240" w:h="15840"/>
      <w:pgMar w:top="950"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Gothic" w:hAnsi="NanumGothic" w:eastAsia="NanumGothic" w:cs="NanumGothic"/>
        <w:color w:val="666666"/>
        <w:sz w:val="18"/>
      </w:rPr>
      <w:t xml:space="preserve">2026.10.31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anumGothic" w:hAnsi="NanumGothic" w:eastAsia="NanumGothic" w:cs="NanumGothic"/>
        <w:color w:val="000000"/>
        <w:sz w:val="18"/>
      </w:rPr>
      <w:t>약이음  |  신세계 New_World  |  발표자를 위한 개발 해설서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30" w:lineRule="exact"/>
    </w:pPr>
    <w:rPr>
      <w:rFonts w:ascii="NanumGothic" w:hAnsi="NanumGothic" w:eastAsia="NanumGothic" w:cs="NanumGothic"/>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500" w:lineRule="exact"/>
      <w:outlineLvl w:val="0"/>
    </w:pPr>
    <w:rPr>
      <w:rFonts w:ascii="NanumGothic" w:hAnsi="NanumGothic" w:eastAsia="NanumGothic" w:cs="NanumGothic"/>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20" w:line="380" w:lineRule="exact"/>
      <w:outlineLvl w:val="1"/>
    </w:pPr>
    <w:rPr>
      <w:rFonts w:ascii="NanumGothic" w:hAnsi="NanumGothic" w:eastAsia="NanumGothic" w:cs="NanumGothi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20" w:line="340" w:lineRule="exact"/>
      <w:outlineLvl w:val="2"/>
    </w:pPr>
    <w:rPr>
      <w:rFonts w:ascii="NanumGothic" w:hAnsi="NanumGothic" w:eastAsia="NanumGothic" w:cs="NanumGothi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600" w:lineRule="exact" w:before="180"/>
      <w:contextualSpacing/>
    </w:pPr>
    <w:rPr>
      <w:rFonts w:ascii="NanumGothic" w:hAnsi="NanumGothic" w:eastAsia="NanumGothic" w:cs="NanumGothic"/>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약이음 발표자를 위한 개발 해설서</dc:title>
  <dc:subject>최종 발표 PPT ccb2602 기준 발표자 준비 자료</dc:subject>
  <dc:creator>신세계 New_World</dc:creator>
  <cp:keywords>약이음, 발표, 개발 해설, 합성 자료 검증</cp:keywords>
  <dc:description>generated by python-docx</dc:description>
  <cp:lastModifiedBy/>
  <cp:revision>1</cp:revision>
  <dcterms:created xsi:type="dcterms:W3CDTF">2013-12-23T23:15:00Z</dcterms:created>
  <dcterms:modified xsi:type="dcterms:W3CDTF">2013-12-23T23:15:00Z</dcterms:modified>
  <cp:category/>
</cp:coreProperties>
</file>