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Antenatal Care Utilisation in Rural Districts</w:t>
      </w:r>
    </w:p>
    <w:p>
      <w:pPr>
        <w:pStyle w:val="Heading1"/>
      </w:pPr>
      <w:r>
        <w:t>Introduction</w:t>
      </w:r>
    </w:p>
    <w:p>
      <w:r>
        <w:t>Antenatal care reduces maternal and newborn risk, yet attendance in rural districts remains low. This chapter reports a mixed-methods study of the barriers women describe and the patterns visible in clinic records.</w:t>
      </w:r>
    </w:p>
    <w:p>
      <w:pPr>
        <w:pStyle w:val="Heading1"/>
      </w:pPr>
      <w:r>
        <w:t>Research Questions</w:t>
      </w:r>
    </w:p>
    <w:p>
      <w:r>
        <w:t>What factors are associated with utilisation of antenatal care in rural districts?</w:t>
      </w:r>
    </w:p>
    <w:p>
      <w:r>
        <w:t>How do travel distance and cost affect attendance at antenatal clinics?</w:t>
      </w:r>
    </w:p>
    <w:p>
      <w:pPr>
        <w:pStyle w:val="Heading1"/>
      </w:pPr>
      <w:r>
        <w:t>Methodology</w:t>
      </w:r>
    </w:p>
    <w:p>
      <w:r>
        <w:t>We reviewed 1,240 clinic records and interviewed 36 women — a purposive sample drawn from three districts.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Interviews</w:t>
            </w:r>
          </w:p>
        </w:tc>
      </w:tr>
      <w:tr>
        <w:tc>
          <w:tcPr>
            <w:tcW w:type="dxa" w:w="4320"/>
          </w:tcPr>
          <w:p>
            <w:r>
              <w:t>North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South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</w:tbl>
    <w:p>
      <w:pPr>
        <w:pStyle w:val="Heading1"/>
      </w:pPr>
      <w:r>
        <w:t>Findings</w:t>
      </w:r>
    </w:p>
    <w:p>
      <w:r>
        <w:t>Attendance was highest where transport support existed.</w:t>
      </w:r>
    </w:p>
    <w:p>
      <w:pPr>
        <w:pStyle w:val="Heading1"/>
      </w:pPr>
      <w:r>
        <w:t>Conclusion</w:t>
      </w:r>
    </w:p>
    <w:p>
      <w:r>
        <w:t>Transport support is the most promising lever identified in this study.</w:t>
      </w:r>
    </w:p>
    <w:p>
      <w:pPr>
        <w:pStyle w:val="Heading1"/>
      </w:pPr>
      <w:r>
        <w:t>References</w:t>
      </w:r>
    </w:p>
    <w:p>
      <w:r>
        <w:t>Adeyemi, T. (2024). Clinic access in rural districts. Journal of Public Health, 12(3), 45-60.</w:t>
      </w:r>
    </w:p>
    <w:p>
      <w:r>
        <w:t>Okafor, N. and Bello, S. (2023). Transport costs and care seeking. Health Policy Review, 8(1), 12-30.</w:t>
      </w:r>
    </w:p>
    <w:p>
      <w:r>
        <w:t>Smith, J. (2022). Measuring attendance. Global Health Notes, 5(2), 101-115.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