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대한민국 정부 공문서 (시험용)</w:t>
      </w:r>
    </w:p>
    <w:p>
      <w:pPr>
        <w:pStyle w:val="Heading2"/>
      </w:pPr>
      <w:r>
        <w:t>제1조 (목적)</w:t>
      </w:r>
    </w:p>
    <w:p>
      <w:r>
        <w:t>이 규정은 MDM 파서의 한국어 공문서 변환 품질을 평가하기 위한 시험용 문서입니다.</w:t>
      </w:r>
    </w:p>
    <w:p>
      <w:pPr>
        <w:pStyle w:val="Heading2"/>
      </w:pPr>
      <w:r>
        <w:t>제2조 (정의)</w:t>
      </w:r>
    </w:p>
    <w:p>
      <w:r>
        <w:t>이 규정에서 사용하는 용어의 뜻은 다음과 같다.</w:t>
      </w:r>
    </w:p>
    <w:p>
      <w:r>
        <w:t>1. "파서"란 문서를 구조적으로 분석하는 소프트웨어를 말한다.</w:t>
      </w:r>
    </w:p>
    <w:p>
      <w:r>
        <w:t>2. "마크다운"이란 경량 마크업 언어를 말한다.</w:t>
      </w:r>
    </w:p>
    <w:p>
      <w:r>
        <w:t>3. "변환"이란 한 형식에서 다른 형식으로 바꾸는 것을 말한다.</w:t>
      </w:r>
    </w:p>
    <w:p>
      <w:pPr>
        <w:pStyle w:val="Heading2"/>
      </w:pPr>
      <w:r>
        <w:t>제3조 (적용 범위)</w:t>
      </w:r>
    </w:p>
    <w:p>
      <w:r>
        <w:t>① 이 규정은 다음 각 호의 문서에 적용한다.</w:t>
      </w:r>
    </w:p>
    <w:p>
      <w:r>
        <w:t xml:space="preserve">  1. HWP 형식의 공문서</w:t>
      </w:r>
    </w:p>
    <w:p>
      <w:r>
        <w:t xml:space="preserve">  2. PDF 형식의 보고서</w:t>
      </w:r>
    </w:p>
    <w:p>
      <w:r>
        <w:t xml:space="preserve">  3. DOCX 형식의 일반 문서</w:t>
      </w:r>
    </w:p>
    <w:p>
      <w:r>
        <w:t>② 제1항에도 불구하고, 보안 문서는 이 규정의 적용 대상에서 제외한다.</w:t>
      </w:r>
    </w:p>
    <w:p>
      <w:pPr>
        <w:pStyle w:val="Heading2"/>
      </w:pPr>
      <w:r>
        <w:t>별표 1: 문서 형식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형식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개발사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특징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지원 여부</w:t>
            </w:r>
          </w:p>
        </w:tc>
      </w:tr>
      <w:tr>
        <w:tc>
          <w:tcPr>
            <w:tcW w:type="dxa" w:w="2160"/>
          </w:tcPr>
          <w:p>
            <w:r>
              <w:t>HWP</w:t>
            </w:r>
          </w:p>
        </w:tc>
        <w:tc>
          <w:tcPr>
            <w:tcW w:type="dxa" w:w="2160"/>
          </w:tcPr>
          <w:p>
            <w:r>
              <w:t>한컴</w:t>
            </w:r>
          </w:p>
        </w:tc>
        <w:tc>
          <w:tcPr>
            <w:tcW w:type="dxa" w:w="2160"/>
          </w:tcPr>
          <w:p>
            <w:r>
              <w:t>한국 정부 표준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Adobe</w:t>
            </w:r>
          </w:p>
        </w:tc>
        <w:tc>
          <w:tcPr>
            <w:tcW w:type="dxa" w:w="2160"/>
          </w:tcPr>
          <w:p>
            <w:r>
              <w:t>범용 문서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국제 표준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2"/>
      </w:pPr>
      <w:r>
        <w:t>부칙</w:t>
      </w:r>
    </w:p>
    <w:p>
      <w:r>
        <w:t>이 규정은 2026년 4월 13일부터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