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Vancouver</w:t>
      </w:r>
      <w:r>
        <w:t xml:space="preserve"> </w:t>
      </w:r>
      <w:r>
        <w:t xml:space="preserve">Housing</w:t>
      </w:r>
      <w:r>
        <w:t xml:space="preserve"> </w:t>
      </w:r>
      <w:r>
        <w:t xml:space="preserve">Market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3/29/2020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study price trends in Vancouver housing market.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use BC Assessment housing transaction data. The data is available for January 2000 to August 8 2018. We have 867,216 observations.</w:t>
      </w:r>
    </w:p>
    <w:p>
      <w:pPr>
        <w:pStyle w:val="Heading1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The following graph shows how average transaction price has changed over time.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example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shows that average price has increased about 450 % for Single Family houses and 350 % for condos and townhouses.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Vancouver Housing Market Analysis</dc:title>
  <dc:creator>Sanghoon Lee</dc:creator>
  <cp:keywords/>
  <dcterms:created xsi:type="dcterms:W3CDTF">2020-03-30T21:37:39Z</dcterms:created>
  <dcterms:modified xsi:type="dcterms:W3CDTF">2020-03-30T21:37:39Z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3/29/2020</vt:lpwstr>
  </property>
  <property fmtid="{D5CDD505-2E9C-101B-9397-08002B2CF9AE}" pid="3" name="output">
    <vt:lpwstr>word_document</vt:lpwstr>
  </property>
</Properties>
</file>