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243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9"/>
        <w:gridCol w:w="1442"/>
      </w:tblGrid>
      <w:tr>
        <w:trPr>
          <w:trHeight w:val="416"/>
        </w:trPr>
        <w:tc>
          <w:tcPr>
            <w:tcW w:w="98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팀번호</w:t>
            </w:r>
          </w:p>
        </w:tc>
        <w:tc>
          <w:tcPr>
            <w:tcW w:w="1442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before="0" w:after="0" w:line="240" w:lineRule="auto"/>
              <w:jc w:val="center"/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함초롬돋움" w:eastAsia="함초롬돋움"/>
          <w:b/>
          <w:color w:val="000000"/>
          <w:sz w:val="10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함초롬돋움" w:hAnsi="함초롬돋움" w:eastAsia="함초롬돋움"/>
          <w:b/>
        </w:rPr>
        <w:t>2026-하계 세종창의학기제(집중이수제) 주간학습보고서 (3주차)</w:t>
      </w:r>
    </w:p>
    <w:tbl>
      <w:tblPr>
        <w:tblOverlap w:val="never"/>
        <w:tblW w:w="1005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39"/>
        <w:gridCol w:w="2720"/>
        <w:gridCol w:w="1111"/>
        <w:gridCol w:w="2425"/>
        <w:gridCol w:w="1123"/>
        <w:gridCol w:w="253"/>
        <w:gridCol w:w="983"/>
      </w:tblGrid>
      <w:tr>
        <w:trPr>
          <w:trHeight w:val="48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창의과제</w:t>
            </w:r>
          </w:p>
        </w:tc>
        <w:tc>
          <w:tcPr>
            <w:tcW w:w="8617" w:type="dxa"/>
            <w:gridSpan w:val="6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청년 금융지원 통합 플랫폼 앱 개발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이름</w:t>
            </w:r>
          </w:p>
        </w:tc>
        <w:tc>
          <w:tcPr>
            <w:tcW w:w="2720" w:type="dxa"/>
            <w:tcBorders>
              <w:top w:val="single" w:color="000000" w:sz="9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9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학습기간</w:t>
            </w:r>
          </w:p>
        </w:tc>
        <w:tc>
          <w:tcPr>
            <w:tcW w:w="4785" w:type="dxa"/>
            <w:gridSpan w:val="4"/>
            <w:tcBorders>
              <w:top w:val="single" w:color="000000" w:sz="9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2026. 7. 13. ~ 2026. 7. 19.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2"/>
              <w:left w:val="single" w:color="000000" w:sz="9"/>
              <w:bottom w:val="single" w:color="000000" w:sz="2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학번</w:t>
            </w:r>
          </w:p>
        </w:tc>
        <w:tc>
          <w:tcPr>
            <w:tcW w:w="272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학습주차</w:t>
            </w:r>
          </w:p>
        </w:tc>
        <w:tc>
          <w:tcPr>
            <w:tcW w:w="2425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3주차</w:t>
            </w:r>
          </w:p>
        </w:tc>
        <w:tc>
          <w:tcPr>
            <w:tcW w:w="1123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학습시간</w:t>
            </w:r>
          </w:p>
        </w:tc>
        <w:tc>
          <w:tcPr>
            <w:tcW w:w="1237" w:type="dxa"/>
            <w:gridSpan w:val="2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12시간</w:t>
            </w:r>
          </w:p>
        </w:tc>
      </w:tr>
      <w:tr>
        <w:trPr>
          <w:trHeight w:val="483"/>
        </w:trPr>
        <w:tc>
          <w:tcPr>
            <w:tcW w:w="1439" w:type="dxa"/>
            <w:tcBorders>
              <w:top w:val="single" w:color="000000" w:sz="2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학과(전공)</w:t>
            </w:r>
          </w:p>
        </w:tc>
        <w:tc>
          <w:tcPr>
            <w:tcW w:w="2720" w:type="dxa"/>
            <w:tcBorders>
              <w:top w:val="single" w:color="000000" w:sz="2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</w:r>
          </w:p>
        </w:tc>
        <w:tc>
          <w:tcPr>
            <w:tcW w:w="1111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과목명</w:t>
            </w:r>
          </w:p>
        </w:tc>
        <w:tc>
          <w:tcPr>
            <w:tcW w:w="2425" w:type="dxa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자기주도창의전공 3</w:t>
            </w:r>
          </w:p>
        </w:tc>
        <w:tc>
          <w:tcPr>
            <w:tcW w:w="1123" w:type="dxa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2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수강학점</w:t>
            </w:r>
          </w:p>
        </w:tc>
        <w:tc>
          <w:tcPr>
            <w:tcW w:w="1237" w:type="dxa"/>
            <w:gridSpan w:val="2"/>
            <w:tcBorders>
              <w:top w:val="single" w:color="000000" w:sz="9"/>
              <w:left w:val="single" w:color="000000" w:sz="2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3학점</w:t>
            </w:r>
          </w:p>
        </w:tc>
      </w:tr>
      <w:tr>
        <w:trPr>
          <w:trHeight w:val="426"/>
        </w:trPr>
        <w:tc>
          <w:tcPr>
            <w:tcW w:w="10056" w:type="dxa"/>
            <w:gridSpan w:val="7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d9d9d9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/>
                <w:b/>
                <w:color w:val="0000ff"/>
                <w:sz w:val="16"/>
                <w:shd w:val="clear" w:color="000000"/>
              </w:rPr>
              <w:t xml:space="preserve"> </w:t>
            </w:r>
            <w:r>
              <w:rPr>
                <w:rFonts w:ascii="함초롬돋움"/>
                <w:b/>
                <w:color w:val="0000ff"/>
                <w:sz w:val="16"/>
                <w:shd w:val="clear" w:color="000000"/>
              </w:rPr>
              <w:t>※</w:t>
            </w:r>
            <w:r>
              <w:rPr>
                <w:rFonts w:ascii="함초롬돋움" w:eastAsia="함초롬돋움"/>
                <w:b/>
                <w:color w:val="0000ff"/>
                <w:sz w:val="16"/>
                <w:shd w:val="clear" w:color="000000"/>
              </w:rPr>
              <w:t xml:space="preserve"> 수강학점에 따른 회차별 학습시간 및 5회차 이상 학습 준수</w:t>
            </w:r>
          </w:p>
        </w:tc>
      </w:tr>
      <w:tr>
        <w:trPr>
          <w:trHeight w:val="593"/>
        </w:trPr>
        <w:tc>
          <w:tcPr>
            <w:tcW w:w="1439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금주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학습목표</w:t>
            </w:r>
          </w:p>
        </w:tc>
        <w:tc>
          <w:tcPr>
            <w:tcW w:w="8617" w:type="dxa"/>
            <w:gridSpan w:val="6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left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7"/>
              </w:rPr>
              <w:t>가입상품과 납입 이력을 반영하는 통합 저축 관리 프로토타입을 완성하고, 상품별 납입 규칙·목표 달성률·중도해지 계산의 정합성을 높인다.</w:t>
            </w:r>
          </w:p>
        </w:tc>
      </w:tr>
      <w:tr>
        <w:trPr>
          <w:trHeight w:val="3120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학습내용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1. 홈·적금 찾기·내 플랜·추가 혜택·MY의 5탭 정보구조와 반응형 모바일 UI를 통합하였다.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2. 가입상품 등록, 관심상품 저장, 납입 기록 생성·수정·삭제, 플랜 목표 수정 API와 화면을 연결하였다.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3. 정액·자유·증액 적립식 및 월/주 납입 주기에 따라 허용 납입액을 서버에서 검증하도록 확장하였다.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4. 현재액·기초잔액·납입 이력으로 목표 달성률과 상품별 기여도를 계산하고, 만기·중도해지 시 예상 기간과 이자 변화를 재계산하였다.</w:t>
            </w:r>
            <w:r>
              <w:br/>
            </w:r>
            <w:r>
              <w:rPr>
                <w:rFonts w:ascii="함초롬돋움" w:hAnsi="함초롬돋움" w:eastAsia="함초롬돋움"/>
                <w:b w:val="0"/>
                <w:sz w:val="16"/>
              </w:rPr>
              <w:t>5. 데이터 모델·REST API·핵심 계산식·화면 명세를 통합 설계서로 정리하고 빌드 및 Android 실행 흐름을 점검하였다.</w:t>
            </w:r>
          </w:p>
        </w:tc>
      </w:tr>
      <w:tr>
        <w:trPr>
          <w:trHeight w:val="85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학습방법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7/13 사용자 상태·가입상품 모델 점검 2시간 / 7/14 납입 CRUD·검증 구현 3시간 / 7/15 플랜·중도해지 계산 개선 3시간 / 7/16 통합 UI·예외 상태 점검 2시간 / 7/17 설계서·빌드·Android 실행 확인 2시간 (총 12시간)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학습성과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및 목표달성도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  <w:rPr>
                <w:rFonts w:ascii="함초롬돋움" w:eastAsia="함초롬돋움"/>
                <w:color w:val="000000"/>
                <w:shd w:val="clear" w:color="000000"/>
              </w:rPr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저축 목표 설정부터 상품 탐색, 가입상품과 납입 기록 관리, 목표 진행률 확인, 중도해지 영향 반영까지 이어지는 통합 프로토타입을 완성하였다. 서버 검증과 DB 마이그레이션으로 데이터 정합성을 강화했으며 목표달성도는 약 95%이다.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함초롬돋움"/>
                <w:b/>
                <w:shd w:val="clear" w:color="000000"/>
              </w:rPr>
              <w:t>참고자료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및 문헌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</w:pPr>
            <w:r>
              <w:rPr>
                <w:rFonts w:ascii="함초롬돋움" w:hAnsi="함초롬돋움" w:eastAsia="함초롬돋움"/>
                <w:b w:val="0"/>
                <w:sz w:val="15"/>
              </w:rPr>
              <w:t>프로젝트 통합설계서 v2.0, Supabase PostgreSQL/RPC 문서, Capacitor Android 문서, React 접근성 지침, 저장소 커밋 af724b7 및 migrations 004~010</w:t>
            </w:r>
          </w:p>
        </w:tc>
      </w:tr>
      <w:tr>
        <w:trPr>
          <w:trHeight w:val="1028"/>
        </w:trPr>
        <w:tc>
          <w:tcPr>
            <w:tcW w:w="1439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e0eed1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함초롬돋움" w:eastAsia="함초롬돋움"/>
                <w:b/>
                <w:shd w:val="clear" w:color="000000"/>
              </w:rPr>
              <w:t>내주 계획</w:t>
            </w:r>
          </w:p>
        </w:tc>
        <w:tc>
          <w:tcPr>
            <w:tcW w:w="8617" w:type="dxa"/>
            <w:gridSpan w:val="6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top"/>
          </w:tcPr>
          <w:p>
            <w:pPr>
              <w:pStyle w:val="0"/>
              <w:widowControl w:val="off"/>
              <w:spacing w:line="240" w:lineRule="auto" w:before="0" w:after="0"/>
            </w:pPr>
            <w:r>
              <w:rPr>
                <w:rFonts w:ascii="함초롬돋움" w:hAnsi="함초롬돋움" w:eastAsia="함초롬돋움"/>
                <w:b w:val="0"/>
                <w:sz w:val="16"/>
              </w:rPr>
              <w:t>실사용자 인증과 사용자별 RLS 정책을 적용하고, 핵심 API 통합 테스트·E2E 테스트·구조화 로그를 추가한다. 금융기관 신청 딥링크와 정책 혜택 운영 API 연동도 검토한다.</w:t>
            </w:r>
          </w:p>
        </w:tc>
      </w:tr>
      <w:tr>
        <w:trPr>
          <w:trHeight w:val="625"/>
        </w:trPr>
        <w:tc>
          <w:tcPr>
            <w:tcW w:w="1439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z w:val="22"/>
                <w:shd w:val="clear" w:color="000000"/>
              </w:rPr>
            </w:pPr>
          </w:p>
        </w:tc>
        <w:tc>
          <w:tcPr>
            <w:tcW w:w="2720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right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  <w:tc>
          <w:tcPr>
            <w:tcW w:w="3802" w:type="dxa"/>
            <w:gridSpan w:val="3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 w:before="0" w:after="0"/>
              <w:jc w:val="center"/>
            </w:pPr>
            <w:r>
              <w:rPr>
                <w:rFonts w:ascii="함초롬돋움" w:hAnsi="함초롬돋움" w:eastAsia="함초롬돋움"/>
                <w:b w:val="0"/>
                <w:sz w:val="18"/>
              </w:rPr>
              <w:t>2026년  7월 19일</w:t>
            </w:r>
          </w:p>
        </w:tc>
        <w:tc>
          <w:tcPr>
            <w:tcW w:w="983" w:type="dxa"/>
            <w:tcBorders>
              <w:top w:val="single" w:color="000000" w:sz="9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z w:val="22"/>
                <w:shd w:val="clear" w:color="000000"/>
              </w:rPr>
            </w:pPr>
          </w:p>
        </w:tc>
      </w:tr>
      <w:tr>
        <w:trPr>
          <w:trHeight w:val="463"/>
        </w:trPr>
        <w:tc>
          <w:tcPr>
            <w:tcW w:w="14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</w:tc>
        <w:tc>
          <w:tcPr>
            <w:tcW w:w="2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color w:val="000000"/>
                <w:shd w:val="clear" w:color="000000"/>
              </w:rPr>
            </w:pPr>
          </w:p>
        </w:tc>
        <w:tc>
          <w:tcPr>
            <w:tcW w:w="111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wordWrap w:val="1"/>
              <w:spacing w:line="336" w:lineRule="auto"/>
              <w:jc w:val="right"/>
            </w:pPr>
            <w:r>
              <w:rPr>
                <w:rFonts w:eastAsia="함초롬돋움"/>
                <w:b/>
                <w:shd w:val="clear" w:color="000000"/>
              </w:rPr>
              <w:t>지도교수</w:t>
            </w:r>
          </w:p>
        </w:tc>
        <w:tc>
          <w:tcPr>
            <w:tcW w:w="3802" w:type="dxa"/>
            <w:gridSpan w:val="3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  <w:rPr>
                <w:rFonts w:ascii="함초롬돋움" w:eastAsia="함초롬돋움"/>
                <w:b/>
                <w:color w:val="000000"/>
                <w:shd w:val="clear" w:color="000000"/>
              </w:rPr>
            </w:pPr>
          </w:p>
        </w:tc>
        <w:tc>
          <w:tcPr>
            <w:tcW w:w="98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top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함초롬돋움" w:eastAsia="함초롬돋움"/>
                <w:b/>
                <w:shd w:val="clear" w:color="000000"/>
              </w:rPr>
              <w:t>(인)</w:t>
            </w:r>
          </w:p>
        </w:tc>
      </w:tr>
    </w:tbl>
    <w:p>
      <w:pPr>
        <w:pStyle w:val="0"/>
        <w:widowControl w:val="off"/>
        <w:wordWrap w:val="1"/>
        <w:jc w:val="center"/>
      </w:pPr>
    </w:p>
    <w:sectPr>
      <w:headerReference r:id="rId1" w:type="default"/>
      <w:headerReference r:id="rId2" w:type="default"/>
      <w:headerReference r:id="rId3" w:type="even"/>
      <w:headerReference r:id="rId4" w:type="default"/>
      <w:headerReference r:id="rId5" w:type="default"/>
      <w:headerReference r:id="rId6" w:type="even"/>
      <w:headerReference r:id="rId7" w:type="default"/>
      <w:headerReference r:id="rId8" w:type="even"/>
      <w:headerReference r:id="rId9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0" w:right="850" w:bottom="1700" w:left="850" w:header="850" w:footer="850" w:gutter="0"/>
      <w:cols w:space="0"/>
      <w:type w:val="continuous"/>
    </w:sectPr>
  </w:body>
</w:document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27051</wp:posOffset>
          </wp:positionH>
          <wp:positionV relativeFrom="page">
            <wp:posOffset>18669</wp:posOffset>
          </wp:positionV>
          <wp:extent cx="1871980" cy="438912"/>
          <wp:effectExtent l="0" t="0" r="0" b="0"/>
          <wp:wrapSquare wrapText="bothSides"/>
          <wp:docPr id="1" name="그림 %d 1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1980" cy="438912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3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2" name="그림 %d 2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5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3" name="그림 %d 3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4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844929" cy="432562"/>
          <wp:effectExtent l="0" t="0" r="0" b="0"/>
          <wp:wrapSquare wrapText="bothSides"/>
          <wp:docPr id="4" name="그림 %d 4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44929" cy="432562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5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6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7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  <w:rPr/>
    </w:pPr>
  </w:p>
</w:hdr>
</file>

<file path=word/header8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00988" cy="274320"/>
          <wp:effectExtent l="0" t="0" r="0" b="0"/>
          <wp:wrapSquare wrapText="bothSides"/>
          <wp:docPr id="5" name="그림 %d 5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988" cy="27432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header9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drawing>
        <wp:anchor distT="0" distB="0" distL="0" distR="0" simplePos="0" relativeHeight="7" behindDoc="0" locked="0" layoutInCell="1" allowOverlap="1">
          <wp:simplePos x="0" y="0"/>
          <wp:positionH relativeFrom="page">
            <wp:posOffset>18034</wp:posOffset>
          </wp:positionH>
          <wp:positionV relativeFrom="page">
            <wp:posOffset>0</wp:posOffset>
          </wp:positionV>
          <wp:extent cx="1809369" cy="424180"/>
          <wp:effectExtent l="0" t="0" r="0" b="0"/>
          <wp:wrapSquare wrapText="bothSides"/>
          <wp:docPr id="6" name="그림 %d 6"/>
          <wp:cNvGraphicFramePr/>
          <a:graphic>
            <a:graphicData uri="http://schemas.openxmlformats.org/drawingml/2006/picture">
              <pic:pic>
                <pic:nvPicPr>
                  <pic:cNvPr id="0" name="C:\Users\SEGASE~1\AppData\Local\Temp\Hnc\BinData\EMB0000480829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9369" cy="42418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pStyle w:val="9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pStyle w:val="10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evenAndOddHeaders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10" Type="http://schemas.openxmlformats.org/officeDocument/2006/relationships/settings" Target="settings.xml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header" Target="header4.xml"/><Relationship Id="rId5" Type="http://schemas.openxmlformats.org/officeDocument/2006/relationships/header" Target="header5.xml"/><Relationship Id="rId6" Type="http://schemas.openxmlformats.org/officeDocument/2006/relationships/header" Target="header6.xml"/><Relationship Id="rId7" Type="http://schemas.openxmlformats.org/officeDocument/2006/relationships/header" Target="header7.xml"/><Relationship Id="rId8" Type="http://schemas.openxmlformats.org/officeDocument/2006/relationships/header" Target="header8.xml"/><Relationship Id="rId9" Type="http://schemas.openxmlformats.org/officeDocument/2006/relationships/header" Target="header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0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</dc:title>
  <dc:creator>SEJONG</dc:creator>
  <cp:lastModifiedBy>segaseong</cp:lastModifiedBy>
  <dcterms:created xsi:type="dcterms:W3CDTF">2022-03-15T00:47:46.801</dcterms:created>
  <dcterms:modified xsi:type="dcterms:W3CDTF">2026-06-10T07:44:43.127</dcterms:modified>
  <cp:version>0501.0100.01</cp:version>
</cp:coreProperties>
</file>