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40"/>
          <w:szCs w:val="40"/>
        </w:rPr>
        <w:t xml:space="preserve">Supplementary Information</w:t>
      </w:r>
    </w:p>
    <w:p>
      <w:pPr>
        <w:spacing w:after="80" w:before="0"/>
        <w:jc w:val="center"/>
      </w:pPr>
      <w:r>
        <w:rPr>
          <w:rFonts w:ascii="Arial" w:cs="Arial" w:eastAsia="Arial" w:hAnsi="Arial"/>
          <w:sz w:val="24"/>
          <w:szCs w:val="24"/>
        </w:rPr>
        <w:t xml:space="preserve">A Digital–Climate Alignment Gap across 75 national</w:t>
      </w:r>
    </w:p>
    <w:p>
      <w:pPr>
        <w:spacing w:after="240" w:before="0"/>
        <w:jc w:val="center"/>
      </w:pPr>
      <w:r>
        <w:rPr>
          <w:rFonts w:ascii="Arial" w:cs="Arial" w:eastAsia="Arial" w:hAnsi="Arial"/>
          <w:sz w:val="24"/>
          <w:szCs w:val="24"/>
        </w:rPr>
        <w:t xml:space="preserve">AI and climate governance frameworks</w:t>
      </w:r>
    </w:p>
    <w:p>
      <w:pPr>
        <w:spacing w:after="480" w:before="0"/>
        <w:jc w:val="center"/>
      </w:pPr>
      <w:r>
        <w:rPr>
          <w:rFonts w:ascii="Arial" w:cs="Arial" w:eastAsia="Arial" w:hAnsi="Arial"/>
          <w:i/>
          <w:iCs/>
          <w:color w:val="606060"/>
          <w:sz w:val="20"/>
          <w:szCs w:val="20"/>
        </w:rPr>
        <w:t xml:space="preserve">Nature Sustainability</w:t>
      </w:r>
    </w:p>
    <w:p>
      <w:pPr>
        <w:pBdr>
          <w:bottom w:val="single" w:color="C0C0C0" w:sz="4" w:space="4"/>
        </w:pBdr>
        <w:spacing w:after="120" w:before="240"/>
      </w:pPr>
      <w:r>
        <w:rPr>
          <w:rFonts w:ascii="Arial" w:cs="Arial" w:eastAsia="Arial" w:hAnsi="Arial"/>
          <w:b/>
          <w:bCs/>
          <w:color w:val="1F4E79"/>
          <w:sz w:val="24"/>
          <w:szCs w:val="24"/>
        </w:rPr>
        <w:t xml:space="preserve">Contents</w:t>
      </w:r>
    </w:p>
    <w:p>
      <w:pPr>
        <w:spacing w:after="40" w:before="40"/>
        <w:ind w:left="360"/>
      </w:pPr>
      <w:r>
        <w:rPr>
          <w:rFonts w:ascii="Arial" w:cs="Arial" w:eastAsia="Arial" w:hAnsi="Arial"/>
          <w:sz w:val="20"/>
          <w:szCs w:val="20"/>
        </w:rPr>
        <w:t xml:space="preserve">Supplementary Note 1 — Author-led audit and verification protocol</w:t>
      </w:r>
    </w:p>
    <w:p>
      <w:pPr>
        <w:spacing w:after="40" w:before="40"/>
        <w:ind w:left="360"/>
      </w:pPr>
      <w:r>
        <w:rPr>
          <w:rFonts w:ascii="Arial" w:cs="Arial" w:eastAsia="Arial" w:hAnsi="Arial"/>
          <w:sz w:val="20"/>
          <w:szCs w:val="20"/>
        </w:rPr>
        <w:t xml:space="preserve">Supplementary Note 2 — CEI-1 codebook and threshold rules</w:t>
      </w:r>
    </w:p>
    <w:p>
      <w:pPr>
        <w:spacing w:after="40" w:before="40"/>
        <w:ind w:left="360"/>
      </w:pPr>
      <w:r>
        <w:rPr>
          <w:rFonts w:ascii="Arial" w:cs="Arial" w:eastAsia="Arial" w:hAnsi="Arial"/>
          <w:sz w:val="20"/>
          <w:szCs w:val="20"/>
        </w:rPr>
        <w:t xml:space="preserve">Supplementary Note 3 — Expansion layer data-status summary</w:t>
      </w:r>
    </w:p>
    <w:p>
      <w:pPr>
        <w:spacing w:after="40" w:before="40"/>
        <w:ind w:left="360"/>
      </w:pPr>
      <w:r>
        <w:rPr>
          <w:rFonts w:ascii="Arial" w:cs="Arial" w:eastAsia="Arial" w:hAnsi="Arial"/>
          <w:sz w:val="20"/>
          <w:szCs w:val="20"/>
        </w:rPr>
        <w:t xml:space="preserve">Supplementary Note 4 — ACI and CEIS indicator definitions</w:t>
      </w:r>
    </w:p>
    <w:p>
      <w:pPr>
        <w:spacing w:after="40" w:before="40"/>
        <w:ind w:left="360"/>
      </w:pPr>
      <w:r>
        <w:rPr>
          <w:rFonts w:ascii="Arial" w:cs="Arial" w:eastAsia="Arial" w:hAnsi="Arial"/>
          <w:sz w:val="20"/>
          <w:szCs w:val="20"/>
        </w:rPr>
        <w:t xml:space="preserve">Supplementary Note 5 — Scenario A/B/C and sensitivity rules</w:t>
      </w:r>
    </w:p>
    <w:p>
      <w:pPr>
        <w:spacing w:after="40" w:before="40"/>
        <w:ind w:left="360"/>
      </w:pPr>
      <w:r>
        <w:rPr>
          <w:rFonts w:ascii="Arial" w:cs="Arial" w:eastAsia="Arial" w:hAnsi="Arial"/>
          <w:sz w:val="20"/>
          <w:szCs w:val="20"/>
        </w:rPr>
        <w:t xml:space="preserve">Supplementary Note 6 — Limitations of document-based coding</w:t>
      </w:r>
    </w:p>
    <w:p>
      <w:pPr>
        <w:spacing w:after="40" w:before="40"/>
        <w:ind w:left="360"/>
      </w:pPr>
      <w:r>
        <w:rPr>
          <w:rFonts w:ascii="Arial" w:cs="Arial" w:eastAsia="Arial" w:hAnsi="Arial"/>
          <w:sz w:val="20"/>
          <w:szCs w:val="20"/>
        </w:rPr>
        <w:t xml:space="preserve">References to Supplementary Tables S1–S4</w:t>
      </w:r>
    </w:p>
    <w:p>
      <w:pPr>
        <w:spacing w:after="20" w:before="20"/>
      </w:pPr>
      <w:r>
        <w:t xml:space="preserve"/>
      </w:r>
    </w:p>
    <w:p>
      <w:pPr>
        <w:spacing w:after="20" w:before="20"/>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1 — Author-led Audit and Verification Protocol</w:t>
      </w:r>
    </w:p>
    <w:p>
      <w:pPr>
        <w:pStyle w:val="Heading2"/>
        <w:spacing w:after="80" w:before="200"/>
      </w:pPr>
      <w:r>
        <w:rPr>
          <w:rFonts w:ascii="Arial" w:cs="Arial" w:eastAsia="Arial" w:hAnsi="Arial"/>
          <w:b/>
          <w:bCs/>
          <w:color w:val="2E75B6"/>
          <w:sz w:val="24"/>
          <w:szCs w:val="24"/>
        </w:rPr>
        <w:t xml:space="preserve">1.1 Overview</w:t>
      </w:r>
    </w:p>
    <w:p>
      <w:pPr>
        <w:spacing w:after="80" w:before="80"/>
        <w:jc w:val="both"/>
      </w:pPr>
      <w:r>
        <w:rPr>
          <w:rFonts w:ascii="Arial" w:cs="Arial" w:eastAsia="Arial" w:hAnsi="Arial"/>
          <w:b w:val="false"/>
          <w:bCs w:val="false"/>
          <w:i w:val="false"/>
          <w:iCs w:val="false"/>
          <w:sz w:val="20"/>
          <w:szCs w:val="20"/>
        </w:rPr>
        <w:t xml:space="preserve">This study is based on an author-led, document-based comparative policy audit. All coding decisions were made by the author through manual review of official source documents against a pre-specified codebook. AI-assisted tools were not used to generate data, conduct analyses, make coding decisions, create figures or determine the study findings.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1.2 Use of official policy documents</w:t>
      </w:r>
    </w:p>
    <w:p>
      <w:pPr>
        <w:spacing w:after="80" w:before="80"/>
        <w:jc w:val="both"/>
      </w:pPr>
      <w:r>
        <w:rPr>
          <w:rFonts w:ascii="Arial" w:cs="Arial" w:eastAsia="Arial" w:hAnsi="Arial"/>
          <w:b w:val="false"/>
          <w:bCs w:val="false"/>
          <w:i w:val="false"/>
          <w:iCs w:val="false"/>
          <w:sz w:val="20"/>
          <w:szCs w:val="20"/>
        </w:rPr>
        <w:t xml:space="preserve">Primary sources for all ACI and CEIS indicator coding include officially adopted national AI strategy documents, national AI governance institution instruments, climate commitments submitted to the UNFCCC (NDC, Updated NDC, NDC 3.0, LT-LEDS/LTS), national energy-climate plans (NECP), and carbon reporting and pricing instruments. Where a document was accessed in full through direct retrieval of the official PDF (V-PDF tier), the author conducted text search and recorded the relevant section, page, and qualifying passage. Source documentation is registered in Supplementary Table S4.</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1.3 Coding rules and evidence hierarchy</w:t>
      </w:r>
    </w:p>
    <w:p>
      <w:pPr>
        <w:spacing w:after="80" w:before="80"/>
        <w:jc w:val="both"/>
      </w:pPr>
      <w:r>
        <w:rPr>
          <w:rFonts w:ascii="Arial" w:cs="Arial" w:eastAsia="Arial" w:hAnsi="Arial"/>
          <w:b w:val="false"/>
          <w:bCs w:val="false"/>
          <w:i w:val="false"/>
          <w:iCs w:val="false"/>
          <w:sz w:val="20"/>
          <w:szCs w:val="20"/>
        </w:rPr>
        <w:t xml:space="preserve">Coding followed a written codebook specifying qualifying criteria, threshold rules, primary-purpose rules, current-document rules, and a four-tier source hierarchy (V-PDF &gt; V-WEB &gt; S-WEB &gt; TK). The codebook was applied uniformly across all 75 countries. CEI-1 threshold rules (Rules 1–4) and Scenario A/B/C definitions are documented in Supplementary Note 2. Sensitivity and residual designation cases are registered in Supplementary Table S3.</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1.4 Version-controlled audit logs</w:t>
      </w:r>
    </w:p>
    <w:p>
      <w:pPr>
        <w:spacing w:after="80" w:before="80"/>
        <w:jc w:val="both"/>
      </w:pPr>
      <w:r>
        <w:rPr>
          <w:rFonts w:ascii="Arial" w:cs="Arial" w:eastAsia="Arial" w:hAnsi="Arial"/>
          <w:b w:val="false"/>
          <w:bCs w:val="false"/>
          <w:i w:val="false"/>
          <w:iCs w:val="false"/>
          <w:sz w:val="20"/>
          <w:szCs w:val="20"/>
        </w:rPr>
        <w:t xml:space="preserve">Coding decisions were recorded through a version-controlled audit trail. Successive audit versions (v0.1 through v1.2) documented all coding changes, evidence additions, threshold acceptance decisions, and caveat resolutions. The final locked dataset is version v1.2. A post-lock audit addendum documented a minor placeholder normalisation that had no effect on any analytical value.</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1.5 What v1.2 locks and does not lock</w:t>
      </w:r>
    </w:p>
    <w:p>
      <w:pPr>
        <w:spacing w:after="80" w:before="80"/>
        <w:jc w:val="both"/>
      </w:pPr>
      <w:r>
        <w:rPr>
          <w:rFonts w:ascii="Arial" w:cs="Arial" w:eastAsia="Arial" w:hAnsi="Arial"/>
          <w:b w:val="false"/>
          <w:bCs w:val="false"/>
          <w:i w:val="false"/>
          <w:iCs w:val="false"/>
          <w:sz w:val="20"/>
          <w:szCs w:val="20"/>
        </w:rPr>
        <w:t xml:space="preserve">The Phase 6 Step 3 Final Locked Dataset v1.2 documents the CEI-1 evidence assignments and Scenario B/C classifications for 29 countries identified as borderline cases (lock_ready = Yes; matrix_value_final = Yes; manuscript_ready = Yes for all 29 rows). v1.2 does not lock all 75-country ACI and CEIS indicator values; expansion-tier values remain provisional.</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1.6 Data-status tiering principle</w:t>
      </w:r>
    </w:p>
    <w:p>
      <w:pPr>
        <w:spacing w:after="80" w:before="80"/>
        <w:jc w:val="both"/>
      </w:pPr>
      <w:r>
        <w:rPr>
          <w:rFonts w:ascii="Arial" w:cs="Arial" w:eastAsia="Arial" w:hAnsi="Arial"/>
          <w:b w:val="false"/>
          <w:bCs w:val="false"/>
          <w:i w:val="false"/>
          <w:iCs w:val="false"/>
          <w:sz w:val="20"/>
          <w:szCs w:val="20"/>
        </w:rPr>
        <w:t xml:space="preserve">All manuscript claims follow the data-status hierarchy described in Supplementary Note 3. Confirmed-tier values (Phase 1, n = 25) may be reported as confirmed findings. Expansion-layer values must be described as provisional. Data-pending values (EGY, RWA, ROU, BGR; n = 4) may not be included in any aggregate statistic.</w:t>
      </w:r>
    </w:p>
    <w:p>
      <w:pPr>
        <w:pBdr>
          <w:left w:val="single" w:color="2E75B6" w:sz="6" w:space="4"/>
        </w:pBdr>
        <w:spacing w:after="100" w:before="100"/>
        <w:ind w:left="720" w:right="720"/>
      </w:pPr>
      <w:r>
        <w:rPr>
          <w:rFonts w:ascii="Arial" w:cs="Arial" w:eastAsia="Arial" w:hAnsi="Arial"/>
          <w:i/>
          <w:iCs/>
          <w:color w:val="404040"/>
          <w:sz w:val="18"/>
          <w:szCs w:val="18"/>
        </w:rPr>
        <w:t xml:space="preserve">AI-assisted tools were used only for English translation, language polishing and copyediting support. They were not used to generate data, conduct analyses, make coding decisions, create figures or determine the study findings. The author takes full responsibility for all data, interpretations and submitted content.</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2 — CEI-1 Codebook and Threshold Rules</w:t>
      </w:r>
    </w:p>
    <w:p>
      <w:pPr>
        <w:pStyle w:val="Heading2"/>
        <w:spacing w:after="80" w:before="200"/>
      </w:pPr>
      <w:r>
        <w:rPr>
          <w:rFonts w:ascii="Arial" w:cs="Arial" w:eastAsia="Arial" w:hAnsi="Arial"/>
          <w:b/>
          <w:bCs/>
          <w:color w:val="2E75B6"/>
          <w:sz w:val="24"/>
          <w:szCs w:val="24"/>
        </w:rPr>
        <w:t xml:space="preserve">2.1 CEI-1 definition</w:t>
      </w:r>
    </w:p>
    <w:p>
      <w:pPr>
        <w:spacing w:after="80" w:before="80"/>
        <w:jc w:val="both"/>
      </w:pPr>
      <w:r>
        <w:rPr>
          <w:rFonts w:ascii="Arial" w:cs="Arial" w:eastAsia="Arial" w:hAnsi="Arial"/>
          <w:b w:val="false"/>
          <w:bCs w:val="false"/>
          <w:i w:val="false"/>
          <w:iCs w:val="false"/>
          <w:sz w:val="20"/>
          <w:szCs w:val="20"/>
        </w:rPr>
        <w:t xml:space="preserve">CEI-1 captures whether a country’s current official climate-governance documents include qualifying evidence of AI, digital, data-system, monitoring, smart infrastructure, or data-platform language explicitly linked to climate governance, NDC implementation, mitigation, adaptation, transparency, or energy-climate governance in a climate-primary context. Document presence is the coding criterion; this study does not assess implementation status or institutional effectiveness.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2.2 Scenario A — strict NDC-only specification</w:t>
      </w:r>
    </w:p>
    <w:p>
      <w:pPr>
        <w:spacing w:after="80" w:before="80"/>
        <w:jc w:val="both"/>
      </w:pPr>
      <w:r>
        <w:rPr>
          <w:rFonts w:ascii="Arial" w:cs="Arial" w:eastAsia="Arial" w:hAnsi="Arial"/>
          <w:b w:val="false"/>
          <w:bCs w:val="false"/>
          <w:i w:val="false"/>
          <w:iCs w:val="false"/>
          <w:sz w:val="20"/>
          <w:szCs w:val="20"/>
        </w:rPr>
        <w:t xml:space="preserve">Qualifying evidence must appear in the country’s current NDC, Updated NDC, or NDC 3.0 as submitted to the UNFCCC. This is the most conservative specification. No LT-LEDS, NECP, or other supplementary document type is eligible under Scenario A.</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2.3 Scenario B — main recommended specification</w:t>
      </w:r>
    </w:p>
    <w:p>
      <w:pPr>
        <w:spacing w:after="80" w:before="80"/>
        <w:jc w:val="both"/>
      </w:pPr>
      <w:r>
        <w:rPr>
          <w:rFonts w:ascii="Arial" w:cs="Arial" w:eastAsia="Arial" w:hAnsi="Arial"/>
          <w:b w:val="false"/>
          <w:bCs w:val="false"/>
          <w:i w:val="false"/>
          <w:iCs w:val="false"/>
          <w:sz w:val="20"/>
          <w:szCs w:val="20"/>
        </w:rPr>
        <w:t xml:space="preserve">Qualifying evidence may appear in a country’s current NDC or in an official UNFCCC-submitted or -recognised LT-LEDS/LTS where the codebook threshold is met. Scenario B is the recommended main result. Among the 29 countries in the formal Step 3 audit, qualifying evidence was confirmed in 10 (Scenario B candidate) and absent in 19 (Scenario B Keep 0).</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2.4 Scenario C — sensitivity specification</w:t>
      </w:r>
    </w:p>
    <w:p>
      <w:pPr>
        <w:spacing w:after="80" w:before="80"/>
        <w:jc w:val="both"/>
      </w:pPr>
      <w:r>
        <w:rPr>
          <w:rFonts w:ascii="Arial" w:cs="Arial" w:eastAsia="Arial" w:hAnsi="Arial"/>
          <w:b w:val="false"/>
          <w:bCs w:val="false"/>
          <w:i w:val="false"/>
          <w:iCs w:val="false"/>
          <w:sz w:val="20"/>
          <w:szCs w:val="20"/>
        </w:rPr>
        <w:t xml:space="preserve">Qualifying evidence may additionally include NECP or equivalent nationally adopted climate-energy planning documents. Scenario C is a sensitivity check only and is not the primary result. Five countries qualified under Scenario C through NECP-based evidence (GRC, ROU, BGR, LTU, UKR). These five are excluded from the Scenario B main result count.</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2.5 Evidence rules — Rules 1–4</w:t>
      </w:r>
    </w:p>
    <w:p>
      <w:pPr>
        <w:pStyle w:val="Heading3"/>
        <w:spacing w:after="60" w:before="140"/>
      </w:pPr>
      <w:r>
        <w:rPr>
          <w:rFonts w:ascii="Arial" w:cs="Arial" w:eastAsia="Arial" w:hAnsi="Arial"/>
          <w:b/>
          <w:bCs/>
          <w:color w:val="404040"/>
          <w:sz w:val="22"/>
          <w:szCs w:val="22"/>
        </w:rPr>
        <w:t xml:space="preserve">Rule 1 — LT-LEDS / LTS pathway</w:t>
      </w:r>
    </w:p>
    <w:p>
      <w:pPr>
        <w:spacing w:after="80" w:before="80"/>
        <w:jc w:val="both"/>
      </w:pPr>
      <w:r>
        <w:rPr>
          <w:rFonts w:ascii="Arial" w:cs="Arial" w:eastAsia="Arial" w:hAnsi="Arial"/>
          <w:b w:val="false"/>
          <w:bCs w:val="false"/>
          <w:i w:val="false"/>
          <w:iCs w:val="false"/>
          <w:sz w:val="20"/>
          <w:szCs w:val="20"/>
        </w:rPr>
        <w:t xml:space="preserve">Qualifying evidence appears in an official LT-LEDS/LTS submission and includes substantive digital, AI, or energy-data governance language linked to climate or energy-transition governance. Hungary (HUN) qualifies under Scenario B through this pathway; its current NDC contains no qualifying evidence (Scenario A = 0).</w:t>
      </w:r>
    </w:p>
    <w:p>
      <w:pPr>
        <w:pStyle w:val="Heading3"/>
        <w:spacing w:after="60" w:before="140"/>
      </w:pPr>
      <w:r>
        <w:rPr>
          <w:rFonts w:ascii="Arial" w:cs="Arial" w:eastAsia="Arial" w:hAnsi="Arial"/>
          <w:b/>
          <w:bCs/>
          <w:color w:val="404040"/>
          <w:sz w:val="22"/>
          <w:szCs w:val="22"/>
        </w:rPr>
        <w:t xml:space="preserve">Rule 2 — MRV / registry / climate data platform pathway</w:t>
      </w:r>
    </w:p>
    <w:p>
      <w:pPr>
        <w:spacing w:after="80" w:before="80"/>
        <w:jc w:val="both"/>
      </w:pPr>
      <w:r>
        <w:rPr>
          <w:rFonts w:ascii="Arial" w:cs="Arial" w:eastAsia="Arial" w:hAnsi="Arial"/>
          <w:b w:val="false"/>
          <w:bCs w:val="false"/>
          <w:i w:val="false"/>
          <w:iCs w:val="false"/>
          <w:sz w:val="20"/>
          <w:szCs w:val="20"/>
        </w:rPr>
        <w:t xml:space="preserve">Qualifying evidence names an explicit digital, online, platform, registry, or data-system infrastructure linked to NDC implementation, Article 6 cooperation, MRV reporting, or national climate transparency. Generic MRV language without explicit digital or platform framing does not qualify. Confirmed countries: CRI, GHA, UZB, IDN.</w:t>
      </w:r>
    </w:p>
    <w:p>
      <w:pPr>
        <w:pStyle w:val="Heading3"/>
        <w:spacing w:after="60" w:before="140"/>
      </w:pPr>
      <w:r>
        <w:rPr>
          <w:rFonts w:ascii="Arial" w:cs="Arial" w:eastAsia="Arial" w:hAnsi="Arial"/>
          <w:b/>
          <w:bCs/>
          <w:color w:val="404040"/>
          <w:sz w:val="22"/>
          <w:szCs w:val="22"/>
        </w:rPr>
        <w:t xml:space="preserve">Rule 3 — Monitoring / adaptation data-system pathway</w:t>
      </w:r>
    </w:p>
    <w:p>
      <w:pPr>
        <w:spacing w:after="80" w:before="80"/>
        <w:jc w:val="both"/>
      </w:pPr>
      <w:r>
        <w:rPr>
          <w:rFonts w:ascii="Arial" w:cs="Arial" w:eastAsia="Arial" w:hAnsi="Arial"/>
          <w:b w:val="false"/>
          <w:bCs w:val="false"/>
          <w:i w:val="false"/>
          <w:iCs w:val="false"/>
          <w:sz w:val="20"/>
          <w:szCs w:val="20"/>
        </w:rPr>
        <w:t xml:space="preserve">Qualifying evidence names a monitoring, remote-sensing, early-warning, or adaptation data system explicitly linked to climate-risk governance, adaptation planning, or resilience. Routine observation without governance framing does not qualify. Confirmed countries: CHL, URY.</w:t>
      </w:r>
    </w:p>
    <w:p>
      <w:pPr>
        <w:pStyle w:val="Heading3"/>
        <w:spacing w:after="60" w:before="140"/>
      </w:pPr>
      <w:r>
        <w:rPr>
          <w:rFonts w:ascii="Arial" w:cs="Arial" w:eastAsia="Arial" w:hAnsi="Arial"/>
          <w:b/>
          <w:bCs/>
          <w:color w:val="404040"/>
          <w:sz w:val="22"/>
          <w:szCs w:val="22"/>
        </w:rPr>
        <w:t xml:space="preserve">Rule 4 — Smart / digital climate-energy infrastructure pathway</w:t>
      </w:r>
    </w:p>
    <w:p>
      <w:pPr>
        <w:spacing w:after="80" w:before="80"/>
        <w:jc w:val="both"/>
      </w:pPr>
      <w:r>
        <w:rPr>
          <w:rFonts w:ascii="Arial" w:cs="Arial" w:eastAsia="Arial" w:hAnsi="Arial"/>
          <w:b w:val="false"/>
          <w:bCs w:val="false"/>
          <w:i w:val="false"/>
          <w:iCs w:val="false"/>
          <w:sz w:val="20"/>
          <w:szCs w:val="20"/>
        </w:rPr>
        <w:t xml:space="preserve">Qualifying evidence explicitly names a smart, digital, AI, IoT, AMI, or automated system linked to climate mitigation, renewable energy integration, or climate-energy governance. Generic modernisation without explicit climate-energy linkage does not qualify. Confirmed countries: KAZ, QAT.</w:t>
      </w:r>
    </w:p>
    <w:p>
      <w:pPr>
        <w:pStyle w:val="Heading3"/>
        <w:spacing w:after="60" w:before="140"/>
      </w:pPr>
      <w:r>
        <w:rPr>
          <w:rFonts w:ascii="Arial" w:cs="Arial" w:eastAsia="Arial" w:hAnsi="Arial"/>
          <w:b/>
          <w:bCs/>
          <w:color w:val="404040"/>
          <w:sz w:val="22"/>
          <w:szCs w:val="22"/>
        </w:rPr>
        <w:t xml:space="preserve">Rules 2+3+4 — Multi-domain pathway</w:t>
      </w:r>
    </w:p>
    <w:p>
      <w:pPr>
        <w:spacing w:after="80" w:before="80"/>
        <w:jc w:val="both"/>
      </w:pPr>
      <w:r>
        <w:rPr>
          <w:rFonts w:ascii="Arial" w:cs="Arial" w:eastAsia="Arial" w:hAnsi="Arial"/>
          <w:b w:val="false"/>
          <w:bCs w:val="false"/>
          <w:i w:val="false"/>
          <w:iCs w:val="false"/>
          <w:sz w:val="20"/>
          <w:szCs w:val="20"/>
        </w:rPr>
        <w:t xml:space="preserve">Morocco (MAR) contains qualifying evidence independently satisfying Rules 2, 3, and 4. Multi-domain qualification reflects breadth of evidence types, not depth of institutional integration.</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2.6 Residual designations</w:t>
      </w:r>
    </w:p>
    <w:p>
      <w:pPr>
        <w:spacing w:after="80" w:before="80"/>
        <w:jc w:val="both"/>
      </w:pPr>
      <w:r>
        <w:rPr>
          <w:rFonts w:ascii="Arial" w:cs="Arial" w:eastAsia="Arial" w:hAnsi="Arial"/>
          <w:b w:val="false"/>
          <w:bCs w:val="false"/>
          <w:i w:val="false"/>
          <w:iCs w:val="false"/>
          <w:sz w:val="20"/>
          <w:szCs w:val="20"/>
        </w:rPr>
        <w:t xml:space="preserve">STRONG BORDERLINE (QAT): Rule 4 accepted; evidence present but limited in explicit AI or data-centre climate governance language.</w:t>
      </w:r>
    </w:p>
    <w:p>
      <w:pPr>
        <w:spacing w:after="80" w:before="80"/>
        <w:jc w:val="both"/>
      </w:pPr>
      <w:r>
        <w:rPr>
          <w:rFonts w:ascii="Arial" w:cs="Arial" w:eastAsia="Arial" w:hAnsi="Arial"/>
          <w:b w:val="false"/>
          <w:bCs w:val="false"/>
          <w:i w:val="false"/>
          <w:iCs w:val="false"/>
          <w:sz w:val="20"/>
          <w:szCs w:val="20"/>
        </w:rPr>
        <w:t xml:space="preserve">MULTI-DOMAIN STRONG EVIDENCE (MAR): Rules 2, 3, and 4 all satisfied; breadth does not imply greatest integration depth.</w:t>
      </w:r>
    </w:p>
    <w:p>
      <w:pPr>
        <w:spacing w:after="80" w:before="80"/>
        <w:jc w:val="both"/>
      </w:pPr>
      <w:r>
        <w:rPr>
          <w:rFonts w:ascii="Arial" w:cs="Arial" w:eastAsia="Arial" w:hAnsi="Arial"/>
          <w:b w:val="false"/>
          <w:bCs w:val="false"/>
          <w:i w:val="false"/>
          <w:iCs w:val="false"/>
          <w:sz w:val="20"/>
          <w:szCs w:val="20"/>
        </w:rPr>
        <w:t xml:space="preserve">CAVEAT-CURRENT-DOCUMENT (PHL): Coding based on 2021 First NDC; re-audit required if newer NDC confirmed.</w:t>
      </w:r>
    </w:p>
    <w:p>
      <w:pPr>
        <w:spacing w:after="80" w:before="80"/>
        <w:jc w:val="both"/>
      </w:pPr>
      <w:r>
        <w:rPr>
          <w:rFonts w:ascii="Arial" w:cs="Arial" w:eastAsia="Arial" w:hAnsi="Arial"/>
          <w:b w:val="false"/>
          <w:bCs w:val="false"/>
          <w:i w:val="false"/>
          <w:iCs w:val="false"/>
          <w:sz w:val="20"/>
          <w:szCs w:val="20"/>
        </w:rPr>
        <w:t xml:space="preserve">CAVEAT-NECP-SENSITIVITY (GRC, ROU, BGR, LTU, UKR): NECP evidence only; Scenario B = 0 for all five.</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3 — Expansion Layer Data-Status Summary</w:t>
      </w:r>
    </w:p>
    <w:p>
      <w:pPr>
        <w:pStyle w:val="Heading2"/>
        <w:spacing w:after="80" w:before="200"/>
      </w:pPr>
      <w:r>
        <w:rPr>
          <w:rFonts w:ascii="Arial" w:cs="Arial" w:eastAsia="Arial" w:hAnsi="Arial"/>
          <w:b/>
          <w:bCs/>
          <w:color w:val="2E75B6"/>
          <w:sz w:val="24"/>
          <w:szCs w:val="24"/>
        </w:rPr>
        <w:t xml:space="preserve">3.1 Country sample structure</w:t>
      </w:r>
    </w:p>
    <w:p>
      <w:pPr>
        <w:spacing w:after="80" w:before="80"/>
        <w:jc w:val="both"/>
      </w:pPr>
      <w:r>
        <w:rPr>
          <w:rFonts w:ascii="Arial" w:cs="Arial" w:eastAsia="Arial" w:hAnsi="Arial"/>
          <w:b w:val="false"/>
          <w:bCs w:val="false"/>
          <w:i w:val="false"/>
          <w:iCs w:val="false"/>
          <w:sz w:val="20"/>
          <w:szCs w:val="20"/>
        </w:rPr>
        <w:t xml:space="preserve">The manuscript encompasses a 75-country sample: 25 confirmed-tier (Phase 1) plus 50 expansion. Complete ACI/CEIS/Gap values are available for 46 of the 50 expansion countries. Four expansion countries (EGY, RWA, ROU, BGR) lack complete indicator data and are excluded from all aggregate statistics. Confirmed-tier Gap statistics (Phase 1, n = 25): Gap &gt; 0 in 25/25 countries; Gap mean = 58.3 pp; Gap median = 62.5 pp; Gap range = 16.7–91.7 pp. Across all countries with available data, Gap &gt; 0 in all 71 countries (25 confirmed-tier + 46 provisional expansion).</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3.2 Data-status classification</w:t>
      </w:r>
    </w:p>
    <w:p>
      <w:pPr>
        <w:pStyle w:val="ListParagraph"/>
        <w:numPr>
          <w:ilvl w:val="0"/>
          <w:numId w:val="2"/>
        </w:numPr>
        <w:spacing w:after="30" w:before="30"/>
      </w:pPr>
      <w:r>
        <w:rPr>
          <w:rFonts w:ascii="Arial" w:cs="Arial" w:eastAsia="Arial" w:hAnsi="Arial"/>
          <w:sz w:val="20"/>
          <w:szCs w:val="20"/>
        </w:rPr>
        <w:t xml:space="preserve">Confirmed-tier (Phase 1, n = 25): all ACI and CEIS values confirmed from primary official documents.</w:t>
      </w:r>
    </w:p>
    <w:p>
      <w:pPr>
        <w:pStyle w:val="ListParagraph"/>
        <w:numPr>
          <w:ilvl w:val="0"/>
          <w:numId w:val="2"/>
        </w:numPr>
        <w:spacing w:after="30" w:before="30"/>
      </w:pPr>
      <w:r>
        <w:rPr>
          <w:rFonts w:ascii="Arial" w:cs="Arial" w:eastAsia="Arial" w:hAnsi="Arial"/>
          <w:sz w:val="20"/>
          <w:szCs w:val="20"/>
        </w:rPr>
        <w:t xml:space="preserve">V-PDF verified, provisional (Batch 2B–2B7, n = 15): CEI-1 V-PDF confirmed; ACI and other CEIS values provisional.</w:t>
      </w:r>
    </w:p>
    <w:p>
      <w:pPr>
        <w:pStyle w:val="ListParagraph"/>
        <w:numPr>
          <w:ilvl w:val="0"/>
          <w:numId w:val="2"/>
        </w:numPr>
        <w:spacing w:after="30" w:before="30"/>
      </w:pPr>
      <w:r>
        <w:rPr>
          <w:rFonts w:ascii="Arial" w:cs="Arial" w:eastAsia="Arial" w:hAnsi="Arial"/>
          <w:sz w:val="20"/>
          <w:szCs w:val="20"/>
        </w:rPr>
        <w:t xml:space="preserve">Provisional (remaining expansion, n = 31): ACI and CEIS values are provisional working values.</w:t>
      </w:r>
    </w:p>
    <w:p>
      <w:pPr>
        <w:pStyle w:val="ListParagraph"/>
        <w:numPr>
          <w:ilvl w:val="0"/>
          <w:numId w:val="2"/>
        </w:numPr>
        <w:spacing w:after="30" w:before="30"/>
      </w:pPr>
      <w:r>
        <w:rPr>
          <w:rFonts w:ascii="Arial" w:cs="Arial" w:eastAsia="Arial" w:hAnsi="Arial"/>
          <w:sz w:val="20"/>
          <w:szCs w:val="20"/>
        </w:rPr>
        <w:t xml:space="preserve">Data-pending (EGY, RWA, ROU, BGR; n = 4): no complete ACI/CEIS/Gap data; excluded from all aggregates.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3.3 Claim rules</w:t>
      </w:r>
    </w:p>
    <w:p>
      <w:pPr>
        <w:spacing w:after="80" w:before="80"/>
        <w:jc w:val="both"/>
      </w:pPr>
      <w:r>
        <w:rPr>
          <w:rFonts w:ascii="Arial" w:cs="Arial" w:eastAsia="Arial" w:hAnsi="Arial"/>
          <w:b w:val="false"/>
          <w:bCs w:val="false"/>
          <w:i w:val="false"/>
          <w:iCs w:val="false"/>
          <w:sz w:val="20"/>
          <w:szCs w:val="20"/>
        </w:rPr>
        <w:t xml:space="preserve">Confirmed-tier values may support confirmed findings. Expansion values must be described as provisional. The formulation “Gap &gt; 0 in all 75 countries” is prohibited. The correct formulation is: Gap &gt; 0 in all 71 countries with available ACI/CEIS/Gap data.</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3.4 CHN/ARE sensitivity notes</w:t>
      </w:r>
    </w:p>
    <w:p>
      <w:pPr>
        <w:spacing w:after="80" w:before="80"/>
        <w:jc w:val="both"/>
      </w:pPr>
      <w:r>
        <w:rPr>
          <w:rFonts w:ascii="Arial" w:cs="Arial" w:eastAsia="Arial" w:hAnsi="Arial"/>
          <w:b w:val="false"/>
          <w:bCs w:val="false"/>
          <w:i w:val="false"/>
          <w:iCs w:val="false"/>
          <w:sz w:val="20"/>
          <w:szCs w:val="20"/>
        </w:rPr>
        <w:t xml:space="preserve">CHN and ARE carry provisional CEI-3=2 and CEI-5 codings pending primary-purpose source-upgrade verification. Component-level interpretation must carry a footnote. IRL and KAZ CEI-5 primary-purpose flags also remain active. Full registry: Supplementary Table S3 Category B.</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3.5 ROU and BGR status</w:t>
      </w:r>
    </w:p>
    <w:p>
      <w:pPr>
        <w:spacing w:after="80" w:before="80"/>
        <w:jc w:val="both"/>
      </w:pPr>
      <w:r>
        <w:rPr>
          <w:rFonts w:ascii="Arial" w:cs="Arial" w:eastAsia="Arial" w:hAnsi="Arial"/>
          <w:b w:val="false"/>
          <w:bCs w:val="false"/>
          <w:i w:val="false"/>
          <w:iCs w:val="false"/>
          <w:sz w:val="20"/>
          <w:szCs w:val="20"/>
        </w:rPr>
        <w:t xml:space="preserve">Romania (ROU) and Bulgaria (BGR) were identified as the two previously unlisted data-pending countries. Both carry Scenario C sensitivity-only CEI-1 codings from v1.2 but have no ACI/CEIS/Gap values in the WorkOrder extract.</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3.6 TK entries</w:t>
      </w:r>
    </w:p>
    <w:p>
      <w:pPr>
        <w:spacing w:after="80" w:before="80"/>
        <w:jc w:val="both"/>
      </w:pPr>
      <w:r>
        <w:rPr>
          <w:rFonts w:ascii="Arial" w:cs="Arial" w:eastAsia="Arial" w:hAnsi="Arial"/>
          <w:b w:val="false"/>
          <w:bCs w:val="false"/>
          <w:i w:val="false"/>
          <w:iCs w:val="false"/>
          <w:sz w:val="20"/>
          <w:szCs w:val="20"/>
        </w:rPr>
        <w:t xml:space="preserve">Unresolved source-tier entries in Supplementary Table S4 are working-status labels only and cannot support manuscript-facing claims. Source-tier resolution is documented in the accompanying QC records. The S4 workbook is not locked until all remaining unresolved entries are resolved or explicitly classified.</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4 — ACI and CEIS Indicator Definitions</w:t>
      </w:r>
    </w:p>
    <w:p>
      <w:pPr>
        <w:pStyle w:val="Heading2"/>
        <w:spacing w:after="80" w:before="200"/>
      </w:pPr>
      <w:r>
        <w:rPr>
          <w:rFonts w:ascii="Arial" w:cs="Arial" w:eastAsia="Arial" w:hAnsi="Arial"/>
          <w:b/>
          <w:bCs/>
          <w:color w:val="2E75B6"/>
          <w:sz w:val="24"/>
          <w:szCs w:val="24"/>
        </w:rPr>
        <w:t xml:space="preserve">4.1 AI Governance Capacity Index (ACI)</w:t>
      </w:r>
    </w:p>
    <w:p>
      <w:pPr>
        <w:spacing w:after="80" w:before="80"/>
        <w:jc w:val="both"/>
      </w:pPr>
      <w:r>
        <w:rPr>
          <w:rFonts w:ascii="Arial" w:cs="Arial" w:eastAsia="Arial" w:hAnsi="Arial"/>
          <w:b w:val="false"/>
          <w:bCs w:val="false"/>
          <w:i w:val="false"/>
          <w:iCs w:val="false"/>
          <w:sz w:val="20"/>
          <w:szCs w:val="20"/>
        </w:rPr>
        <w:t xml:space="preserve">The ACI is a four-indicator composite measuring national AI governance institutionalisation.</w:t>
      </w:r>
    </w:p>
    <w:p>
      <w:pPr>
        <w:spacing w:after="80" w:before="80"/>
        <w:jc w:val="both"/>
      </w:pPr>
      <w:r>
        <w:rPr>
          <w:rFonts w:ascii="Arial" w:cs="Arial" w:eastAsia="Arial" w:hAnsi="Arial"/>
          <w:b/>
          <w:bCs/>
          <w:i w:val="false"/>
          <w:iCs w:val="false"/>
          <w:sz w:val="20"/>
          <w:szCs w:val="20"/>
        </w:rPr>
        <w:t xml:space="preserve">ACI% = (ACI-1 + ACI-2 + ACI-3 + ACI-4) / 8 × 100</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ACI-1. National AI strategy budget commitment: degree of public resource commitment to AI governance, scored on an ordinal scale.</w:t>
      </w:r>
    </w:p>
    <w:p>
      <w:pPr>
        <w:spacing w:after="80" w:before="80"/>
        <w:jc w:val="both"/>
      </w:pPr>
      <w:r>
        <w:rPr>
          <w:rFonts w:ascii="Arial" w:cs="Arial" w:eastAsia="Arial" w:hAnsi="Arial"/>
          <w:b w:val="false"/>
          <w:bCs w:val="false"/>
          <w:i w:val="false"/>
          <w:iCs w:val="false"/>
          <w:sz w:val="20"/>
          <w:szCs w:val="20"/>
        </w:rPr>
        <w:t xml:space="preserve">ACI-2. AI governance institution: presence and strength of a government body with AI governance mandate, scored on an ordinal scale.</w:t>
      </w:r>
    </w:p>
    <w:p>
      <w:pPr>
        <w:spacing w:after="80" w:before="80"/>
        <w:jc w:val="both"/>
      </w:pPr>
      <w:r>
        <w:rPr>
          <w:rFonts w:ascii="Arial" w:cs="Arial" w:eastAsia="Arial" w:hAnsi="Arial"/>
          <w:b w:val="false"/>
          <w:bCs w:val="false"/>
          <w:i w:val="false"/>
          <w:iCs w:val="false"/>
          <w:sz w:val="20"/>
          <w:szCs w:val="20"/>
        </w:rPr>
        <w:t xml:space="preserve">ACI-3. Published national AI strategy: binary; 1 = currently active formal strategy; 0 = absent or expired.</w:t>
      </w:r>
    </w:p>
    <w:p>
      <w:pPr>
        <w:spacing w:after="80" w:before="80"/>
        <w:jc w:val="both"/>
      </w:pPr>
      <w:r>
        <w:rPr>
          <w:rFonts w:ascii="Arial" w:cs="Arial" w:eastAsia="Arial" w:hAnsi="Arial"/>
          <w:b w:val="false"/>
          <w:bCs w:val="false"/>
          <w:i w:val="false"/>
          <w:iCs w:val="false"/>
          <w:sz w:val="20"/>
          <w:szCs w:val="20"/>
        </w:rPr>
        <w:t xml:space="preserve">ACI-4. International AI governance engagement: binary; 1 = confirmed participation in multilateral AI governance frameworks.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4.2 Climate–Energy Integration Score (CEIS)</w:t>
      </w:r>
    </w:p>
    <w:p>
      <w:pPr>
        <w:spacing w:after="80" w:before="80"/>
        <w:jc w:val="both"/>
      </w:pPr>
      <w:r>
        <w:rPr>
          <w:rFonts w:ascii="Arial" w:cs="Arial" w:eastAsia="Arial" w:hAnsi="Arial"/>
          <w:b w:val="false"/>
          <w:bCs w:val="false"/>
          <w:i w:val="false"/>
          <w:iCs w:val="false"/>
          <w:sz w:val="20"/>
          <w:szCs w:val="20"/>
        </w:rPr>
        <w:t xml:space="preserve">The CEIS is a six-component composite measuring climate-energy AI integration in official governance documents.</w:t>
      </w:r>
    </w:p>
    <w:p>
      <w:pPr>
        <w:spacing w:after="80" w:before="80"/>
        <w:jc w:val="both"/>
      </w:pPr>
      <w:r>
        <w:rPr>
          <w:rFonts w:ascii="Arial" w:cs="Arial" w:eastAsia="Arial" w:hAnsi="Arial"/>
          <w:b/>
          <w:bCs/>
          <w:i w:val="false"/>
          <w:iCs w:val="false"/>
          <w:sz w:val="20"/>
          <w:szCs w:val="20"/>
        </w:rPr>
        <w:t xml:space="preserve">CEIS% = (CEI-1 + CEI-2 + CEI-3 + CEI-4 + CEI-5 + CEI-6) / 12 × 100</w:t>
      </w:r>
    </w:p>
    <w:p>
      <w:pPr>
        <w:spacing w:after="80" w:before="80"/>
        <w:jc w:val="both"/>
      </w:pPr>
      <w:r>
        <w:rPr>
          <w:rFonts w:ascii="Arial" w:cs="Arial" w:eastAsia="Arial" w:hAnsi="Arial"/>
          <w:b w:val="false"/>
          <w:bCs w:val="false"/>
          <w:i w:val="false"/>
          <w:iCs w:val="false"/>
          <w:sz w:val="20"/>
          <w:szCs w:val="20"/>
        </w:rPr>
        <w:t xml:space="preserve">Note: CEI-3 may be scored 0, 1, or 2. All other CEI components are binary (0/1).</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CEI-1. AI/digital in national climate commitment: qualifying evidence in NDC or LT-LEDS. Threshold rules: Supplementary Note 2.</w:t>
      </w:r>
    </w:p>
    <w:p>
      <w:pPr>
        <w:spacing w:after="80" w:before="80"/>
        <w:jc w:val="both"/>
      </w:pPr>
      <w:r>
        <w:rPr>
          <w:rFonts w:ascii="Arial" w:cs="Arial" w:eastAsia="Arial" w:hAnsi="Arial"/>
          <w:b w:val="false"/>
          <w:bCs w:val="false"/>
          <w:i w:val="false"/>
          <w:iCs w:val="false"/>
          <w:sz w:val="20"/>
          <w:szCs w:val="20"/>
        </w:rPr>
        <w:t xml:space="preserve">CEI-2. AI strategy includes energy/climate targets: AI strategy explicitly names energy transition or emissions reduction.</w:t>
      </w:r>
    </w:p>
    <w:p>
      <w:pPr>
        <w:spacing w:after="80" w:before="80"/>
        <w:jc w:val="both"/>
      </w:pPr>
      <w:r>
        <w:rPr>
          <w:rFonts w:ascii="Arial" w:cs="Arial" w:eastAsia="Arial" w:hAnsi="Arial"/>
          <w:b w:val="false"/>
          <w:bCs w:val="false"/>
          <w:i w:val="false"/>
          <w:iCs w:val="false"/>
          <w:sz w:val="20"/>
          <w:szCs w:val="20"/>
        </w:rPr>
        <w:t xml:space="preserve">CEI-3. Data-centre or AI-infrastructure energy efficiency mandate: regulatory requirement governing AI/DC energy efficiency; scored 0/1/2 for mandate presence and quantified stringency.</w:t>
      </w:r>
    </w:p>
    <w:p>
      <w:pPr>
        <w:spacing w:after="80" w:before="80"/>
        <w:jc w:val="both"/>
      </w:pPr>
      <w:r>
        <w:rPr>
          <w:rFonts w:ascii="Arial" w:cs="Arial" w:eastAsia="Arial" w:hAnsi="Arial"/>
          <w:b w:val="false"/>
          <w:bCs w:val="false"/>
          <w:i w:val="false"/>
          <w:iCs w:val="false"/>
          <w:sz w:val="20"/>
          <w:szCs w:val="20"/>
        </w:rPr>
        <w:t xml:space="preserve">CEI-4. Carbon pricing on AI/data-centres: existing carbon pricing mechanism explicitly extends to DC/AI operations.</w:t>
      </w:r>
    </w:p>
    <w:p>
      <w:pPr>
        <w:spacing w:after="80" w:before="80"/>
        <w:jc w:val="both"/>
      </w:pPr>
      <w:r>
        <w:rPr>
          <w:rFonts w:ascii="Arial" w:cs="Arial" w:eastAsia="Arial" w:hAnsi="Arial"/>
          <w:b w:val="false"/>
          <w:bCs w:val="false"/>
          <w:i w:val="false"/>
          <w:iCs w:val="false"/>
          <w:sz w:val="20"/>
          <w:szCs w:val="20"/>
        </w:rPr>
        <w:t xml:space="preserve">CEI-5. Cross-ministerial AI–climate coordination: formal inter-ministerial mechanism linking AI/digital governance with climate/energy policy; climate/sustainability must be primary stated purpose.</w:t>
      </w:r>
    </w:p>
    <w:p>
      <w:pPr>
        <w:spacing w:after="80" w:before="80"/>
        <w:jc w:val="both"/>
      </w:pPr>
      <w:r>
        <w:rPr>
          <w:rFonts w:ascii="Arial" w:cs="Arial" w:eastAsia="Arial" w:hAnsi="Arial"/>
          <w:b w:val="false"/>
          <w:bCs w:val="false"/>
          <w:i w:val="false"/>
          <w:iCs w:val="false"/>
          <w:sz w:val="20"/>
          <w:szCs w:val="20"/>
        </w:rPr>
        <w:t xml:space="preserve">CEI-6. Mandatory carbon reporting for AI/data-centres: mandatory reporting covering carbon from DC/AI infrastructure.</w:t>
      </w:r>
    </w:p>
    <w:p>
      <w:pPr>
        <w:spacing w:after="80" w:before="120"/>
        <w:jc w:val="both"/>
      </w:pPr>
      <w:r>
        <w:rPr>
          <w:rFonts w:ascii="Arial" w:cs="Arial" w:eastAsia="Arial" w:hAnsi="Arial"/>
          <w:b/>
          <w:sz w:val="20"/>
          <w:szCs w:val="20"/>
        </w:rPr>
        <w:t xml:space="preserve">Confirmed-tier CEIS component prevalence used for Figure 3:</w:t>
      </w:r>
    </w:p>
    <w:p>
      <w:pPr>
        <w:spacing w:after="40" w:before="40"/>
        <w:jc w:val="both"/>
      </w:pPr>
      <w:r>
        <w:rPr>
          <w:rFonts w:ascii="Arial" w:cs="Arial" w:eastAsia="Arial" w:hAnsi="Arial"/>
          <w:sz w:val="20"/>
          <w:szCs w:val="20"/>
        </w:rPr>
        <w:t xml:space="preserve">CEI-1 = 1/25 = 4.0%. CEI-2 = 0/25 = 0.0%. CEI-3 = 10/25 = 40.0%. CEI-4 = 0/25 = 0.0%. CEI-5 = 11/25 = 44.0%. CEI-6 = 20/25 = 80.0%. Sensitivity-adjusted values excluding CHN and ARE are CEI-3 = 8/23 = 34.8% and CEI-5 = 9/23 = 39.1%.</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4.3 Digital–Climate Alignment Gap</w:t>
      </w:r>
    </w:p>
    <w:p>
      <w:pPr>
        <w:spacing w:after="80" w:before="80"/>
        <w:jc w:val="both"/>
      </w:pPr>
      <w:r>
        <w:rPr>
          <w:rFonts w:ascii="Arial" w:cs="Arial" w:eastAsia="Arial" w:hAnsi="Arial"/>
          <w:b/>
          <w:bCs/>
          <w:i w:val="false"/>
          <w:iCs w:val="false"/>
          <w:sz w:val="20"/>
          <w:szCs w:val="20"/>
        </w:rPr>
        <w:t xml:space="preserve">Gap = ACI% − CEIS%</w:t>
      </w:r>
    </w:p>
    <w:p>
      <w:pPr>
        <w:spacing w:after="80" w:before="80"/>
        <w:jc w:val="both"/>
      </w:pPr>
      <w:r>
        <w:rPr>
          <w:rFonts w:ascii="Arial" w:cs="Arial" w:eastAsia="Arial" w:hAnsi="Arial"/>
          <w:b w:val="false"/>
          <w:bCs w:val="false"/>
          <w:i w:val="false"/>
          <w:iCs w:val="false"/>
          <w:sz w:val="20"/>
          <w:szCs w:val="20"/>
        </w:rPr>
        <w:t xml:space="preserve">A positive Gap indicates that AI governance capacity exceeds climate-energy AI integration as recorded in official documents. The Gap is a descriptive measure of document-based institutional alignment; it does not imply causality or measure policy effectiveness.</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5 — Scenario A/B/C and Sensitivity Rules</w:t>
      </w:r>
    </w:p>
    <w:p>
      <w:pPr>
        <w:pStyle w:val="Heading2"/>
        <w:spacing w:after="80" w:before="200"/>
      </w:pPr>
      <w:r>
        <w:rPr>
          <w:rFonts w:ascii="Arial" w:cs="Arial" w:eastAsia="Arial" w:hAnsi="Arial"/>
          <w:b/>
          <w:bCs/>
          <w:color w:val="2E75B6"/>
          <w:sz w:val="24"/>
          <w:szCs w:val="24"/>
        </w:rPr>
        <w:t xml:space="preserve">5.1 Scenario design rationale</w:t>
      </w:r>
    </w:p>
    <w:p>
      <w:pPr>
        <w:spacing w:after="80" w:before="80"/>
        <w:jc w:val="both"/>
      </w:pPr>
      <w:r>
        <w:rPr>
          <w:rFonts w:ascii="Arial" w:cs="Arial" w:eastAsia="Arial" w:hAnsi="Arial"/>
          <w:b w:val="false"/>
          <w:bCs w:val="false"/>
          <w:i w:val="false"/>
          <w:iCs w:val="false"/>
          <w:sz w:val="20"/>
          <w:szCs w:val="20"/>
        </w:rPr>
        <w:t xml:space="preserve">CEI-1 evidence was assessed under three prespecified scenario specifications to reflect uncertainty in document-scope assumptions, allowing transparent reporting of specification sensitivity while maintaining a clear main result (Scenario B).</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5.2 Current-document rule</w:t>
      </w:r>
    </w:p>
    <w:p>
      <w:pPr>
        <w:spacing w:after="80" w:before="80"/>
        <w:jc w:val="both"/>
      </w:pPr>
      <w:r>
        <w:rPr>
          <w:rFonts w:ascii="Arial" w:cs="Arial" w:eastAsia="Arial" w:hAnsi="Arial"/>
          <w:b w:val="false"/>
          <w:bCs w:val="false"/>
          <w:i w:val="false"/>
          <w:iCs w:val="false"/>
          <w:sz w:val="20"/>
          <w:szCs w:val="20"/>
        </w:rPr>
        <w:t xml:space="preserve">Only the current, officially active version of a national AI strategy or NDC is coded. Superseded, expired, or draft documents are excluded unless no current document exists. Countries without a current document receive a CAVEAT-CURRENT-DOCUMENT flag.</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5.3 Primary-purpose rule</w:t>
      </w:r>
    </w:p>
    <w:p>
      <w:pPr>
        <w:spacing w:after="80" w:before="80"/>
        <w:jc w:val="both"/>
      </w:pPr>
      <w:r>
        <w:rPr>
          <w:rFonts w:ascii="Arial" w:cs="Arial" w:eastAsia="Arial" w:hAnsi="Arial"/>
          <w:b w:val="false"/>
          <w:bCs w:val="false"/>
          <w:i w:val="false"/>
          <w:iCs w:val="false"/>
          <w:sz w:val="20"/>
          <w:szCs w:val="20"/>
        </w:rPr>
        <w:t xml:space="preserve">For CEI-3 and CEI-5, the governing mechanism must have climate or sustainability as its primary stated purpose. Mechanisms primarily targeting industrial energy efficiency or economic competitiveness without explicit climate framing are coded conservatively. This rule applies to: IRL and KAZ CEI-5 (pending); CHN and ARE CEI-3=2 and CEI-5 (pending).</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5.4 Registered sensitivity cases</w:t>
      </w:r>
    </w:p>
    <w:p>
      <w:pPr>
        <w:pStyle w:val="ListParagraph"/>
        <w:numPr>
          <w:ilvl w:val="0"/>
          <w:numId w:val="2"/>
        </w:numPr>
        <w:spacing w:after="30" w:before="30"/>
      </w:pPr>
      <w:r>
        <w:rPr>
          <w:rFonts w:ascii="Arial" w:cs="Arial" w:eastAsia="Arial" w:hAnsi="Arial"/>
          <w:sz w:val="20"/>
          <w:szCs w:val="20"/>
        </w:rPr>
        <w:t xml:space="preserve">CHN/ARE CEI-3=2: primary-purpose V-PDF upgrade pending.</w:t>
      </w:r>
    </w:p>
    <w:p>
      <w:pPr>
        <w:pStyle w:val="ListParagraph"/>
        <w:numPr>
          <w:ilvl w:val="0"/>
          <w:numId w:val="2"/>
        </w:numPr>
        <w:spacing w:after="30" w:before="30"/>
      </w:pPr>
      <w:r>
        <w:rPr>
          <w:rFonts w:ascii="Arial" w:cs="Arial" w:eastAsia="Arial" w:hAnsi="Arial"/>
          <w:sz w:val="20"/>
          <w:szCs w:val="20"/>
        </w:rPr>
        <w:t xml:space="preserve">CHN/ARE CEI-5: primary-purpose determination pending.</w:t>
      </w:r>
    </w:p>
    <w:p>
      <w:pPr>
        <w:pStyle w:val="ListParagraph"/>
        <w:numPr>
          <w:ilvl w:val="0"/>
          <w:numId w:val="2"/>
        </w:numPr>
        <w:spacing w:after="30" w:before="30"/>
      </w:pPr>
      <w:r>
        <w:rPr>
          <w:rFonts w:ascii="Arial" w:cs="Arial" w:eastAsia="Arial" w:hAnsi="Arial"/>
          <w:sz w:val="20"/>
          <w:szCs w:val="20"/>
        </w:rPr>
        <w:t xml:space="preserve">IRL/KAZ CEI-5: primary-purpose determination pending.</w:t>
      </w:r>
    </w:p>
    <w:p>
      <w:pPr>
        <w:pStyle w:val="ListParagraph"/>
        <w:numPr>
          <w:ilvl w:val="0"/>
          <w:numId w:val="2"/>
        </w:numPr>
        <w:spacing w:after="30" w:before="30"/>
      </w:pPr>
      <w:r>
        <w:rPr>
          <w:rFonts w:ascii="Arial" w:cs="Arial" w:eastAsia="Arial" w:hAnsi="Arial"/>
          <w:sz w:val="20"/>
          <w:szCs w:val="20"/>
        </w:rPr>
        <w:t xml:space="preserve">TTO CEI-1: LiDAR-based evidence borderline; strict specification = 0.</w:t>
      </w:r>
    </w:p>
    <w:p>
      <w:pPr>
        <w:pStyle w:val="ListParagraph"/>
        <w:numPr>
          <w:ilvl w:val="0"/>
          <w:numId w:val="2"/>
        </w:numPr>
        <w:spacing w:after="30" w:before="30"/>
      </w:pPr>
      <w:r>
        <w:rPr>
          <w:rFonts w:ascii="Arial" w:cs="Arial" w:eastAsia="Arial" w:hAnsi="Arial"/>
          <w:sz w:val="20"/>
          <w:szCs w:val="20"/>
        </w:rPr>
        <w:t xml:space="preserve">LKA ACI-3: ministerial adoption confirmation pending.</w:t>
      </w:r>
    </w:p>
    <w:p>
      <w:pPr>
        <w:pStyle w:val="ListParagraph"/>
        <w:numPr>
          <w:ilvl w:val="0"/>
          <w:numId w:val="2"/>
        </w:numPr>
        <w:spacing w:after="30" w:before="30"/>
      </w:pPr>
      <w:r>
        <w:rPr>
          <w:rFonts w:ascii="Arial" w:cs="Arial" w:eastAsia="Arial" w:hAnsi="Arial"/>
          <w:sz w:val="20"/>
          <w:szCs w:val="20"/>
        </w:rPr>
        <w:t xml:space="preserve">MYS ACI-3: AI Action Plan 2026–2030 adoption confirmation pending.</w:t>
      </w:r>
    </w:p>
    <w:p>
      <w:pPr>
        <w:pStyle w:val="ListParagraph"/>
        <w:numPr>
          <w:ilvl w:val="0"/>
          <w:numId w:val="2"/>
        </w:numPr>
        <w:spacing w:after="30" w:before="30"/>
      </w:pPr>
      <w:r>
        <w:rPr>
          <w:rFonts w:ascii="Arial" w:cs="Arial" w:eastAsia="Arial" w:hAnsi="Arial"/>
          <w:sz w:val="20"/>
          <w:szCs w:val="20"/>
        </w:rPr>
        <w:t xml:space="preserve">HUN Scenario A = 0: no qualifying NDC evidence; Scenario B via LT-LEDS only.</w:t>
      </w:r>
    </w:p>
    <w:p>
      <w:pPr>
        <w:pStyle w:val="ListParagraph"/>
        <w:numPr>
          <w:ilvl w:val="0"/>
          <w:numId w:val="2"/>
        </w:numPr>
        <w:spacing w:after="30" w:before="30"/>
      </w:pPr>
      <w:r>
        <w:rPr>
          <w:rFonts w:ascii="Arial" w:cs="Arial" w:eastAsia="Arial" w:hAnsi="Arial"/>
          <w:sz w:val="20"/>
          <w:szCs w:val="20"/>
        </w:rPr>
        <w:t xml:space="preserve">QAT STRONG BORDERLINE: Rule 4 threshold met; limited explicit AI/DC climate language.</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5.5 Scenario C sensitivity results</w:t>
      </w:r>
    </w:p>
    <w:p>
      <w:pPr>
        <w:spacing w:after="80" w:before="80"/>
        <w:jc w:val="both"/>
      </w:pPr>
      <w:r>
        <w:rPr>
          <w:rFonts w:ascii="Arial" w:cs="Arial" w:eastAsia="Arial" w:hAnsi="Arial"/>
          <w:b w:val="false"/>
          <w:bCs w:val="false"/>
          <w:i w:val="false"/>
          <w:iCs w:val="false"/>
          <w:sz w:val="20"/>
          <w:szCs w:val="20"/>
        </w:rPr>
        <w:t xml:space="preserve">Scenario C adds five countries with NECP-only evidence (GRC, ROU, BGR, LTU, UKR) to the candidate set. These are sensitivity-specification results only and are not included in the Scenario B main result count (Scenario B = 10; Scenario C adds 5 = 15 total under Scenario C).</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Supplementary Note 6 — Limitations of Document-based Coding</w:t>
      </w:r>
    </w:p>
    <w:p>
      <w:pPr>
        <w:pStyle w:val="Heading2"/>
        <w:spacing w:after="80" w:before="200"/>
      </w:pPr>
      <w:r>
        <w:rPr>
          <w:rFonts w:ascii="Arial" w:cs="Arial" w:eastAsia="Arial" w:hAnsi="Arial"/>
          <w:b/>
          <w:bCs/>
          <w:color w:val="2E75B6"/>
          <w:sz w:val="24"/>
          <w:szCs w:val="24"/>
        </w:rPr>
        <w:t xml:space="preserve">6.1 Document presence does not equal implementation</w:t>
      </w:r>
    </w:p>
    <w:p>
      <w:pPr>
        <w:spacing w:after="80" w:before="80"/>
        <w:jc w:val="both"/>
      </w:pPr>
      <w:r>
        <w:rPr>
          <w:rFonts w:ascii="Arial" w:cs="Arial" w:eastAsia="Arial" w:hAnsi="Arial"/>
          <w:b w:val="false"/>
          <w:bCs w:val="false"/>
          <w:i w:val="false"/>
          <w:iCs w:val="false"/>
          <w:sz w:val="20"/>
          <w:szCs w:val="20"/>
        </w:rPr>
        <w:t xml:space="preserve">This study captures whether qualifying governance language is present in official national policy documents. Document presence is not equivalent to policy implementation, institutional effectiveness, or actual reductions in AI energy demand. The Digital–Climate Alignment Gap measures institutional visibility in official documents, not the depth of governance integration in practice.</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6.2 Cross-sectional design and causal inference</w:t>
      </w:r>
    </w:p>
    <w:p>
      <w:pPr>
        <w:spacing w:after="80" w:before="80"/>
        <w:jc w:val="both"/>
      </w:pPr>
      <w:r>
        <w:rPr>
          <w:rFonts w:ascii="Arial" w:cs="Arial" w:eastAsia="Arial" w:hAnsi="Arial"/>
          <w:b w:val="false"/>
          <w:bCs w:val="false"/>
          <w:i w:val="false"/>
          <w:iCs w:val="false"/>
          <w:sz w:val="20"/>
          <w:szCs w:val="20"/>
        </w:rPr>
        <w:t xml:space="preserve">The cross-sectional design does not permit causal inference. Observed patterns reflect co-occurrence in policy documents at a point in time. The finding that high ACI does not correspond to high CEIS is a descriptive pattern; it should not be interpreted as evidence of causation in either direction.</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6.3 Document absence and under-detection</w:t>
      </w:r>
    </w:p>
    <w:p>
      <w:pPr>
        <w:spacing w:after="80" w:before="80"/>
        <w:jc w:val="both"/>
      </w:pPr>
      <w:r>
        <w:rPr>
          <w:rFonts w:ascii="Arial" w:cs="Arial" w:eastAsia="Arial" w:hAnsi="Arial"/>
          <w:b w:val="false"/>
          <w:bCs w:val="false"/>
          <w:i w:val="false"/>
          <w:iCs w:val="false"/>
          <w:sz w:val="20"/>
          <w:szCs w:val="20"/>
        </w:rPr>
        <w:t xml:space="preserve">Document-based coding may under-detect governance activity through informal channels, regulatory guidance, sub-national government action, or instruments not examined in the primary document set. A country coded as having no qualifying evidence for a CEI component may have governance activity not reflected in the coding documents.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6.4 Provisional expansion and cautious interpretation</w:t>
      </w:r>
    </w:p>
    <w:p>
      <w:pPr>
        <w:spacing w:after="80" w:before="80"/>
        <w:jc w:val="both"/>
      </w:pPr>
      <w:r>
        <w:rPr>
          <w:rFonts w:ascii="Arial" w:cs="Arial" w:eastAsia="Arial" w:hAnsi="Arial"/>
          <w:b w:val="false"/>
          <w:bCs w:val="false"/>
          <w:i w:val="false"/>
          <w:iCs w:val="false"/>
          <w:sz w:val="20"/>
          <w:szCs w:val="20"/>
        </w:rPr>
        <w:t xml:space="preserve">Expansion-layer values (n = 46 available; n = 4 data-pending) have not undergone the same primary-source verification as the confirmed-tier (n = 25). Expansion-layer patterns provide directional context for confirmed-tier findings but should not be treated as independently verified results.</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6.5 Equal weighting assumption</w:t>
      </w:r>
    </w:p>
    <w:p>
      <w:pPr>
        <w:spacing w:after="80" w:before="80"/>
        <w:jc w:val="both"/>
      </w:pPr>
      <w:r>
        <w:rPr>
          <w:rFonts w:ascii="Arial" w:cs="Arial" w:eastAsia="Arial" w:hAnsi="Arial"/>
          <w:b w:val="false"/>
          <w:bCs w:val="false"/>
          <w:i w:val="false"/>
          <w:iCs w:val="false"/>
          <w:sz w:val="20"/>
          <w:szCs w:val="20"/>
        </w:rPr>
        <w:t xml:space="preserve">Equal weighting of sub-indicators within ACI% and CEIS% is a simplifying assumption. Alternative weighting schemes may affect relative country rankings. The index construction is intended as a transparent and reproducible measurement framework.</w:t>
      </w:r>
    </w:p>
    <w:p>
      <w:pPr>
        <w:spacing w:after="20" w:before="20"/>
      </w:pPr>
      <w:r>
        <w:t xml:space="preserve"/>
      </w:r>
    </w:p>
    <w:p>
      <w:pPr>
        <w:pStyle w:val="Heading2"/>
        <w:spacing w:after="80" w:before="200"/>
      </w:pPr>
      <w:r>
        <w:rPr>
          <w:rFonts w:ascii="Arial" w:cs="Arial" w:eastAsia="Arial" w:hAnsi="Arial"/>
          <w:b/>
          <w:bCs/>
          <w:color w:val="2E75B6"/>
          <w:sz w:val="24"/>
          <w:szCs w:val="24"/>
        </w:rPr>
        <w:t xml:space="preserve">6.6 Candidate status and institutional alignment</w:t>
      </w:r>
    </w:p>
    <w:p>
      <w:pPr>
        <w:spacing w:after="80" w:before="80"/>
        <w:jc w:val="both"/>
      </w:pPr>
      <w:r>
        <w:rPr>
          <w:rFonts w:ascii="Arial" w:cs="Arial" w:eastAsia="Arial" w:hAnsi="Arial"/>
          <w:b w:val="false"/>
          <w:bCs w:val="false"/>
          <w:i w:val="false"/>
          <w:iCs w:val="false"/>
          <w:sz w:val="20"/>
          <w:szCs w:val="20"/>
        </w:rPr>
        <w:t xml:space="preserve">Candidate status under Scenario B indicates confirmed presence of qualifying language in official national climate documents. It does not constitute evidence of full institutional alignment between AI governance and climate-energy policy. The depth, permanence, and implementation of that linkage remain beyond the scope of this document-based audit.</w:t>
      </w:r>
    </w:p>
    <w:p>
      <w:pPr>
        <w:pageBreakBefore/>
      </w:pPr>
      <w:r>
        <w:t xml:space="preserve"/>
      </w:r>
    </w:p>
    <w:p>
      <w:pPr>
        <w:pStyle w:val="Heading1"/>
        <w:pBdr>
          <w:bottom w:val="single" w:color="C0C0C0" w:sz="4" w:space="4"/>
        </w:pBdr>
        <w:spacing w:after="120" w:before="360"/>
      </w:pPr>
      <w:r>
        <w:rPr>
          <w:rFonts w:ascii="Arial" w:cs="Arial" w:eastAsia="Arial" w:hAnsi="Arial"/>
          <w:b/>
          <w:bCs/>
          <w:color w:val="1F4E79"/>
          <w:sz w:val="28"/>
          <w:szCs w:val="28"/>
        </w:rPr>
        <w:t xml:space="preserve">References to Supplementary Tables S1–S4</w:t>
      </w:r>
    </w:p>
    <w:p>
      <w:pPr>
        <w:spacing w:after="80" w:before="80"/>
        <w:jc w:val="both"/>
      </w:pPr>
      <w:r>
        <w:rPr>
          <w:rFonts w:ascii="Arial" w:cs="Arial" w:eastAsia="Arial" w:hAnsi="Arial"/>
          <w:b w:val="false"/>
          <w:bCs w:val="false"/>
          <w:i w:val="false"/>
          <w:iCs w:val="false"/>
          <w:sz w:val="20"/>
          <w:szCs w:val="20"/>
        </w:rPr>
        <w:t xml:space="preserve">The following supplementary tables are provided in the accompanying Excel workbook (DCAI_NatSustain_SupplementaryTables_Integrated.xlsx):</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Supplementary Table S1. Full 75-country ACI, CEIS and Digital–Climate Alignment Gap dataset (75 rows). Data-status: confirmed-tier (n = 25), V-PDF verified provisional (n = 15), provisional (n = 31), data-pending (n = 4). Confirmed-tier values are locked working values; expansion values are provisional.</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Supplementary Table S2. Complete Step 3 CEI-1 Scenario B/C locked evidence matrix (29 rows). Source: Phase 6 Step 3 Final Locked Dataset v1.2 (lock_ready = Yes; matrix_value_final = Yes; manuscript_ready = Yes for all 29 rows).</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Supplementary Table S3. Audit trail, caveat and sensitivity registry. Category A: v1.2 residual designations (n = 9). Category B: component-level sensitivity flags (n = 6). Category C: WorkOrder registered sensitivity cases (n = 13). Category D: data-pending countries (n = 4).</w:t>
      </w:r>
    </w:p>
    <w:p>
      <w:pPr>
        <w:spacing w:after="20" w:before="20"/>
      </w:pPr>
      <w:r>
        <w:t xml:space="preserve"/>
      </w:r>
    </w:p>
    <w:p>
      <w:pPr>
        <w:spacing w:after="80" w:before="80"/>
        <w:jc w:val="both"/>
      </w:pPr>
      <w:r>
        <w:rPr>
          <w:rFonts w:ascii="Arial" w:cs="Arial" w:eastAsia="Arial" w:hAnsi="Arial"/>
          <w:b w:val="false"/>
          <w:bCs w:val="false"/>
          <w:i w:val="false"/>
          <w:iCs w:val="false"/>
          <w:sz w:val="20"/>
          <w:szCs w:val="20"/>
        </w:rPr>
        <w:t xml:space="preserve">Supplementary Table S4. Source document registry (∼150 rows). Two rows per country (AI governance document + NDC/LT-LEDS). Source tier: V-PDF, V-WEB, S-WEB, or unresolved. Unresolved source-tier entries are working-status labels only and must be resolved or classified before final submission.</w:t>
      </w:r>
    </w:p>
    <w:p>
      <w:pPr>
        <w:spacing w:after="20" w:before="2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jc w:val="right"/>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pPr>
    <w:r>
      <w:rPr>
        <w:rFonts w:ascii="Arial" w:cs="Arial" w:eastAsia="Arial" w:hAnsi="Arial"/>
        <w:color w:val="808080"/>
        <w:sz w:val="16"/>
        <w:szCs w:val="16"/>
      </w:rPr>
      <w:t xml:space="preserve">DCAI Nature Sustainability — Supplementary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F4E79"/>
      <w:sz w:val="28"/>
      <w:szCs w:val="28"/>
    </w:rPr>
  </w:style>
  <w:style w:type="paragraph" w:styleId="Heading2">
    <w:name w:val="Heading 2"/>
    <w:basedOn w:val="Normal"/>
    <w:next w:val="Normal"/>
    <w:pPr>
      <w:spacing w:after="80" w:before="20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2026-05-20T11:27:35.810Z</dcterms:created>
  <dcterms:modified xsi:type="dcterms:W3CDTF">2026-05-20T11:27:35.810Z</dcterms:modified>
</cp:coreProperties>
</file>

<file path=docProps/custom.xml><?xml version="1.0" encoding="utf-8"?>
<Properties xmlns="http://schemas.openxmlformats.org/officeDocument/2006/custom-properties" xmlns:vt="http://schemas.openxmlformats.org/officeDocument/2006/docPropsVTypes"/>
</file>