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Table 1 | Confirmed-tier AI governance capacity, climate–energy integration and Digital–Climate Alignment Gap across 25 Phase 1 countries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4400"/>
        <w:gridCol w:w="2700"/>
        <w:gridCol w:w="1020"/>
        <w:gridCol w:w="1020"/>
        <w:gridCol w:w="1020"/>
        <w:gridCol w:w="1020"/>
        <w:gridCol w:w="820"/>
        <w:gridCol w:w="2198"/>
      </w:tblGrid>
      <w:tr>
        <w:trPr>
          <w:tblHeader/>
        </w:trPr>
        <w:tc>
          <w:tcPr>
            <w:tcW w:type="dxa" w:w="8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ISO3</w:t>
            </w:r>
          </w:p>
        </w:tc>
        <w:tc>
          <w:tcPr>
            <w:tcW w:type="dxa" w:w="4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Country</w:t>
            </w:r>
          </w:p>
        </w:tc>
        <w:tc>
          <w:tcPr>
            <w:tcW w:type="dxa" w:w="2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Region</w:t>
            </w:r>
          </w:p>
        </w:tc>
        <w:tc>
          <w:tcPr>
            <w:tcW w:type="dxa" w:w="10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Income</w:t>
            </w:r>
          </w:p>
        </w:tc>
        <w:tc>
          <w:tcPr>
            <w:tcW w:type="dxa" w:w="10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ACI%</w:t>
            </w:r>
          </w:p>
        </w:tc>
        <w:tc>
          <w:tcPr>
            <w:tcW w:type="dxa" w:w="10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CEIS%</w:t>
            </w:r>
          </w:p>
        </w:tc>
        <w:tc>
          <w:tcPr>
            <w:tcW w:type="dxa" w:w="10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 (pp)</w:t>
            </w:r>
          </w:p>
        </w:tc>
        <w:tc>
          <w:tcPr>
            <w:tcW w:type="dxa" w:w="8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CEI-1</w:t>
            </w:r>
          </w:p>
        </w:tc>
        <w:tc>
          <w:tcPr>
            <w:tcW w:type="dxa" w:w="219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AUS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Australia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Asia-Pacific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66.7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ARE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UAE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MENA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54.2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BRA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Brazil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Americas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UMIC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54.2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Canada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Americas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16.7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70.8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CHN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China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Asia-Pacific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UMIC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66.7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DEU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Germany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Europe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50.0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DNK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Denmark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Europe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37.5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ESP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Spain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Europe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54.2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Finland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Europe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37.5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FRA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France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Europe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62.5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GBR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United Kingdom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Europe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India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Asia-Pacific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LMIC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66.7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ISR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Israel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MENA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ITA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Italy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Europe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54.2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JPN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Japan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Asia-Pacific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66.7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KEN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Kenya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Africa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LMIC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KOR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South Korea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Asia-Pacific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NLD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Netherlands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Europe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37.5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NZL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New Zealand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Asia-Pacific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29.2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Poland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Europe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41.7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SAU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Saudi Arabia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MENA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87.5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SGP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Singapore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Asia-Pacific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75.0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SWE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Sweden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Europe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62.5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37.5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United States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Americas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91.7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ZAF</w:t>
            </w:r>
          </w:p>
        </w:tc>
        <w:tc>
          <w:tcPr>
            <w:tcW w:type="dxa" w:w="4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South Africa</w:t>
            </w:r>
          </w:p>
        </w:tc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Africa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UMIC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25.0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0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16.7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198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40" w:before="50"/>
      </w:pPr>
      <w:r>
        <w:rPr>
          <w:rFonts w:ascii="Arial" w:cs="Arial" w:eastAsia="Arial" w:hAnsi="Arial"/>
          <w:b/>
          <w:bCs/>
          <w:i w:val="false"/>
          <w:iCs w:val="false"/>
          <w:sz w:val="14"/>
          <w:szCs w:val="14"/>
        </w:rPr>
        <w:t xml:space="preserve">n = 25 | Gap &gt; 0: 25/25 | Gap range: 16.7–91.7 pp | Gap mean: 58.3 pp | Gap median: 62.5 pp | CEIS% = 0: SGP, KEN, ISR, SAU</w:t>
      </w:r>
    </w:p>
    <w:p>
      <w:pPr>
        <w:spacing w:after="20" w:before="40"/>
      </w:pPr>
      <w:r>
        <w:rPr>
          <w:rFonts w:ascii="Arial" w:cs="Arial" w:eastAsia="Arial" w:hAnsi="Arial"/>
          <w:b w:val="false"/>
          <w:bCs w:val="false"/>
          <w:i/>
          <w:iCs/>
          <w:sz w:val="14"/>
          <w:szCs w:val="14"/>
        </w:rPr>
        <w:t xml:space="preserve">Notes: ACI, AI Governance Capacity Index; CEIS, Climate–Energy Integration Score; Gap = ACI% − CEIS%. Income groups follow World Bank classifications. CEI-1 status: 0 = no qualifying evidence; 1 = qualifying evidence confirmed.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/>
          <w:iCs/>
          <w:sz w:val="14"/>
          <w:szCs w:val="14"/>
        </w:rPr>
        <w:t xml:space="preserve">a.  CHN and ARE carry component-level sensitivity flags for CEI-3 and CEI-5. Their CEIS% values are reported using the locked working values, with sensitivity status documented in Supplementary Table S3.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i/>
          <w:iCs/>
          <w:sz w:val="14"/>
          <w:szCs w:val="14"/>
        </w:rPr>
        <w:t xml:space="preserve">b.  BRA is the only confirmed-tier country with CEI-1=1.</w:t>
      </w:r>
    </w:p>
    <w:p>
      <w:pPr>
        <w:pageBreakBefore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Table 2 | Evidence pathways for Scenario B digital–climate integration candidates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20"/>
        <w:gridCol w:w="1500"/>
        <w:gridCol w:w="4959"/>
        <w:gridCol w:w="4959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 pathway</w:t>
            </w:r>
          </w:p>
        </w:tc>
        <w:tc>
          <w:tcPr>
            <w:tcW w:type="dxa" w:w="8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Countries</w:t>
            </w:r>
          </w:p>
        </w:tc>
        <w:tc>
          <w:tcPr>
            <w:tcW w:type="dxa" w:w="495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Qualifying evidence type</w:t>
            </w:r>
          </w:p>
        </w:tc>
        <w:tc>
          <w:tcPr>
            <w:tcW w:type="dxa" w:w="495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Reviewer-risk control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LT-LEDS / LTS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Rule 1</w:t>
            </w:r>
          </w:p>
        </w:tc>
        <w:tc>
          <w:tcPr>
            <w:tcW w:type="dxa" w:w="1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</w:t>
            </w:r>
          </w:p>
        </w:tc>
        <w:tc>
          <w:tcPr>
            <w:tcW w:type="dxa" w:w="4959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Digital/energy governance language in official LT-LEDS/LTS submission</w:t>
            </w:r>
          </w:p>
        </w:tc>
        <w:tc>
          <w:tcPr>
            <w:tcW w:type="dxa" w:w="4959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Scenario A = 0; Scenario B via LT-LEDS only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MRV / registry / platform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Rule 2</w:t>
            </w:r>
          </w:p>
        </w:tc>
        <w:tc>
          <w:tcPr>
            <w:tcW w:type="dxa" w:w="1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CRI, GHA, UZB, IDN</w:t>
            </w:r>
          </w:p>
        </w:tc>
        <w:tc>
          <w:tcPr>
            <w:tcW w:type="dxa" w:w="4959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Explicit platform, registry, or online system linked to NDC implementation, Article 6, or MRV/transparency system</w:t>
            </w:r>
          </w:p>
        </w:tc>
        <w:tc>
          <w:tcPr>
            <w:tcW w:type="dxa" w:w="4959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Generic MRV language alone insufficient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Monitoring / adaptation systems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Rule 3</w:t>
            </w:r>
          </w:p>
        </w:tc>
        <w:tc>
          <w:tcPr>
            <w:tcW w:type="dxa" w:w="1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CHL, URY</w:t>
            </w:r>
          </w:p>
        </w:tc>
        <w:tc>
          <w:tcPr>
            <w:tcW w:type="dxa" w:w="4959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Digital monitoring or adaptation data system explicitly linked to climate-risk governance or adaptation planning</w:t>
            </w:r>
          </w:p>
        </w:tc>
        <w:tc>
          <w:tcPr>
            <w:tcW w:type="dxa" w:w="4959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Routine observation alone insufficient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Smart / digital infrastructure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Rule 4</w:t>
            </w:r>
          </w:p>
        </w:tc>
        <w:tc>
          <w:tcPr>
            <w:tcW w:type="dxa" w:w="1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KAZ, QAT</w:t>
            </w:r>
          </w:p>
        </w:tc>
        <w:tc>
          <w:tcPr>
            <w:tcW w:type="dxa" w:w="4959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Named smart/digital system linked to climate mitigation, renewable integration, or energy-climate governance</w:t>
            </w:r>
          </w:p>
        </w:tc>
        <w:tc>
          <w:tcPr>
            <w:tcW w:type="dxa" w:w="4959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QAT = STRONG BORDERLINE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Multi-domain (Rules 2+3+4)</w:t>
            </w:r>
          </w:p>
        </w:tc>
        <w:tc>
          <w:tcPr>
            <w:tcW w:type="dxa" w:w="8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Rules 2+3+4</w:t>
            </w:r>
          </w:p>
        </w:tc>
        <w:tc>
          <w:tcPr>
            <w:tcW w:type="dxa" w:w="1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</w:t>
            </w:r>
          </w:p>
        </w:tc>
        <w:tc>
          <w:tcPr>
            <w:tcW w:type="dxa" w:w="4959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Qualifying evidence independently satisfying Rules 2, 3 and 4</w:t>
            </w:r>
          </w:p>
        </w:tc>
        <w:tc>
          <w:tcPr>
            <w:tcW w:type="dxa" w:w="4959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MULTI-DOMAIN STRONG EVIDENCE; breadth ≠ full integration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i/>
          <w:iCs/>
          <w:sz w:val="14"/>
          <w:szCs w:val="14"/>
        </w:rPr>
        <w:t xml:space="preserve">Notes: Scenario B is the main specification and includes 10 candidate countries; 19 countries are coded Keep 0. Scenario C is a sensitivity specification only and identifies five additional NECP-based cases (GRC, ROU, BGR, LTU and UKR), which are not counted as Scenario B candidates. The full 29-country matrix is provided in Supplementary Table S2.</w:t>
      </w:r>
    </w:p>
    <w:sectPr>
      <w:head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</w:pPr>
    <w:r>
      <w:rPr>
        <w:rFonts w:ascii="Arial" w:cs="Arial" w:eastAsia="Arial" w:hAnsi="Arial"/>
        <w:color w:val="808080"/>
        <w:sz w:val="14"/>
        <w:szCs w:val="14"/>
      </w:rPr>
      <w:t xml:space="preserve">DCAI Nature Sustainability — Main Tables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2026-05-20T12:58:13.113Z</dcterms:created>
  <dcterms:modified xsi:type="dcterms:W3CDTF">2026-05-20T12:58:13.113Z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