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Versioning &amp; Compatibility ADR 1.0</w:t>
      </w:r>
    </w:p>
    <w:p>
      <w:pPr>
        <w:jc w:val="center"/>
      </w:pPr>
      <w:r>
        <w:rPr>
          <w:b/>
        </w:rPr>
        <w:t>Document ID: ADR-API-001  |  Version: 1.0  |  Date: 2026-09-10</w:t>
      </w:r>
    </w:p>
    <w:p>
      <w:pPr>
        <w:jc w:val="center"/>
      </w:pPr>
      <w:r>
        <w:rPr>
          <w:b/>
        </w:rPr>
        <w:t>Status: ARCHITECTURE DECISION CANDIDATE — B-04 CLOSURE CANDIDATE</w:t>
      </w:r>
    </w:p>
    <w:p>
      <w:pPr>
        <w:pStyle w:val="Heading1"/>
      </w:pPr>
      <w:r>
        <w:t>0. Decision Summary</w:t>
      </w:r>
    </w:p>
    <w:p>
      <w:r>
        <w:t>CHGO는 Public/Headless REST API의 major version을 URL path에 명시한다: `/api/v1/...`, `/api/v2/...`. Minor/Patch 버전은 URL에 노출하지 않고 OpenAPI artifact 및 release metadata에서 관리한다. 한 major version 안에서는 backward-compatible additive change만 허용하며, 기존 client 구현 변경이 필요한 변화는 새 major version으로 분리한다.</w:t>
      </w:r>
    </w:p>
    <w:p>
      <w:r>
        <w:t>현재 `/api/v1`과 `/api/v2`의 공존은 오류가 아니라 명시적 compatibility window로 재정의한다. v1은 기존 CHGO/legacy integration 호환선, v2는 Church OS 2.x/3.x 및 향후 Headless integration의 확장선으로 사용한다. 다만 v2가 ACTIVE/GA가 되기 전까지는 CANDIDATE이며, v1을 자동 폐기하지 않는다.</w:t>
      </w:r>
    </w:p>
    <w:p>
      <w:pPr>
        <w:pStyle w:val="Heading1"/>
      </w:pPr>
      <w:r>
        <w:t>1. Context / Problem</w:t>
      </w:r>
    </w:p>
    <w:p>
      <w:r>
        <w:t>현재 CHGO artifact에는 `/api/v1` baseline/candidate와 Church OS `/api/v2` delta가 동시에 존재한다. 이 상태에서 version authority, breaking-change 정의, deprecation, SDK/webhook compatibility가 고정되지 않으면 개발자는 어떤 contract가 기준인지 추측해야 한다. 따라서 본 ADR은 B-04 API lineage blocker를 해소하기 위한 장기 version governance를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</w:rPr>
              <w:t>Observed State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ADR Response</w:t>
            </w:r>
          </w:p>
        </w:tc>
      </w:tr>
      <w:tr>
        <w:tc>
          <w:tcPr>
            <w:tcW w:type="dxa" w:w="3456"/>
            <w:vAlign w:val="top"/>
          </w:tcPr>
          <w:p>
            <w:r>
              <w:t>v1.0 baseline + v1.1 Candidate + v2 Church OS delta coexist</w:t>
            </w:r>
          </w:p>
        </w:tc>
        <w:tc>
          <w:tcPr>
            <w:tcW w:type="dxa" w:w="3456"/>
            <w:vAlign w:val="top"/>
          </w:tcPr>
          <w:p>
            <w:r>
              <w:t>Single Source-of-Truth ambiguity</w:t>
            </w:r>
          </w:p>
        </w:tc>
        <w:tc>
          <w:tcPr>
            <w:tcW w:type="dxa" w:w="3456"/>
            <w:vAlign w:val="top"/>
          </w:tcPr>
          <w:p>
            <w:r>
              <w:t>Major line + lifecycle 분리</w:t>
            </w:r>
          </w:p>
        </w:tc>
      </w:tr>
      <w:tr>
        <w:tc>
          <w:tcPr>
            <w:tcW w:type="dxa" w:w="3456"/>
            <w:vAlign w:val="top"/>
          </w:tcPr>
          <w:p>
            <w:r>
              <w:t>Headless churches depend on stable APIs</w:t>
            </w:r>
          </w:p>
        </w:tc>
        <w:tc>
          <w:tcPr>
            <w:tcW w:type="dxa" w:w="3456"/>
            <w:vAlign w:val="top"/>
          </w:tcPr>
          <w:p>
            <w:r>
              <w:t>Church app breakage</w:t>
            </w:r>
          </w:p>
        </w:tc>
        <w:tc>
          <w:tcPr>
            <w:tcW w:type="dxa" w:w="3456"/>
            <w:vAlign w:val="top"/>
          </w:tcPr>
          <w:p>
            <w:r>
              <w:t>Major compatibility contract</w:t>
            </w:r>
          </w:p>
        </w:tc>
      </w:tr>
      <w:tr>
        <w:tc>
          <w:tcPr>
            <w:tcW w:type="dxa" w:w="3456"/>
            <w:vAlign w:val="top"/>
          </w:tcPr>
          <w:p>
            <w:r>
              <w:t>White-label/Church OS 3.0 redesign forthcoming</w:t>
            </w:r>
          </w:p>
        </w:tc>
        <w:tc>
          <w:tcPr>
            <w:tcW w:type="dxa" w:w="3456"/>
            <w:vAlign w:val="top"/>
          </w:tcPr>
          <w:p>
            <w:r>
              <w:t>Patch-chain explosion</w:t>
            </w:r>
          </w:p>
        </w:tc>
        <w:tc>
          <w:tcPr>
            <w:tcW w:type="dxa" w:w="3456"/>
            <w:vAlign w:val="top"/>
          </w:tcPr>
          <w:p>
            <w:r>
              <w:t>Breaking change → new major / redesign gate</w:t>
            </w:r>
          </w:p>
        </w:tc>
      </w:tr>
      <w:tr>
        <w:tc>
          <w:tcPr>
            <w:tcW w:type="dxa" w:w="3456"/>
            <w:vAlign w:val="top"/>
          </w:tcPr>
          <w:p>
            <w:r>
              <w:t>Personal Vault API forthcoming</w:t>
            </w:r>
          </w:p>
        </w:tc>
        <w:tc>
          <w:tcPr>
            <w:tcW w:type="dxa" w:w="3456"/>
            <w:vAlign w:val="top"/>
          </w:tcPr>
          <w:p>
            <w:r>
              <w:t>Privacy boundary leakage</w:t>
            </w:r>
          </w:p>
        </w:tc>
        <w:tc>
          <w:tcPr>
            <w:tcW w:type="dxa" w:w="3456"/>
            <w:vAlign w:val="top"/>
          </w:tcPr>
          <w:p>
            <w:r>
              <w:t>Separate domain contract + version impact gate</w:t>
            </w:r>
          </w:p>
        </w:tc>
      </w:tr>
    </w:tbl>
    <w:p>
      <w:pPr>
        <w:pStyle w:val="Heading1"/>
      </w:pPr>
      <w:r>
        <w:t>2. Decision Drivers</w:t>
      </w:r>
    </w:p>
    <w:p>
      <w:pPr>
        <w:pStyle w:val="ListBullet"/>
      </w:pPr>
      <w:r>
        <w:t>앱이 있는 교회는 기존 앱을 유지하면서 CHGO Engine을 연결해야 하므로 외부 계약 안정성이 제품 신뢰의 핵심이다.</w:t>
      </w:r>
    </w:p>
    <w:p>
      <w:pPr>
        <w:pStyle w:val="ListBullet"/>
      </w:pPr>
      <w:r>
        <w:t>앱이 없는 교회의 Instant Church OS도 동일 backend contract를 소비하므로 internal/external API가 무질서하게 분기되어서는 안 된다.</w:t>
      </w:r>
    </w:p>
    <w:p>
      <w:pPr>
        <w:pStyle w:val="ListBullet"/>
      </w:pPr>
      <w:r>
        <w:t>CHGO는 One Codebase + Multi-Tenant를 유지하되 API major version은 명확히 병행 지원할 수 있어야 한다.</w:t>
      </w:r>
    </w:p>
    <w:p>
      <w:pPr>
        <w:pStyle w:val="ListBullet"/>
      </w:pPr>
      <w:r>
        <w:t>Canonical Meaning/Ontology의 버전과 API의 버전을 동일 숫자로 강제하지 않는다.</w:t>
      </w:r>
    </w:p>
    <w:p>
      <w:pPr>
        <w:pStyle w:val="ListBullet"/>
      </w:pPr>
      <w:r>
        <w:t>API version 변경은 DB migration, ontology vocabulary, SDK, webhook, tests, docs, privacy 영향을 함께 추적해야 한다.</w:t>
      </w:r>
    </w:p>
    <w:p>
      <w:pPr>
        <w:pStyle w:val="Heading1"/>
      </w:pPr>
      <w:r>
        <w:t>3. Chosen Versioning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Version Mechanism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92"/>
            <w:vAlign w:val="top"/>
          </w:tcPr>
          <w:p>
            <w:r>
              <w:t>REST Public/Headless API</w:t>
            </w:r>
          </w:p>
        </w:tc>
        <w:tc>
          <w:tcPr>
            <w:tcW w:type="dxa" w:w="2592"/>
            <w:vAlign w:val="top"/>
          </w:tcPr>
          <w:p>
            <w:r>
              <w:t>Major in path</w:t>
            </w:r>
          </w:p>
        </w:tc>
        <w:tc>
          <w:tcPr>
            <w:tcW w:type="dxa" w:w="2592"/>
            <w:vAlign w:val="top"/>
          </w:tcPr>
          <w:p>
            <w:r>
              <w:t>/api/v1/churches, /api/v2/churches</w:t>
            </w:r>
          </w:p>
        </w:tc>
        <w:tc>
          <w:tcPr>
            <w:tcW w:type="dxa" w:w="2592"/>
            <w:vAlign w:val="top"/>
          </w:tcPr>
          <w:p>
            <w:r>
              <w:t>Breaking contract boundary</w:t>
            </w:r>
          </w:p>
        </w:tc>
      </w:tr>
      <w:tr>
        <w:tc>
          <w:tcPr>
            <w:tcW w:type="dxa" w:w="2592"/>
            <w:vAlign w:val="top"/>
          </w:tcPr>
          <w:p>
            <w:r>
              <w:t>OpenAPI document</w:t>
            </w:r>
          </w:p>
        </w:tc>
        <w:tc>
          <w:tcPr>
            <w:tcW w:type="dxa" w:w="2592"/>
            <w:vAlign w:val="top"/>
          </w:tcPr>
          <w:p>
            <w:r>
              <w:t>SemVer + lifecycle</w:t>
            </w:r>
          </w:p>
        </w:tc>
        <w:tc>
          <w:tcPr>
            <w:tcW w:type="dxa" w:w="2592"/>
            <w:vAlign w:val="top"/>
          </w:tcPr>
          <w:p>
            <w:r>
              <w:t>2.1.0 CANDIDATE</w:t>
            </w:r>
          </w:p>
        </w:tc>
        <w:tc>
          <w:tcPr>
            <w:tcW w:type="dxa" w:w="2592"/>
            <w:vAlign w:val="top"/>
          </w:tcPr>
          <w:p>
            <w:r>
              <w:t>Spec evolution</w:t>
            </w:r>
          </w:p>
        </w:tc>
      </w:tr>
      <w:tr>
        <w:tc>
          <w:tcPr>
            <w:tcW w:type="dxa" w:w="2592"/>
            <w:vAlign w:val="top"/>
          </w:tcPr>
          <w:p>
            <w:r>
              <w:t>SDK</w:t>
            </w:r>
          </w:p>
        </w:tc>
        <w:tc>
          <w:tcPr>
            <w:tcW w:type="dxa" w:w="2592"/>
            <w:vAlign w:val="top"/>
          </w:tcPr>
          <w:p>
            <w:r>
              <w:t>SemVer</w:t>
            </w:r>
          </w:p>
        </w:tc>
        <w:tc>
          <w:tcPr>
            <w:tcW w:type="dxa" w:w="2592"/>
            <w:vAlign w:val="top"/>
          </w:tcPr>
          <w:p>
            <w:r>
              <w:t>chgo-sdk-js 2.3.1</w:t>
            </w:r>
          </w:p>
        </w:tc>
        <w:tc>
          <w:tcPr>
            <w:tcW w:type="dxa" w:w="2592"/>
            <w:vAlign w:val="top"/>
          </w:tcPr>
          <w:p>
            <w:r>
              <w:t>SDK major aligns to incompatible public API contract</w:t>
            </w:r>
          </w:p>
        </w:tc>
      </w:tr>
      <w:tr>
        <w:tc>
          <w:tcPr>
            <w:tcW w:type="dxa" w:w="2592"/>
            <w:vAlign w:val="top"/>
          </w:tcPr>
          <w:p>
            <w:r>
              <w:t>Webhook envelope</w:t>
            </w:r>
          </w:p>
        </w:tc>
        <w:tc>
          <w:tcPr>
            <w:tcW w:type="dxa" w:w="2592"/>
            <w:vAlign w:val="top"/>
          </w:tcPr>
          <w:p>
            <w:r>
              <w:t>Explicit schema_version</w:t>
            </w:r>
          </w:p>
        </w:tc>
        <w:tc>
          <w:tcPr>
            <w:tcW w:type="dxa" w:w="2592"/>
            <w:vAlign w:val="top"/>
          </w:tcPr>
          <w:p>
            <w:r>
              <w:t>schema_version: 2.0</w:t>
            </w:r>
          </w:p>
        </w:tc>
        <w:tc>
          <w:tcPr>
            <w:tcW w:type="dxa" w:w="2592"/>
            <w:vAlign w:val="top"/>
          </w:tcPr>
          <w:p>
            <w:r>
              <w:t>Consumer can route/validate</w:t>
            </w:r>
          </w:p>
        </w:tc>
      </w:tr>
      <w:tr>
        <w:tc>
          <w:tcPr>
            <w:tcW w:type="dxa" w:w="2592"/>
            <w:vAlign w:val="top"/>
          </w:tcPr>
          <w:p>
            <w:r>
              <w:t>Event payload</w:t>
            </w:r>
          </w:p>
        </w:tc>
        <w:tc>
          <w:tcPr>
            <w:tcW w:type="dxa" w:w="2592"/>
            <w:vAlign w:val="top"/>
          </w:tcPr>
          <w:p>
            <w:r>
              <w:t>event_type + schema_version</w:t>
            </w:r>
          </w:p>
        </w:tc>
        <w:tc>
          <w:tcPr>
            <w:tcW w:type="dxa" w:w="2592"/>
            <w:vAlign w:val="top"/>
          </w:tcPr>
          <w:p>
            <w:r>
              <w:t>church.member.updated / 2.1</w:t>
            </w:r>
          </w:p>
        </w:tc>
        <w:tc>
          <w:tcPr>
            <w:tcW w:type="dxa" w:w="2592"/>
            <w:vAlign w:val="top"/>
          </w:tcPr>
          <w:p>
            <w:r>
              <w:t>Payload compatibility independent of transport</w:t>
            </w:r>
          </w:p>
        </w:tc>
      </w:tr>
      <w:tr>
        <w:tc>
          <w:tcPr>
            <w:tcW w:type="dxa" w:w="2592"/>
            <w:vAlign w:val="top"/>
          </w:tcPr>
          <w:p>
            <w:r>
              <w:t>DB</w:t>
            </w:r>
          </w:p>
        </w:tc>
        <w:tc>
          <w:tcPr>
            <w:tcW w:type="dxa" w:w="2592"/>
            <w:vAlign w:val="top"/>
          </w:tcPr>
          <w:p>
            <w:r>
              <w:t>Immutable ordered migration</w:t>
            </w:r>
          </w:p>
        </w:tc>
        <w:tc>
          <w:tcPr>
            <w:tcW w:type="dxa" w:w="2592"/>
            <w:vAlign w:val="top"/>
          </w:tcPr>
          <w:p>
            <w:r>
              <w:t>V013__...sql</w:t>
            </w:r>
          </w:p>
        </w:tc>
        <w:tc>
          <w:tcPr>
            <w:tcW w:type="dxa" w:w="2592"/>
            <w:vAlign w:val="top"/>
          </w:tcPr>
          <w:p>
            <w:r>
              <w:t>Never infer API version from DB migration number</w:t>
            </w:r>
          </w:p>
        </w:tc>
      </w:tr>
      <w:tr>
        <w:tc>
          <w:tcPr>
            <w:tcW w:type="dxa" w:w="2592"/>
            <w:vAlign w:val="top"/>
          </w:tcPr>
          <w:p>
            <w:r>
              <w:t>Ontology</w:t>
            </w:r>
          </w:p>
        </w:tc>
        <w:tc>
          <w:tcPr>
            <w:tcW w:type="dxa" w:w="2592"/>
            <w:vAlign w:val="top"/>
          </w:tcPr>
          <w:p>
            <w:r>
              <w:t>Own semantic/version lineage</w:t>
            </w:r>
          </w:p>
        </w:tc>
        <w:tc>
          <w:tcPr>
            <w:tcW w:type="dxa" w:w="2592"/>
            <w:vAlign w:val="top"/>
          </w:tcPr>
          <w:p>
            <w:r>
              <w:t>Ontology 1.2.0</w:t>
            </w:r>
          </w:p>
        </w:tc>
        <w:tc>
          <w:tcPr>
            <w:tcW w:type="dxa" w:w="2592"/>
            <w:vAlign w:val="top"/>
          </w:tcPr>
          <w:p>
            <w:r>
              <w:t>API maps to ontology; numbers need not match</w:t>
            </w:r>
          </w:p>
        </w:tc>
      </w:tr>
      <w:tr>
        <w:tc>
          <w:tcPr>
            <w:tcW w:type="dxa" w:w="2592"/>
            <w:vAlign w:val="top"/>
          </w:tcPr>
          <w:p>
            <w:r>
              <w:t>Product/Church OS</w:t>
            </w:r>
          </w:p>
        </w:tc>
        <w:tc>
          <w:tcPr>
            <w:tcW w:type="dxa" w:w="2592"/>
            <w:vAlign w:val="top"/>
          </w:tcPr>
          <w:p>
            <w:r>
              <w:t>Own product version</w:t>
            </w:r>
          </w:p>
        </w:tc>
        <w:tc>
          <w:tcPr>
            <w:tcW w:type="dxa" w:w="2592"/>
            <w:vAlign w:val="top"/>
          </w:tcPr>
          <w:p>
            <w:r>
              <w:t>Church OS 3.0</w:t>
            </w:r>
          </w:p>
        </w:tc>
        <w:tc>
          <w:tcPr>
            <w:tcW w:type="dxa" w:w="2592"/>
            <w:vAlign w:val="top"/>
          </w:tcPr>
          <w:p>
            <w:r>
              <w:t>Product major ≠ API major</w:t>
            </w:r>
          </w:p>
        </w:tc>
      </w:tr>
    </w:tbl>
    <w:p>
      <w:r>
        <w:t>Important: Church OS 3.0 does not imply `/api/v3`. API major changes only when the external contract is breaking.</w:t>
      </w:r>
    </w:p>
    <w:p>
      <w:pPr>
        <w:pStyle w:val="Heading1"/>
      </w:pPr>
      <w:r>
        <w:t>4. URL &amp; Routing Standard</w:t>
      </w:r>
    </w:p>
    <w:p>
      <w:pPr>
        <w:ind w:left="360"/>
      </w:pPr>
      <w:r>
        <w:rPr>
          <w:rFonts w:ascii="Consolas" w:hAnsi="Consolas"/>
          <w:sz w:val="16"/>
        </w:rPr>
        <w:t>https://api.&lt;domain&gt;/api/v1/&lt;resource&gt;</w:t>
      </w:r>
    </w:p>
    <w:p>
      <w:pPr>
        <w:ind w:left="360"/>
      </w:pPr>
      <w:r>
        <w:rPr>
          <w:rFonts w:ascii="Consolas" w:hAnsi="Consolas"/>
          <w:sz w:val="16"/>
        </w:rPr>
        <w:t>https://api.&lt;domain&gt;/api/v2/&lt;resource&gt;</w:t>
      </w:r>
    </w:p>
    <w:p>
      <w:r>
        <w:t>CHGO는 현재 이미 path-versioned API family가 존재하고 Headless integration에서 resource shape/path가 진화할 가능성이 있으므로 major-in-path를 표준으로 고정한다. 같은 public API surface에서 query-date versioning과 path major versioning을 혼용하지 않는다.</w:t>
      </w:r>
    </w:p>
    <w:p>
      <w:pPr>
        <w:pStyle w:val="ListBullet"/>
      </w:pPr>
      <w:r>
        <w:t>`/api/latest` 같은 alias는 금지한다. 자동으로 의미가 바뀌어 client reproducibility를 해친다.</w:t>
      </w:r>
    </w:p>
    <w:p>
      <w:pPr>
        <w:pStyle w:val="ListBullet"/>
      </w:pPr>
      <w:r>
        <w:t>무버전 `/api/&lt;resource&gt;` public endpoint는 금지한다.</w:t>
      </w:r>
    </w:p>
    <w:p>
      <w:pPr>
        <w:pStyle w:val="ListBullet"/>
      </w:pPr>
      <w:r>
        <w:t>Internal service-to-service API도 external contract로 승격될 가능성이 있으면 동일 contract discipline을 적용한다.</w:t>
      </w:r>
    </w:p>
    <w:p>
      <w:pPr>
        <w:pStyle w:val="ListBullet"/>
      </w:pPr>
      <w:r>
        <w:t>Health/metrics 같은 infrastructure endpoint는 별도 namespace로 관리할 수 있다.</w:t>
      </w:r>
    </w:p>
    <w:p>
      <w:pPr>
        <w:pStyle w:val="Heading1"/>
      </w:pPr>
      <w:r>
        <w:t>5. What Counts as a Breaking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56"/>
            <w:vAlign w:val="top"/>
          </w:tcPr>
          <w:p>
            <w:r>
              <w:t>Endpoint/resource/parameter 제거 또는 rename</w:t>
            </w:r>
          </w:p>
        </w:tc>
        <w:tc>
          <w:tcPr>
            <w:tcW w:type="dxa" w:w="3456"/>
            <w:vAlign w:val="top"/>
          </w:tcPr>
          <w:p>
            <w:r>
              <w:t>BREAKING</w:t>
            </w:r>
          </w:p>
        </w:tc>
        <w:tc>
          <w:tcPr>
            <w:tcW w:type="dxa" w:w="3456"/>
            <w:vAlign w:val="top"/>
          </w:tcPr>
          <w:p>
            <w:r>
              <w:t>New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Request required field/header 추가</w:t>
            </w:r>
          </w:p>
        </w:tc>
        <w:tc>
          <w:tcPr>
            <w:tcW w:type="dxa" w:w="3456"/>
            <w:vAlign w:val="top"/>
          </w:tcPr>
          <w:p>
            <w:r>
              <w:t>BREAKING</w:t>
            </w:r>
          </w:p>
        </w:tc>
        <w:tc>
          <w:tcPr>
            <w:tcW w:type="dxa" w:w="3456"/>
            <w:vAlign w:val="top"/>
          </w:tcPr>
          <w:p>
            <w:r>
              <w:t>New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Field type/meaning/unit 변경</w:t>
            </w:r>
          </w:p>
        </w:tc>
        <w:tc>
          <w:tcPr>
            <w:tcW w:type="dxa" w:w="3456"/>
            <w:vAlign w:val="top"/>
          </w:tcPr>
          <w:p>
            <w:r>
              <w:t>BREAKING</w:t>
            </w:r>
          </w:p>
        </w:tc>
        <w:tc>
          <w:tcPr>
            <w:tcW w:type="dxa" w:w="3456"/>
            <w:vAlign w:val="top"/>
          </w:tcPr>
          <w:p>
            <w:r>
              <w:t>New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HTTP status/error code의 client-visible 의미 변경</w:t>
            </w:r>
          </w:p>
        </w:tc>
        <w:tc>
          <w:tcPr>
            <w:tcW w:type="dxa" w:w="3456"/>
            <w:vAlign w:val="top"/>
          </w:tcPr>
          <w:p>
            <w:r>
              <w:t>BREAKING</w:t>
            </w:r>
          </w:p>
        </w:tc>
        <w:tc>
          <w:tcPr>
            <w:tcW w:type="dxa" w:w="3456"/>
            <w:vAlign w:val="top"/>
          </w:tcPr>
          <w:p>
            <w:r>
              <w:t>New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Authorization scope/permission을 더 엄격하게 변경</w:t>
            </w:r>
          </w:p>
        </w:tc>
        <w:tc>
          <w:tcPr>
            <w:tcW w:type="dxa" w:w="3456"/>
            <w:vAlign w:val="top"/>
          </w:tcPr>
          <w:p>
            <w:r>
              <w:t>BREAKING unless security emergency</w:t>
            </w:r>
          </w:p>
        </w:tc>
        <w:tc>
          <w:tcPr>
            <w:tcW w:type="dxa" w:w="3456"/>
            <w:vAlign w:val="top"/>
          </w:tcPr>
          <w:p>
            <w:r>
              <w:t>Review + major/exception</w:t>
            </w:r>
          </w:p>
        </w:tc>
      </w:tr>
      <w:tr>
        <w:tc>
          <w:tcPr>
            <w:tcW w:type="dxa" w:w="3456"/>
            <w:vAlign w:val="top"/>
          </w:tcPr>
          <w:p>
            <w:r>
              <w:t>Pagination을 새로 강제하여 client behavior 변경</w:t>
            </w:r>
          </w:p>
        </w:tc>
        <w:tc>
          <w:tcPr>
            <w:tcW w:type="dxa" w:w="3456"/>
            <w:vAlign w:val="top"/>
          </w:tcPr>
          <w:p>
            <w:r>
              <w:t>BREAKING</w:t>
            </w:r>
          </w:p>
        </w:tc>
        <w:tc>
          <w:tcPr>
            <w:tcW w:type="dxa" w:w="3456"/>
            <w:vAlign w:val="top"/>
          </w:tcPr>
          <w:p>
            <w:r>
              <w:t>New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Rate limit/latency contract를 실질적으로 악화</w:t>
            </w:r>
          </w:p>
        </w:tc>
        <w:tc>
          <w:tcPr>
            <w:tcW w:type="dxa" w:w="3456"/>
            <w:vAlign w:val="top"/>
          </w:tcPr>
          <w:p>
            <w:r>
              <w:t>BEHAVIOR BREAK</w:t>
            </w:r>
          </w:p>
        </w:tc>
        <w:tc>
          <w:tcPr>
            <w:tcW w:type="dxa" w:w="3456"/>
            <w:vAlign w:val="top"/>
          </w:tcPr>
          <w:p>
            <w:r>
              <w:t>Architecture review</w:t>
            </w:r>
          </w:p>
        </w:tc>
      </w:tr>
      <w:tr>
        <w:tc>
          <w:tcPr>
            <w:tcW w:type="dxa" w:w="3456"/>
            <w:vAlign w:val="top"/>
          </w:tcPr>
          <w:p>
            <w:r>
              <w:t>Nullable optional response field 추가</w:t>
            </w:r>
          </w:p>
        </w:tc>
        <w:tc>
          <w:tcPr>
            <w:tcW w:type="dxa" w:w="3456"/>
            <w:vAlign w:val="top"/>
          </w:tcPr>
          <w:p>
            <w:r>
              <w:t>NON-BREAKING</w:t>
            </w:r>
          </w:p>
        </w:tc>
        <w:tc>
          <w:tcPr>
            <w:tcW w:type="dxa" w:w="3456"/>
            <w:vAlign w:val="top"/>
          </w:tcPr>
          <w:p>
            <w:r>
              <w:t>Same major; minor spec release</w:t>
            </w:r>
          </w:p>
        </w:tc>
      </w:tr>
      <w:tr>
        <w:tc>
          <w:tcPr>
            <w:tcW w:type="dxa" w:w="3456"/>
            <w:vAlign w:val="top"/>
          </w:tcPr>
          <w:p>
            <w:r>
              <w:t>Optional request parameter 추가 with safe default</w:t>
            </w:r>
          </w:p>
        </w:tc>
        <w:tc>
          <w:tcPr>
            <w:tcW w:type="dxa" w:w="3456"/>
            <w:vAlign w:val="top"/>
          </w:tcPr>
          <w:p>
            <w:r>
              <w:t>NON-BREAKING</w:t>
            </w:r>
          </w:p>
        </w:tc>
        <w:tc>
          <w:tcPr>
            <w:tcW w:type="dxa" w:w="3456"/>
            <w:vAlign w:val="top"/>
          </w:tcPr>
          <w:p>
            <w:r>
              <w:t>Same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New endpoint/resource 추가</w:t>
            </w:r>
          </w:p>
        </w:tc>
        <w:tc>
          <w:tcPr>
            <w:tcW w:type="dxa" w:w="3456"/>
            <w:vAlign w:val="top"/>
          </w:tcPr>
          <w:p>
            <w:r>
              <w:t>NON-BREAKING</w:t>
            </w:r>
          </w:p>
        </w:tc>
        <w:tc>
          <w:tcPr>
            <w:tcW w:type="dxa" w:w="3456"/>
            <w:vAlign w:val="top"/>
          </w:tcPr>
          <w:p>
            <w:r>
              <w:t>Same major</w:t>
            </w:r>
          </w:p>
        </w:tc>
      </w:tr>
      <w:tr>
        <w:tc>
          <w:tcPr>
            <w:tcW w:type="dxa" w:w="3456"/>
            <w:vAlign w:val="top"/>
          </w:tcPr>
          <w:p>
            <w:r>
              <w:t>Extensible enum에 새 값 추가</w:t>
            </w:r>
          </w:p>
        </w:tc>
        <w:tc>
          <w:tcPr>
            <w:tcW w:type="dxa" w:w="3456"/>
            <w:vAlign w:val="top"/>
          </w:tcPr>
          <w:p>
            <w:r>
              <w:t>NON-BREAKING only if client contract declares extensibility</w:t>
            </w:r>
          </w:p>
        </w:tc>
        <w:tc>
          <w:tcPr>
            <w:tcW w:type="dxa" w:w="3456"/>
            <w:vAlign w:val="top"/>
          </w:tcPr>
          <w:p>
            <w:r>
              <w:t>Same major + contract test</w:t>
            </w:r>
          </w:p>
        </w:tc>
      </w:tr>
      <w:tr>
        <w:tc>
          <w:tcPr>
            <w:tcW w:type="dxa" w:w="3456"/>
            <w:vAlign w:val="top"/>
          </w:tcPr>
          <w:p>
            <w:r>
              <w:t>Field description typo/doc clarification</w:t>
            </w:r>
          </w:p>
        </w:tc>
        <w:tc>
          <w:tcPr>
            <w:tcW w:type="dxa" w:w="3456"/>
            <w:vAlign w:val="top"/>
          </w:tcPr>
          <w:p>
            <w:r>
              <w:t>PATCH</w:t>
            </w:r>
          </w:p>
        </w:tc>
        <w:tc>
          <w:tcPr>
            <w:tcW w:type="dxa" w:w="3456"/>
            <w:vAlign w:val="top"/>
          </w:tcPr>
          <w:p>
            <w:r>
              <w:t>Same major/spec patch</w:t>
            </w:r>
          </w:p>
        </w:tc>
      </w:tr>
    </w:tbl>
    <w:p>
      <w:r>
        <w:t>CHGO의 정의는 보수적으로 적용한다: '기존 정상 client가 구현 변경 없이 계속 작동하는가?'가 핵심 판정 기준이다. 보안 긴급조치는 예외 절차를 따르되 audit/evidence와 migration communication을 남긴다.</w:t>
      </w:r>
    </w:p>
    <w:p>
      <w:pPr>
        <w:pStyle w:val="Heading1"/>
      </w:pPr>
      <w:r>
        <w:t>6. Compatibility Contract</w:t>
      </w:r>
    </w:p>
    <w:p>
      <w:pPr>
        <w:pStyle w:val="ListBullet"/>
      </w:pPr>
      <w:r>
        <w:t>같은 major version의 server는 기존 documented request를 계속 받아들여야 한다.</w:t>
      </w:r>
    </w:p>
    <w:p>
      <w:pPr>
        <w:pStyle w:val="ListBullet"/>
      </w:pPr>
      <w:r>
        <w:t>같은 major version의 client는 알 수 없는 optional response field를 무시하도록 SDK/consumer guideline을 제공한다.</w:t>
      </w:r>
    </w:p>
    <w:p>
      <w:pPr>
        <w:pStyle w:val="ListBullet"/>
      </w:pPr>
      <w:r>
        <w:t>Enum은 향후 확장 가능성이 있으면 closed enum으로 설계하지 않는다.</w:t>
      </w:r>
    </w:p>
    <w:p>
      <w:pPr>
        <w:pStyle w:val="ListBullet"/>
      </w:pPr>
      <w:r>
        <w:t>Opaque ID의 내부 형식에 client가 의존하지 않도록 한다.</w:t>
      </w:r>
    </w:p>
    <w:p>
      <w:pPr>
        <w:pStyle w:val="ListBullet"/>
      </w:pPr>
      <w:r>
        <w:t>Response field order는 contract가 아니다.</w:t>
      </w:r>
    </w:p>
    <w:p>
      <w:pPr>
        <w:pStyle w:val="ListBullet"/>
      </w:pPr>
      <w:r>
        <w:t>Error envelope의 top-level shape와 machine-readable code는 major contract다.</w:t>
      </w:r>
    </w:p>
    <w:p>
      <w:pPr>
        <w:pStyle w:val="ListBullet"/>
      </w:pPr>
      <w:r>
        <w:t>Idempotency semantics, tenant isolation, privacy decision states는 behavior contract로 취급한다.</w:t>
      </w:r>
    </w:p>
    <w:p>
      <w:pPr>
        <w:pStyle w:val="Heading1"/>
      </w:pPr>
      <w:r>
        <w:t>7. Current v1 / v2 Lineage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b/>
              </w:rPr>
              <w:t>API Family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Current Role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Lifecycle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592"/>
            <w:vAlign w:val="top"/>
          </w:tcPr>
          <w:p>
            <w:r>
              <w:t>CHGO OpenAPI Baseline v1.0</w:t>
            </w:r>
          </w:p>
        </w:tc>
        <w:tc>
          <w:tcPr>
            <w:tcW w:type="dxa" w:w="2592"/>
            <w:vAlign w:val="top"/>
          </w:tcPr>
          <w:p>
            <w:r>
              <w:t>Previous stable reference</w:t>
            </w:r>
          </w:p>
        </w:tc>
        <w:tc>
          <w:tcPr>
            <w:tcW w:type="dxa" w:w="2592"/>
            <w:vAlign w:val="top"/>
          </w:tcPr>
          <w:p>
            <w:r>
              <w:t>PREVIOUS / COMPATIBILITY</w:t>
            </w:r>
          </w:p>
        </w:tc>
        <w:tc>
          <w:tcPr>
            <w:tcW w:type="dxa" w:w="2592"/>
            <w:vAlign w:val="top"/>
          </w:tcPr>
          <w:p>
            <w:r>
              <w:t>보존; 자동 삭제 금지</w:t>
            </w:r>
          </w:p>
        </w:tc>
      </w:tr>
      <w:tr>
        <w:tc>
          <w:tcPr>
            <w:tcW w:type="dxa" w:w="2592"/>
            <w:vAlign w:val="top"/>
          </w:tcPr>
          <w:p>
            <w:r>
              <w:t>CHGO OpenAPI v1.1 Candidate</w:t>
            </w:r>
          </w:p>
        </w:tc>
        <w:tc>
          <w:tcPr>
            <w:tcW w:type="dxa" w:w="2592"/>
            <w:vAlign w:val="top"/>
          </w:tcPr>
          <w:p>
            <w:r>
              <w:t>v1 additive candidate</w:t>
            </w:r>
          </w:p>
        </w:tc>
        <w:tc>
          <w:tcPr>
            <w:tcW w:type="dxa" w:w="2592"/>
            <w:vAlign w:val="top"/>
          </w:tcPr>
          <w:p>
            <w:r>
              <w:t>CANDIDATE</w:t>
            </w:r>
          </w:p>
        </w:tc>
        <w:tc>
          <w:tcPr>
            <w:tcW w:type="dxa" w:w="2592"/>
            <w:vAlign w:val="top"/>
          </w:tcPr>
          <w:p>
            <w:r>
              <w:t>v1 contract tests 통과 시 v1 line의 승인 후보</w:t>
            </w:r>
          </w:p>
        </w:tc>
      </w:tr>
      <w:tr>
        <w:tc>
          <w:tcPr>
            <w:tcW w:type="dxa" w:w="2592"/>
            <w:vAlign w:val="top"/>
          </w:tcPr>
          <w:p>
            <w:r>
              <w:t>Church OS OpenAPI Delta 2.0</w:t>
            </w:r>
          </w:p>
        </w:tc>
        <w:tc>
          <w:tcPr>
            <w:tcW w:type="dxa" w:w="2592"/>
            <w:vAlign w:val="top"/>
          </w:tcPr>
          <w:p>
            <w:r>
              <w:t>Church OS/Headless expanded contract</w:t>
            </w:r>
          </w:p>
        </w:tc>
        <w:tc>
          <w:tcPr>
            <w:tcW w:type="dxa" w:w="2592"/>
            <w:vAlign w:val="top"/>
          </w:tcPr>
          <w:p>
            <w:r>
              <w:t>CANDIDATE</w:t>
            </w:r>
          </w:p>
        </w:tc>
        <w:tc>
          <w:tcPr>
            <w:tcW w:type="dxa" w:w="2592"/>
            <w:vAlign w:val="top"/>
          </w:tcPr>
          <w:p>
            <w:r>
              <w:t>v2 baseline으로 consolidate 필요</w:t>
            </w:r>
          </w:p>
        </w:tc>
      </w:tr>
      <w:tr>
        <w:tc>
          <w:tcPr>
            <w:tcW w:type="dxa" w:w="2592"/>
            <w:vAlign w:val="top"/>
          </w:tcPr>
          <w:p>
            <w:r>
              <w:t>v0.1 variants</w:t>
            </w:r>
          </w:p>
        </w:tc>
        <w:tc>
          <w:tcPr>
            <w:tcW w:type="dxa" w:w="2592"/>
            <w:vAlign w:val="top"/>
          </w:tcPr>
          <w:p>
            <w:r>
              <w:t>Historical/experimental</w:t>
            </w:r>
          </w:p>
        </w:tc>
        <w:tc>
          <w:tcPr>
            <w:tcW w:type="dxa" w:w="2592"/>
            <w:vAlign w:val="top"/>
          </w:tcPr>
          <w:p>
            <w:r>
              <w:t>ARCHIVE / ALIAS</w:t>
            </w:r>
          </w:p>
        </w:tc>
        <w:tc>
          <w:tcPr>
            <w:tcW w:type="dxa" w:w="2592"/>
            <w:vAlign w:val="top"/>
          </w:tcPr>
          <w:p>
            <w:r>
              <w:t>Clean executable path에서 제거</w:t>
            </w:r>
          </w:p>
        </w:tc>
      </w:tr>
    </w:tbl>
    <w:p>
      <w:r>
        <w:t>v2를 ACTIVE로 승격할 때 `Church OS OpenAPI Delta 2.0`이라는 'delta' 문서만 남기지 않는다. v2 전체 contract를 독립적으로 읽을 수 있는 consolidated `CHGO_Public_Headless_OpenAPI_v2.x` baseline을 생성한다. 즉 client가 v1 문서를 합성해야 v2를 이해하는 구조를 금지한다.</w:t>
      </w:r>
    </w:p>
    <w:p>
      <w:pPr>
        <w:pStyle w:val="Heading1"/>
      </w:pPr>
      <w:r>
        <w:t>8. Deprecation &amp; Sunset Policy</w:t>
      </w:r>
    </w:p>
    <w:p>
      <w:r>
        <w:t>CHGO는 현재 시장/계약 데이터가 없으므로 고정된 24개월·36개월 같은 숫자를 지금 canonical policy로 발명하지 않는다. 대신 production major retirement는 아래 절차를 반드시 따른다.</w:t>
      </w:r>
    </w:p>
    <w:p>
      <w:pPr>
        <w:pStyle w:val="ListNumber"/>
      </w:pPr>
      <w:r>
        <w:t>새 major CANDIDATE 공개 및 migration guide 제공</w:t>
      </w:r>
    </w:p>
    <w:p>
      <w:pPr>
        <w:pStyle w:val="ListNumber"/>
      </w:pPr>
      <w:r>
        <w:t>Contract/SDK compatibility tests PASS</w:t>
      </w:r>
    </w:p>
    <w:p>
      <w:pPr>
        <w:pStyle w:val="ListNumber"/>
      </w:pPr>
      <w:r>
        <w:t>새 major ACTIVE/GA 선언</w:t>
      </w:r>
    </w:p>
    <w:p>
      <w:pPr>
        <w:pStyle w:val="ListNumber"/>
      </w:pPr>
      <w:r>
        <w:t>이전 major를 DEPRECATED로 표시하되 즉시 중단하지 않음</w:t>
      </w:r>
    </w:p>
    <w:p>
      <w:pPr>
        <w:pStyle w:val="ListNumber"/>
      </w:pPr>
      <w:r>
        <w:t>Telemetry로 active consumers/tenant dependencies 확인</w:t>
      </w:r>
    </w:p>
    <w:p>
      <w:pPr>
        <w:pStyle w:val="ListNumber"/>
      </w:pPr>
      <w:r>
        <w:t>각 integration owner에게 migration notice 제공</w:t>
      </w:r>
    </w:p>
    <w:p>
      <w:pPr>
        <w:pStyle w:val="ListNumber"/>
      </w:pPr>
      <w:r>
        <w:t>Sunset date는 고객계약·사용현황·위험을 근거로 Release Governance가 승인</w:t>
      </w:r>
    </w:p>
    <w:p>
      <w:pPr>
        <w:pStyle w:val="ListNumber"/>
      </w:pPr>
      <w:r>
        <w:t>Sunset 전 repeated notice + test endpoint/SDK/migration support</w:t>
      </w:r>
    </w:p>
    <w:p>
      <w:pPr>
        <w:pStyle w:val="ListNumber"/>
      </w:pPr>
      <w:r>
        <w:t>Retired 후 endpoint는 명시적 unsupported-version response 제공</w:t>
      </w:r>
    </w:p>
    <w:p>
      <w:r>
        <w:t>외부 benchmark로 Microsoft Graph는 GA API 제거 전에 장기 deprecation notice를 두고, Microsoft REST guidance도 major upgrade path와 deprecation plan을 요구한다. CHGO는 원칙을 채택하되 기간은 실제 계약/시장 데이터 후 별도 Release Policy에서 확정한다.</w:t>
      </w:r>
    </w:p>
    <w:p>
      <w:pPr>
        <w:pStyle w:val="Heading1"/>
      </w:pPr>
      <w:r>
        <w:t>9. Deprecation Signaling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OpenAPI</w:t>
            </w:r>
          </w:p>
        </w:tc>
        <w:tc>
          <w:tcPr>
            <w:tcW w:type="dxa" w:w="5184"/>
            <w:vAlign w:val="top"/>
          </w:tcPr>
          <w:p>
            <w:r>
              <w:t>deprecated: true + replacement/migration documentation</w:t>
            </w:r>
          </w:p>
        </w:tc>
      </w:tr>
      <w:tr>
        <w:tc>
          <w:tcPr>
            <w:tcW w:type="dxa" w:w="5184"/>
            <w:vAlign w:val="top"/>
          </w:tcPr>
          <w:p>
            <w:r>
              <w:t>HTTP</w:t>
            </w:r>
          </w:p>
        </w:tc>
        <w:tc>
          <w:tcPr>
            <w:tcW w:type="dxa" w:w="5184"/>
            <w:vAlign w:val="top"/>
          </w:tcPr>
          <w:p>
            <w:r>
              <w:t>CHGO-Deprecation / CHGO-Sunset informational headers 또는 표준화된 동등 메커니즘</w:t>
            </w:r>
          </w:p>
        </w:tc>
      </w:tr>
      <w:tr>
        <w:tc>
          <w:tcPr>
            <w:tcW w:type="dxa" w:w="5184"/>
            <w:vAlign w:val="top"/>
          </w:tcPr>
          <w:p>
            <w:r>
              <w:t>Developer Portal</w:t>
            </w:r>
          </w:p>
        </w:tc>
        <w:tc>
          <w:tcPr>
            <w:tcW w:type="dxa" w:w="5184"/>
            <w:vAlign w:val="top"/>
          </w:tcPr>
          <w:p>
            <w:r>
              <w:t>support state, sunset plan, migration guide</w:t>
            </w:r>
          </w:p>
        </w:tc>
      </w:tr>
      <w:tr>
        <w:tc>
          <w:tcPr>
            <w:tcW w:type="dxa" w:w="5184"/>
            <w:vAlign w:val="top"/>
          </w:tcPr>
          <w:p>
            <w:r>
              <w:t>SDK</w:t>
            </w:r>
          </w:p>
        </w:tc>
        <w:tc>
          <w:tcPr>
            <w:tcW w:type="dxa" w:w="5184"/>
            <w:vAlign w:val="top"/>
          </w:tcPr>
          <w:p>
            <w:r>
              <w:t>compile/runtime deprecation notice where appropriate</w:t>
            </w:r>
          </w:p>
        </w:tc>
      </w:tr>
      <w:tr>
        <w:tc>
          <w:tcPr>
            <w:tcW w:type="dxa" w:w="5184"/>
            <w:vAlign w:val="top"/>
          </w:tcPr>
          <w:p>
            <w:r>
              <w:t>Webhook</w:t>
            </w:r>
          </w:p>
        </w:tc>
        <w:tc>
          <w:tcPr>
            <w:tcW w:type="dxa" w:w="5184"/>
            <w:vAlign w:val="top"/>
          </w:tcPr>
          <w:p>
            <w:r>
              <w:t>schema deprecation notice + consumer inventory</w:t>
            </w:r>
          </w:p>
        </w:tc>
      </w:tr>
      <w:tr>
        <w:tc>
          <w:tcPr>
            <w:tcW w:type="dxa" w:w="5184"/>
            <w:vAlign w:val="top"/>
          </w:tcPr>
          <w:p>
            <w:r>
              <w:t>Tenant Admin</w:t>
            </w:r>
          </w:p>
        </w:tc>
        <w:tc>
          <w:tcPr>
            <w:tcW w:type="dxa" w:w="5184"/>
            <w:vAlign w:val="top"/>
          </w:tcPr>
          <w:p>
            <w:r>
              <w:t>integration owner notification; pastor/member UI와 분리</w:t>
            </w:r>
          </w:p>
        </w:tc>
      </w:tr>
    </w:tbl>
    <w:p>
      <w:r>
        <w:t>Header name/format은 API implementation spec에서 확정한다. 본 ADR은 signaling 의무를 결정하며 아직 wire-format을 확정하지 않는다.</w:t>
      </w:r>
    </w:p>
    <w:p>
      <w:pPr>
        <w:pStyle w:val="Heading1"/>
      </w:pPr>
      <w:r>
        <w:t>10. Preview / Candidate Policy</w:t>
      </w:r>
    </w:p>
    <w:p>
      <w:pPr>
        <w:pStyle w:val="ListBullet"/>
      </w:pPr>
      <w:r>
        <w:t>Clean Repository lifecycle의 CANDIDATE는 production stability guarantee가 아니다.</w:t>
      </w:r>
    </w:p>
    <w:p>
      <w:pPr>
        <w:pStyle w:val="ListBullet"/>
      </w:pPr>
      <w:r>
        <w:t>Preview/Candidate endpoint가 필요하면 `/api/v2`와 별개 host/route 또는 explicit preview contract를 사용하며 production consumer가 무심코 의존하지 않게 한다.</w:t>
      </w:r>
    </w:p>
    <w:p>
      <w:pPr>
        <w:pStyle w:val="ListBullet"/>
      </w:pPr>
      <w:r>
        <w:t>Preview에서 breaking change는 가능하지만 changelog와 consumer impact를 기록한다.</w:t>
      </w:r>
    </w:p>
    <w:p>
      <w:pPr>
        <w:pStyle w:val="ListBullet"/>
      </w:pPr>
      <w:r>
        <w:t>ACTIVE/GA 승격 후 같은 major에서 breaking behavior change를 금지한다.</w:t>
      </w:r>
    </w:p>
    <w:p>
      <w:pPr>
        <w:pStyle w:val="Heading1"/>
      </w:pPr>
      <w:r>
        <w:t>11. Headless Church Compatibility</w:t>
      </w:r>
    </w:p>
    <w:p>
      <w:r>
        <w:t>기존 앱을 가진 교회는 CHGO API가 깨지면 교회 자체 앱이 장애를 겪을 수 있다. 따라서 Headless integration은 일반 internal API보다 더 강한 compatibility gate를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Required rule</w:t>
            </w:r>
          </w:p>
        </w:tc>
      </w:tr>
      <w:tr>
        <w:tc>
          <w:tcPr>
            <w:tcW w:type="dxa" w:w="5184"/>
            <w:vAlign w:val="top"/>
          </w:tcPr>
          <w:p>
            <w:r>
              <w:t>SSO</w:t>
            </w:r>
          </w:p>
        </w:tc>
        <w:tc>
          <w:tcPr>
            <w:tcW w:type="dxa" w:w="5184"/>
            <w:vAlign w:val="top"/>
          </w:tcPr>
          <w:p>
            <w:r>
              <w:t>issuer/audience/claim contract versioned; claim removal is breaking</w:t>
            </w:r>
          </w:p>
        </w:tc>
      </w:tr>
      <w:tr>
        <w:tc>
          <w:tcPr>
            <w:tcW w:type="dxa" w:w="5184"/>
            <w:vAlign w:val="top"/>
          </w:tcPr>
          <w:p>
            <w:r>
              <w:t>REST</w:t>
            </w:r>
          </w:p>
        </w:tc>
        <w:tc>
          <w:tcPr>
            <w:tcW w:type="dxa" w:w="5184"/>
            <w:vAlign w:val="top"/>
          </w:tcPr>
          <w:p>
            <w:r>
              <w:t>Major path version + contract tests</w:t>
            </w:r>
          </w:p>
        </w:tc>
      </w:tr>
      <w:tr>
        <w:tc>
          <w:tcPr>
            <w:tcW w:type="dxa" w:w="5184"/>
            <w:vAlign w:val="top"/>
          </w:tcPr>
          <w:p>
            <w:r>
              <w:t>SDK</w:t>
            </w:r>
          </w:p>
        </w:tc>
        <w:tc>
          <w:tcPr>
            <w:tcW w:type="dxa" w:w="5184"/>
            <w:vAlign w:val="top"/>
          </w:tcPr>
          <w:p>
            <w:r>
              <w:t>Supported API major 명시; generated SDK regression</w:t>
            </w:r>
          </w:p>
        </w:tc>
      </w:tr>
      <w:tr>
        <w:tc>
          <w:tcPr>
            <w:tcW w:type="dxa" w:w="5184"/>
            <w:vAlign w:val="top"/>
          </w:tcPr>
          <w:p>
            <w:r>
              <w:t>Webhook</w:t>
            </w:r>
          </w:p>
        </w:tc>
        <w:tc>
          <w:tcPr>
            <w:tcW w:type="dxa" w:w="5184"/>
            <w:vAlign w:val="top"/>
          </w:tcPr>
          <w:p>
            <w:r>
              <w:t>event schema_version mandatory; replay/idempotency</w:t>
            </w:r>
          </w:p>
        </w:tc>
      </w:tr>
      <w:tr>
        <w:tc>
          <w:tcPr>
            <w:tcW w:type="dxa" w:w="5184"/>
            <w:vAlign w:val="top"/>
          </w:tcPr>
          <w:p>
            <w:r>
              <w:t>Embedded UI</w:t>
            </w:r>
          </w:p>
        </w:tc>
        <w:tc>
          <w:tcPr>
            <w:tcW w:type="dxa" w:w="5184"/>
            <w:vAlign w:val="top"/>
          </w:tcPr>
          <w:p>
            <w:r>
              <w:t>host ↔ embed message contract versioned</w:t>
            </w:r>
          </w:p>
        </w:tc>
      </w:tr>
      <w:tr>
        <w:tc>
          <w:tcPr>
            <w:tcW w:type="dxa" w:w="5184"/>
            <w:vAlign w:val="top"/>
          </w:tcPr>
          <w:p>
            <w:r>
              <w:t>Tenant config</w:t>
            </w:r>
          </w:p>
        </w:tc>
        <w:tc>
          <w:tcPr>
            <w:tcW w:type="dxa" w:w="5184"/>
            <w:vAlign w:val="top"/>
          </w:tcPr>
          <w:p>
            <w:r>
              <w:t>Unknown feature flags must fail safe</w:t>
            </w:r>
          </w:p>
        </w:tc>
      </w:tr>
      <w:tr>
        <w:tc>
          <w:tcPr>
            <w:tcW w:type="dxa" w:w="5184"/>
            <w:vAlign w:val="top"/>
          </w:tcPr>
          <w:p>
            <w:r>
              <w:t>Privacy Gateway</w:t>
            </w:r>
          </w:p>
        </w:tc>
        <w:tc>
          <w:tcPr>
            <w:tcW w:type="dxa" w:w="5184"/>
            <w:vAlign w:val="top"/>
          </w:tcPr>
          <w:p>
            <w:r>
              <w:t>ALLOW/REDACT/DENY/SUPPRESS/HANDOFF semantics are behavior contract</w:t>
            </w:r>
          </w:p>
        </w:tc>
      </w:tr>
    </w:tbl>
    <w:p>
      <w:pPr>
        <w:pStyle w:val="Heading1"/>
      </w:pPr>
      <w:r>
        <w:t>12. White-Label / Instant Church OS Compatibility</w:t>
      </w:r>
    </w:p>
    <w:p>
      <w:pPr>
        <w:pStyle w:val="ListBullet"/>
      </w:pPr>
      <w:r>
        <w:t>교회별 branding configuration은 API major를 만들지 않는다.</w:t>
      </w:r>
    </w:p>
    <w:p>
      <w:pPr>
        <w:pStyle w:val="ListBullet"/>
      </w:pPr>
      <w:r>
        <w:t>새 optional tenant config는 safe default가 있으면 same major additive change다.</w:t>
      </w:r>
    </w:p>
    <w:p>
      <w:pPr>
        <w:pStyle w:val="ListBullet"/>
      </w:pPr>
      <w:r>
        <w:t>기존 config key 제거/의미 변경은 breaking change다.</w:t>
      </w:r>
    </w:p>
    <w:p>
      <w:pPr>
        <w:pStyle w:val="ListBullet"/>
      </w:pPr>
      <w:r>
        <w:t>Church OS client와 backend는 deployment compatibility matrix를 유지한다.</w:t>
      </w:r>
    </w:p>
    <w:p>
      <w:pPr>
        <w:pStyle w:val="ListBullet"/>
      </w:pPr>
      <w:r>
        <w:t>교회별 code fork로 API version을 분기하지 않는다.</w:t>
      </w:r>
    </w:p>
    <w:p>
      <w:pPr>
        <w:pStyle w:val="Heading1"/>
      </w:pPr>
      <w:r>
        <w:t>13. Personal Vault / Privacy Compatibility</w:t>
      </w:r>
    </w:p>
    <w:p>
      <w:r>
        <w:t>Personal Vault는 Church Tenant data와 별도 책임경계를 가진다. Vault API가 추가되어도 기존 Church API major를 자동 증가시키지 않는다. 그러나 raw diary access scope, consent semantics, deletion/export/recovery behavior의 의미 변경은 privacy-sensitive breaking change로 분류한다.</w:t>
      </w:r>
    </w:p>
    <w:p>
      <w:pPr>
        <w:pStyle w:val="ListBullet"/>
      </w:pPr>
      <w:r>
        <w:t>Raw Life Diary를 Growth API response에 새로 노출하는 변경은 additive가 아니라 architecture violation/reject 대상.</w:t>
      </w:r>
    </w:p>
    <w:p>
      <w:pPr>
        <w:pStyle w:val="ListBullet"/>
      </w:pPr>
      <w:r>
        <w:t>Church membership change가 Vault ownership을 변경하는 contract는 금지.</w:t>
      </w:r>
    </w:p>
    <w:p>
      <w:pPr>
        <w:pStyle w:val="ListBullet"/>
      </w:pPr>
      <w:r>
        <w:t>AI processing consent/purpose/retention fields의 requiredness 변경은 compatibility review 대상.</w:t>
      </w:r>
    </w:p>
    <w:p>
      <w:pPr>
        <w:pStyle w:val="Heading1"/>
      </w:pPr>
      <w:r>
        <w:t>14. API ↔ DB ↔ Ontology Version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84"/>
            <w:vAlign w:val="top"/>
          </w:tcPr>
          <w:p>
            <w:r>
              <w:t>API major = DB schema version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API major = Ontology version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API contract declares dependencies</w:t>
            </w:r>
          </w:p>
        </w:tc>
        <w:tc>
          <w:tcPr>
            <w:tcW w:type="dxa" w:w="5184"/>
            <w:vAlign w:val="top"/>
          </w:tcPr>
          <w:p>
            <w:r>
              <w:t>YES</w:t>
            </w:r>
          </w:p>
        </w:tc>
      </w:tr>
      <w:tr>
        <w:tc>
          <w:tcPr>
            <w:tcW w:type="dxa" w:w="5184"/>
            <w:vAlign w:val="top"/>
          </w:tcPr>
          <w:p>
            <w:r>
              <w:t>DB migration can occur without API major</w:t>
            </w:r>
          </w:p>
        </w:tc>
        <w:tc>
          <w:tcPr>
            <w:tcW w:type="dxa" w:w="5184"/>
            <w:vAlign w:val="top"/>
          </w:tcPr>
          <w:p>
            <w:r>
              <w:t>YES, if public behavior compatible</w:t>
            </w:r>
          </w:p>
        </w:tc>
      </w:tr>
      <w:tr>
        <w:tc>
          <w:tcPr>
            <w:tcW w:type="dxa" w:w="5184"/>
            <w:vAlign w:val="top"/>
          </w:tcPr>
          <w:p>
            <w:r>
              <w:t>Ontology enhancement can occur without API major</w:t>
            </w:r>
          </w:p>
        </w:tc>
        <w:tc>
          <w:tcPr>
            <w:tcW w:type="dxa" w:w="5184"/>
            <w:vAlign w:val="top"/>
          </w:tcPr>
          <w:p>
            <w:r>
              <w:t>YES, if exposed contract remains compatible</w:t>
            </w:r>
          </w:p>
        </w:tc>
      </w:tr>
      <w:tr>
        <w:tc>
          <w:tcPr>
            <w:tcW w:type="dxa" w:w="5184"/>
            <w:vAlign w:val="top"/>
          </w:tcPr>
          <w:p>
            <w:r>
              <w:t>Canonical Meaning change caused by API convenience</w:t>
            </w:r>
          </w:p>
        </w:tc>
        <w:tc>
          <w:tcPr>
            <w:tcW w:type="dxa" w:w="5184"/>
            <w:vAlign w:val="top"/>
          </w:tcPr>
          <w:p>
            <w:r>
              <w:t>PROHIBITED</w:t>
            </w:r>
          </w:p>
        </w:tc>
      </w:tr>
    </w:tbl>
    <w:p>
      <w:r>
        <w:t>각 API release manifest는 compatible DB migration floor, ontology/registry version, privacy policy version, SDK version을 기록한다.</w:t>
      </w:r>
    </w:p>
    <w:p>
      <w:pPr>
        <w:pStyle w:val="Heading1"/>
      </w:pPr>
      <w:r>
        <w:t>15. Required API Release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 / Rule</w:t>
            </w:r>
          </w:p>
        </w:tc>
      </w:tr>
      <w:tr>
        <w:tc>
          <w:tcPr>
            <w:tcW w:type="dxa" w:w="5184"/>
            <w:vAlign w:val="top"/>
          </w:tcPr>
          <w:p>
            <w:r>
              <w:t>api_major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openapi_version</w:t>
            </w:r>
          </w:p>
        </w:tc>
        <w:tc>
          <w:tcPr>
            <w:tcW w:type="dxa" w:w="5184"/>
            <w:vAlign w:val="top"/>
          </w:tcPr>
          <w:p>
            <w:r>
              <w:t>2.1.0</w:t>
            </w:r>
          </w:p>
        </w:tc>
      </w:tr>
      <w:tr>
        <w:tc>
          <w:tcPr>
            <w:tcW w:type="dxa" w:w="5184"/>
            <w:vAlign w:val="top"/>
          </w:tcPr>
          <w:p>
            <w:r>
              <w:t>lifecycle</w:t>
            </w:r>
          </w:p>
        </w:tc>
        <w:tc>
          <w:tcPr>
            <w:tcW w:type="dxa" w:w="5184"/>
            <w:vAlign w:val="top"/>
          </w:tcPr>
          <w:p>
            <w:r>
              <w:t>CANDIDATE / ACTIVE / DEPRECATED / RETIRED</w:t>
            </w:r>
          </w:p>
        </w:tc>
      </w:tr>
      <w:tr>
        <w:tc>
          <w:tcPr>
            <w:tcW w:type="dxa" w:w="5184"/>
            <w:vAlign w:val="top"/>
          </w:tcPr>
          <w:p>
            <w:r>
              <w:t>compatible_server_build</w:t>
            </w:r>
          </w:p>
        </w:tc>
        <w:tc>
          <w:tcPr>
            <w:tcW w:type="dxa" w:w="5184"/>
            <w:vAlign w:val="top"/>
          </w:tcPr>
          <w:p>
            <w:r>
              <w:t>commit/tag</w:t>
            </w:r>
          </w:p>
        </w:tc>
      </w:tr>
      <w:tr>
        <w:tc>
          <w:tcPr>
            <w:tcW w:type="dxa" w:w="5184"/>
            <w:vAlign w:val="top"/>
          </w:tcPr>
          <w:p>
            <w:r>
              <w:t>min_db_migration</w:t>
            </w:r>
          </w:p>
        </w:tc>
        <w:tc>
          <w:tcPr>
            <w:tcW w:type="dxa" w:w="5184"/>
            <w:vAlign w:val="top"/>
          </w:tcPr>
          <w:p>
            <w:r>
              <w:t>e.g., V010 (illustrative; actual freeze from repo evidence)</w:t>
            </w:r>
          </w:p>
        </w:tc>
      </w:tr>
      <w:tr>
        <w:tc>
          <w:tcPr>
            <w:tcW w:type="dxa" w:w="5184"/>
            <w:vAlign w:val="top"/>
          </w:tcPr>
          <w:p>
            <w:r>
              <w:t>ontology_dependencies</w:t>
            </w:r>
          </w:p>
        </w:tc>
        <w:tc>
          <w:tcPr>
            <w:tcW w:type="dxa" w:w="5184"/>
            <w:vAlign w:val="top"/>
          </w:tcPr>
          <w:p>
            <w:r>
              <w:t>artifact IDs + versions</w:t>
            </w:r>
          </w:p>
        </w:tc>
      </w:tr>
      <w:tr>
        <w:tc>
          <w:tcPr>
            <w:tcW w:type="dxa" w:w="5184"/>
            <w:vAlign w:val="top"/>
          </w:tcPr>
          <w:p>
            <w:r>
              <w:t>privacy_policy_dependency</w:t>
            </w:r>
          </w:p>
        </w:tc>
        <w:tc>
          <w:tcPr>
            <w:tcW w:type="dxa" w:w="5184"/>
            <w:vAlign w:val="top"/>
          </w:tcPr>
          <w:p>
            <w:r>
              <w:t>policy artifact/version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t>sdk_versions</w:t>
            </w:r>
          </w:p>
        </w:tc>
        <w:tc>
          <w:tcPr>
            <w:tcW w:type="dxa" w:w="5184"/>
            <w:vAlign w:val="top"/>
          </w:tcPr>
          <w:p>
            <w:r>
              <w:t>supported SDK ranges</w:t>
            </w:r>
          </w:p>
        </w:tc>
      </w:tr>
      <w:tr>
        <w:tc>
          <w:tcPr>
            <w:tcW w:type="dxa" w:w="5184"/>
            <w:vAlign w:val="top"/>
          </w:tcPr>
          <w:p>
            <w:r>
              <w:t>breaking_change</w:t>
            </w:r>
          </w:p>
        </w:tc>
        <w:tc>
          <w:tcPr>
            <w:tcW w:type="dxa" w:w="5184"/>
            <w:vAlign w:val="top"/>
          </w:tcPr>
          <w:p>
            <w:r>
              <w:t>YES/NO</w:t>
            </w:r>
          </w:p>
        </w:tc>
      </w:tr>
      <w:tr>
        <w:tc>
          <w:tcPr>
            <w:tcW w:type="dxa" w:w="5184"/>
            <w:vAlign w:val="top"/>
          </w:tcPr>
          <w:p>
            <w:r>
              <w:t>migration_guide</w:t>
            </w:r>
          </w:p>
        </w:tc>
        <w:tc>
          <w:tcPr>
            <w:tcW w:type="dxa" w:w="5184"/>
            <w:vAlign w:val="top"/>
          </w:tcPr>
          <w:p>
            <w:r>
              <w:t>required for new major</w:t>
            </w:r>
          </w:p>
        </w:tc>
      </w:tr>
      <w:tr>
        <w:tc>
          <w:tcPr>
            <w:tcW w:type="dxa" w:w="5184"/>
            <w:vAlign w:val="top"/>
          </w:tcPr>
          <w:p>
            <w:r>
              <w:t>contract_test_evidence</w:t>
            </w:r>
          </w:p>
        </w:tc>
        <w:tc>
          <w:tcPr>
            <w:tcW w:type="dxa" w:w="5184"/>
            <w:vAlign w:val="top"/>
          </w:tcPr>
          <w:p>
            <w:r>
              <w:t>run ID / report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consumer_inventory</w:t>
            </w:r>
          </w:p>
        </w:tc>
        <w:tc>
          <w:tcPr>
            <w:tcW w:type="dxa" w:w="5184"/>
            <w:vAlign w:val="top"/>
          </w:tcPr>
          <w:p>
            <w:r>
              <w:t>headless tenants/integrations</w:t>
            </w:r>
          </w:p>
        </w:tc>
      </w:tr>
      <w:tr>
        <w:tc>
          <w:tcPr>
            <w:tcW w:type="dxa" w:w="5184"/>
            <w:vAlign w:val="top"/>
          </w:tcPr>
          <w:p>
            <w:r>
              <w:t>effective_date</w:t>
            </w:r>
          </w:p>
        </w:tc>
        <w:tc>
          <w:tcPr>
            <w:tcW w:type="dxa" w:w="5184"/>
            <w:vAlign w:val="top"/>
          </w:tcPr>
          <w:p>
            <w:r>
              <w:t>approval date</w:t>
            </w:r>
          </w:p>
        </w:tc>
      </w:tr>
    </w:tbl>
    <w:p>
      <w:pPr>
        <w:pStyle w:val="Heading1"/>
      </w:pPr>
      <w:r>
        <w:t>16. Contract Test Gates</w:t>
      </w:r>
    </w:p>
    <w:p>
      <w:pPr>
        <w:pStyle w:val="ListBullet"/>
      </w:pPr>
      <w:r>
        <w:t>OpenAPI parse/schema validation.</w:t>
      </w:r>
    </w:p>
    <w:p>
      <w:pPr>
        <w:pStyle w:val="ListBullet"/>
      </w:pPr>
      <w:r>
        <w:t>Diff previous ACTIVE spec vs candidate; classify every change.</w:t>
      </w:r>
    </w:p>
    <w:p>
      <w:pPr>
        <w:pStyle w:val="ListBullet"/>
      </w:pPr>
      <w:r>
        <w:t>Backward-compatibility automated diff gate.</w:t>
      </w:r>
    </w:p>
    <w:p>
      <w:pPr>
        <w:pStyle w:val="ListBullet"/>
      </w:pPr>
      <w:r>
        <w:t>Server contract tests for both supported majors during coexistence.</w:t>
      </w:r>
    </w:p>
    <w:p>
      <w:pPr>
        <w:pStyle w:val="ListBullet"/>
      </w:pPr>
      <w:r>
        <w:t>Generated SDK compile/regression tests for supported languages.</w:t>
      </w:r>
    </w:p>
    <w:p>
      <w:pPr>
        <w:pStyle w:val="ListBullet"/>
      </w:pPr>
      <w:r>
        <w:t>Webhook schema validation + replay/idempotency tests.</w:t>
      </w:r>
    </w:p>
    <w:p>
      <w:pPr>
        <w:pStyle w:val="ListBullet"/>
      </w:pPr>
      <w:r>
        <w:t>SSO claim compatibility tests.</w:t>
      </w:r>
    </w:p>
    <w:p>
      <w:pPr>
        <w:pStyle w:val="ListBullet"/>
      </w:pPr>
      <w:r>
        <w:t>Cross-tenant authorization/security tests.</w:t>
      </w:r>
    </w:p>
    <w:p>
      <w:pPr>
        <w:pStyle w:val="ListBullet"/>
      </w:pPr>
      <w:r>
        <w:t>Privacy response/data-minimization tests.</w:t>
      </w:r>
    </w:p>
    <w:p>
      <w:pPr>
        <w:pStyle w:val="ListBullet"/>
      </w:pPr>
      <w:r>
        <w:t>Deprecation/sunset response tests when applicable.</w:t>
      </w:r>
    </w:p>
    <w:p>
      <w:r>
        <w:t>Static OpenAPI parse alone is G4 수준의 근거이며 G8 execution evidence가 아니다.</w:t>
      </w:r>
    </w:p>
    <w:p>
      <w:pPr>
        <w:pStyle w:val="Heading1"/>
      </w:pPr>
      <w:r>
        <w:t>17. Repository Layout Decision</w:t>
      </w:r>
    </w:p>
    <w:p>
      <w:pPr>
        <w:ind w:left="360"/>
      </w:pPr>
      <w:r>
        <w:rPr>
          <w:rFonts w:ascii="Consolas" w:hAnsi="Consolas"/>
          <w:sz w:val="16"/>
        </w:rPr>
        <w:t>api/openapi/v1/          # v1 baseline + approved compatible releases</w:t>
      </w:r>
    </w:p>
    <w:p>
      <w:pPr>
        <w:ind w:left="360"/>
      </w:pPr>
      <w:r>
        <w:rPr>
          <w:rFonts w:ascii="Consolas" w:hAnsi="Consolas"/>
          <w:sz w:val="16"/>
        </w:rPr>
        <w:t>api/openapi/v2/          # v2 consolidated baseline + compatible releases</w:t>
      </w:r>
    </w:p>
    <w:p>
      <w:pPr>
        <w:ind w:left="360"/>
      </w:pPr>
      <w:r>
        <w:rPr>
          <w:rFonts w:ascii="Consolas" w:hAnsi="Consolas"/>
          <w:sz w:val="16"/>
        </w:rPr>
        <w:t>api/compatibility/       # diff rules, compatibility matrix, migration guides</w:t>
      </w:r>
    </w:p>
    <w:p>
      <w:pPr>
        <w:ind w:left="360"/>
      </w:pPr>
      <w:r>
        <w:rPr>
          <w:rFonts w:ascii="Consolas" w:hAnsi="Consolas"/>
          <w:sz w:val="16"/>
        </w:rPr>
        <w:t>docs/adr/ADR-API-001_API_Versioning_and_Compatibility_1.0.docx</w:t>
      </w:r>
    </w:p>
    <w:p>
      <w:pPr>
        <w:ind w:left="360"/>
      </w:pPr>
      <w:r>
        <w:rPr>
          <w:rFonts w:ascii="Consolas" w:hAnsi="Consolas"/>
          <w:sz w:val="16"/>
        </w:rPr>
        <w:t>tests/contract/api/v1/</w:t>
      </w:r>
    </w:p>
    <w:p>
      <w:pPr>
        <w:ind w:left="360"/>
      </w:pPr>
      <w:r>
        <w:rPr>
          <w:rFonts w:ascii="Consolas" w:hAnsi="Consolas"/>
          <w:sz w:val="16"/>
        </w:rPr>
        <w:t>tests/contract/api/v2/</w:t>
      </w:r>
    </w:p>
    <w:p>
      <w:pPr>
        <w:ind w:left="360"/>
      </w:pPr>
      <w:r>
        <w:rPr>
          <w:rFonts w:ascii="Consolas" w:hAnsi="Consolas"/>
          <w:sz w:val="16"/>
        </w:rPr>
        <w:t>evidence/pre-release/api/</w:t>
      </w:r>
    </w:p>
    <w:p>
      <w:r>
        <w:t>SUPERSEDED/ARCHIVE v0.1 aliases are not CI input. Historical copies remain in Legacy Archive.</w:t>
      </w:r>
    </w:p>
    <w:p>
      <w:pPr>
        <w:pStyle w:val="Heading1"/>
      </w:pPr>
      <w:r>
        <w:t>18. CI/CD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Failure action</w:t>
            </w:r>
          </w:p>
        </w:tc>
      </w:tr>
      <w:tr>
        <w:tc>
          <w:tcPr>
            <w:tcW w:type="dxa" w:w="5184"/>
            <w:vAlign w:val="top"/>
          </w:tcPr>
          <w:p>
            <w:r>
              <w:t>OpenAPI parse fails</w:t>
            </w:r>
          </w:p>
        </w:tc>
        <w:tc>
          <w:tcPr>
            <w:tcW w:type="dxa" w:w="5184"/>
            <w:vAlign w:val="top"/>
          </w:tcPr>
          <w:p>
            <w:r>
              <w:t>BLOCK merge</w:t>
            </w:r>
          </w:p>
        </w:tc>
      </w:tr>
      <w:tr>
        <w:tc>
          <w:tcPr>
            <w:tcW w:type="dxa" w:w="5184"/>
            <w:vAlign w:val="top"/>
          </w:tcPr>
          <w:p>
            <w:r>
              <w:t>Breaking diff detected inside same major</w:t>
            </w:r>
          </w:p>
        </w:tc>
        <w:tc>
          <w:tcPr>
            <w:tcW w:type="dxa" w:w="5184"/>
            <w:vAlign w:val="top"/>
          </w:tcPr>
          <w:p>
            <w:r>
              <w:t>BLOCK merge; require new major or approved exception</w:t>
            </w:r>
          </w:p>
        </w:tc>
      </w:tr>
      <w:tr>
        <w:tc>
          <w:tcPr>
            <w:tcW w:type="dxa" w:w="5184"/>
            <w:vAlign w:val="top"/>
          </w:tcPr>
          <w:p>
            <w:r>
              <w:t>Required contract test fails</w:t>
            </w:r>
          </w:p>
        </w:tc>
        <w:tc>
          <w:tcPr>
            <w:tcW w:type="dxa" w:w="5184"/>
            <w:vAlign w:val="top"/>
          </w:tcPr>
          <w:p>
            <w:r>
              <w:t>BLOCK release</w:t>
            </w:r>
          </w:p>
        </w:tc>
      </w:tr>
      <w:tr>
        <w:tc>
          <w:tcPr>
            <w:tcW w:type="dxa" w:w="5184"/>
            <w:vAlign w:val="top"/>
          </w:tcPr>
          <w:p>
            <w:r>
              <w:t>Missing migration guide for new major</w:t>
            </w:r>
          </w:p>
        </w:tc>
        <w:tc>
          <w:tcPr>
            <w:tcW w:type="dxa" w:w="5184"/>
            <w:vAlign w:val="top"/>
          </w:tcPr>
          <w:p>
            <w:r>
              <w:t>BLOCK ACTIVE promotion</w:t>
            </w:r>
          </w:p>
        </w:tc>
      </w:tr>
      <w:tr>
        <w:tc>
          <w:tcPr>
            <w:tcW w:type="dxa" w:w="5184"/>
            <w:vAlign w:val="top"/>
          </w:tcPr>
          <w:p>
            <w:r>
              <w:t>Missing consumer inventory before sunset</w:t>
            </w:r>
          </w:p>
        </w:tc>
        <w:tc>
          <w:tcPr>
            <w:tcW w:type="dxa" w:w="5184"/>
            <w:vAlign w:val="top"/>
          </w:tcPr>
          <w:p>
            <w:r>
              <w:t>BLOCK retirement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Cross-tenant/privacy invariant fails</w:t>
            </w:r>
          </w:p>
        </w:tc>
        <w:tc>
          <w:tcPr>
            <w:tcW w:type="dxa" w:w="5184"/>
            <w:vAlign w:val="top"/>
          </w:tcPr>
          <w:p>
            <w:r>
              <w:t>STOP / security blocker</w:t>
            </w:r>
          </w:p>
        </w:tc>
      </w:tr>
      <w:tr>
        <w:tc>
          <w:tcPr>
            <w:tcW w:type="dxa" w:w="5184"/>
            <w:vAlign w:val="top"/>
          </w:tcPr>
          <w:p>
            <w:r>
              <w:t>Spec hash differs from release manifest</w:t>
            </w:r>
          </w:p>
        </w:tc>
        <w:tc>
          <w:tcPr>
            <w:tcW w:type="dxa" w:w="5184"/>
            <w:vAlign w:val="top"/>
          </w:tcPr>
          <w:p>
            <w:r>
              <w:t>BLOCK release</w:t>
            </w:r>
          </w:p>
        </w:tc>
      </w:tr>
    </w:tbl>
    <w:p>
      <w:pPr>
        <w:pStyle w:val="Heading1"/>
      </w:pPr>
      <w:r>
        <w:t>19. Security / Emergency Exception</w:t>
      </w:r>
    </w:p>
    <w:p>
      <w:r>
        <w:t>심각한 보안·개인정보 위험을 막기 위해 즉시 behavior를 변경해야 하는 경우 compatibility보다 safety가 우선한다. 단, emergency exception ID, 위험, 승인자, 영향 client, communication, rollback/forward plan, evidence를 기록하고 가능한 즉시 정상 version lineage로 흡수한다.</w:t>
      </w:r>
    </w:p>
    <w:p>
      <w:pPr>
        <w:pStyle w:val="Heading1"/>
      </w:pPr>
      <w:r>
        <w:t>20. 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>
              <w:t>Single unversioned API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Headless consumer 안정성 부족</w:t>
            </w:r>
          </w:p>
        </w:tc>
      </w:tr>
      <w:tr>
        <w:tc>
          <w:tcPr>
            <w:tcW w:type="dxa" w:w="3456"/>
            <w:vAlign w:val="top"/>
          </w:tcPr>
          <w:p>
            <w:r>
              <w:t>Date-based api-version only</w:t>
            </w:r>
          </w:p>
        </w:tc>
        <w:tc>
          <w:tcPr>
            <w:tcW w:type="dxa" w:w="3456"/>
            <w:vAlign w:val="top"/>
          </w:tcPr>
          <w:p>
            <w:r>
              <w:t>REJECT for current CHGO</w:t>
            </w:r>
          </w:p>
        </w:tc>
        <w:tc>
          <w:tcPr>
            <w:tcW w:type="dxa" w:w="3456"/>
            <w:vAlign w:val="top"/>
          </w:tcPr>
          <w:p>
            <w:r>
              <w:t>기존 path-version lineage와 혼용 비용; resource evolution 가능성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 version = API version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Church OS 3.0이 API v3을 강제하는 잘못된 결합</w:t>
            </w:r>
          </w:p>
        </w:tc>
      </w:tr>
      <w:tr>
        <w:tc>
          <w:tcPr>
            <w:tcW w:type="dxa" w:w="3456"/>
            <w:vAlign w:val="top"/>
          </w:tcPr>
          <w:p>
            <w:r>
              <w:t>Every change increments URL version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Client migration 과다</w:t>
            </w:r>
          </w:p>
        </w:tc>
      </w:tr>
      <w:tr>
        <w:tc>
          <w:tcPr>
            <w:tcW w:type="dxa" w:w="3456"/>
            <w:vAlign w:val="top"/>
          </w:tcPr>
          <w:p>
            <w:r>
              <w:t>Keep v1/v2 indefinitely without policy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Operational/maintenance debt</w:t>
            </w:r>
          </w:p>
        </w:tc>
      </w:tr>
      <w:tr>
        <w:tc>
          <w:tcPr>
            <w:tcW w:type="dxa" w:w="3456"/>
            <w:vAlign w:val="top"/>
          </w:tcPr>
          <w:p>
            <w:r>
              <w:t>Major-in-path + SemVer artifacts</w:t>
            </w:r>
          </w:p>
        </w:tc>
        <w:tc>
          <w:tcPr>
            <w:tcW w:type="dxa" w:w="3456"/>
            <w:vAlign w:val="top"/>
          </w:tcPr>
          <w:p>
            <w:r>
              <w:t>ADOPT</w:t>
            </w:r>
          </w:p>
        </w:tc>
        <w:tc>
          <w:tcPr>
            <w:tcW w:type="dxa" w:w="3456"/>
            <w:vAlign w:val="top"/>
          </w:tcPr>
          <w:p>
            <w:r>
              <w:t>명확한 client contract와 내부 release granularity 균형</w:t>
            </w:r>
          </w:p>
        </w:tc>
      </w:tr>
    </w:tbl>
    <w:p>
      <w:pPr>
        <w:pStyle w:val="Heading1"/>
      </w:pPr>
      <w:r>
        <w:t>21. Consequences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Positive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Cost / Trade-off</w:t>
            </w:r>
          </w:p>
        </w:tc>
      </w:tr>
      <w:tr>
        <w:tc>
          <w:tcPr>
            <w:tcW w:type="dxa" w:w="5184"/>
            <w:vAlign w:val="top"/>
          </w:tcPr>
          <w:p>
            <w:r>
              <w:t>Headless churches get stable integration contract</w:t>
            </w:r>
          </w:p>
        </w:tc>
        <w:tc>
          <w:tcPr>
            <w:tcW w:type="dxa" w:w="5184"/>
            <w:vAlign w:val="top"/>
          </w:tcPr>
          <w:p>
            <w:r>
              <w:t>두 major 병행 시 server/test 비용 증가</w:t>
            </w:r>
          </w:p>
        </w:tc>
      </w:tr>
      <w:tr>
        <w:tc>
          <w:tcPr>
            <w:tcW w:type="dxa" w:w="5184"/>
            <w:vAlign w:val="top"/>
          </w:tcPr>
          <w:p>
            <w:r>
              <w:t>Breaking changes become explicit</w:t>
            </w:r>
          </w:p>
        </w:tc>
        <w:tc>
          <w:tcPr>
            <w:tcW w:type="dxa" w:w="5184"/>
            <w:vAlign w:val="top"/>
          </w:tcPr>
          <w:p>
            <w:r>
              <w:t>Compatibility diff tooling 필요</w:t>
            </w:r>
          </w:p>
        </w:tc>
      </w:tr>
      <w:tr>
        <w:tc>
          <w:tcPr>
            <w:tcW w:type="dxa" w:w="5184"/>
            <w:vAlign w:val="top"/>
          </w:tcPr>
          <w:p>
            <w:r>
              <w:t>Church OS product version can evolve independently</w:t>
            </w:r>
          </w:p>
        </w:tc>
        <w:tc>
          <w:tcPr>
            <w:tcW w:type="dxa" w:w="5184"/>
            <w:vAlign w:val="top"/>
          </w:tcPr>
          <w:p>
            <w:r>
              <w:t>Release manifest discipline 필요</w:t>
            </w:r>
          </w:p>
        </w:tc>
      </w:tr>
      <w:tr>
        <w:tc>
          <w:tcPr>
            <w:tcW w:type="dxa" w:w="5184"/>
            <w:vAlign w:val="top"/>
          </w:tcPr>
          <w:p>
            <w:r>
              <w:t>DB/Ontology can evolve without artificial API bumps</w:t>
            </w:r>
          </w:p>
        </w:tc>
        <w:tc>
          <w:tcPr>
            <w:tcW w:type="dxa" w:w="5184"/>
            <w:vAlign w:val="top"/>
          </w:tcPr>
          <w:p>
            <w:r>
              <w:t>Dependency mapping 필요</w:t>
            </w:r>
          </w:p>
        </w:tc>
      </w:tr>
      <w:tr>
        <w:tc>
          <w:tcPr>
            <w:tcW w:type="dxa" w:w="5184"/>
            <w:vAlign w:val="top"/>
          </w:tcPr>
          <w:p>
            <w:r>
              <w:t>v0.1/v1/v2 confusion removed</w:t>
            </w:r>
          </w:p>
        </w:tc>
        <w:tc>
          <w:tcPr>
            <w:tcW w:type="dxa" w:w="5184"/>
            <w:vAlign w:val="top"/>
          </w:tcPr>
          <w:p>
            <w:r>
              <w:t>Consolidated v2 spec 작성 필요</w:t>
            </w:r>
          </w:p>
        </w:tc>
      </w:tr>
    </w:tbl>
    <w:p>
      <w:pPr>
        <w:pStyle w:val="Heading1"/>
      </w:pPr>
      <w:r>
        <w:t>22. B-04 Closure Criteria</w:t>
      </w:r>
    </w:p>
    <w:p>
      <w:pPr>
        <w:pStyle w:val="ListBullet"/>
      </w:pPr>
      <w:r>
        <w:t>본 ADR이 CRAVS G1~G7을 통과하고 승인된다.</w:t>
      </w:r>
    </w:p>
    <w:p>
      <w:pPr>
        <w:pStyle w:val="ListBullet"/>
      </w:pPr>
      <w:r>
        <w:t>`/api/v1`과 `/api/v2` repository path가 ADR과 일치한다.</w:t>
      </w:r>
    </w:p>
    <w:p>
      <w:pPr>
        <w:pStyle w:val="ListBullet"/>
      </w:pPr>
      <w:r>
        <w:t>v0.1 aliases가 executable/CI path에서 제거되거나 ARCHIVE로 명시된다.</w:t>
      </w:r>
    </w:p>
    <w:p>
      <w:pPr>
        <w:pStyle w:val="ListBullet"/>
      </w:pPr>
      <w:r>
        <w:t>v2 consolidated OpenAPI baseline이 생성된다.</w:t>
      </w:r>
    </w:p>
    <w:p>
      <w:pPr>
        <w:pStyle w:val="ListBullet"/>
      </w:pPr>
      <w:r>
        <w:t>v1/v2 compatibility matrix와 migration guide가 생성된다.</w:t>
      </w:r>
    </w:p>
    <w:p>
      <w:pPr>
        <w:pStyle w:val="ListBullet"/>
      </w:pPr>
      <w:r>
        <w:t>contract tests가 각 supported major와 매핑된다.</w:t>
      </w:r>
    </w:p>
    <w:p>
      <w:pPr>
        <w:pStyle w:val="ListBullet"/>
      </w:pPr>
      <w:r>
        <w:t>Headless/SSO/Webhook compatibility rule이 testable contract로 연결된다.</w:t>
      </w:r>
    </w:p>
    <w:p>
      <w:pPr>
        <w:pStyle w:val="ListBullet"/>
      </w:pPr>
      <w:r>
        <w:t>Release manifest가 API/DB/Ontology/Privacy/SDK dependency를 기록한다.</w:t>
      </w:r>
    </w:p>
    <w:p>
      <w:r>
        <w:t>따라서 본 ADR 문서 생성만으로 B-04를 CLOSED로 표시하지 않는다. 승인 + repository/spec/test alignment가 완료되어야 한다.</w:t>
      </w:r>
    </w:p>
    <w:p>
      <w:pPr>
        <w:pStyle w:val="Heading1"/>
      </w:pPr>
      <w:r>
        <w:t>23. CRAVS Admission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Current ADR assessment</w:t>
            </w:r>
          </w:p>
        </w:tc>
      </w:tr>
      <w:tr>
        <w:tc>
          <w:tcPr>
            <w:tcW w:type="dxa" w:w="5184"/>
            <w:vAlign w:val="top"/>
          </w:tcPr>
          <w:p>
            <w:r>
              <w:t>G1 Identity &amp; Provenance</w:t>
            </w:r>
          </w:p>
        </w:tc>
        <w:tc>
          <w:tcPr>
            <w:tcW w:type="dxa" w:w="5184"/>
            <w:vAlign w:val="top"/>
          </w:tcPr>
          <w:p>
            <w:r>
              <w:t>PASS — ADR-API-001 / 1.0</w:t>
            </w:r>
          </w:p>
        </w:tc>
      </w:tr>
      <w:tr>
        <w:tc>
          <w:tcPr>
            <w:tcW w:type="dxa" w:w="5184"/>
            <w:vAlign w:val="top"/>
          </w:tcPr>
          <w:p>
            <w:r>
              <w:t>G2 Authority</w:t>
            </w:r>
          </w:p>
        </w:tc>
        <w:tc>
          <w:tcPr>
            <w:tcW w:type="dxa" w:w="5184"/>
            <w:vAlign w:val="top"/>
          </w:tcPr>
          <w:p>
            <w:r>
              <w:t>PASS CANDIDATE — A3, 상위 Canonical을 재정의하지 않음</w:t>
            </w:r>
          </w:p>
        </w:tc>
      </w:tr>
      <w:tr>
        <w:tc>
          <w:tcPr>
            <w:tcW w:type="dxa" w:w="5184"/>
            <w:vAlign w:val="top"/>
          </w:tcPr>
          <w:p>
            <w:r>
              <w:t>G3 Semantic Integrity</w:t>
            </w:r>
          </w:p>
        </w:tc>
        <w:tc>
          <w:tcPr>
            <w:tcW w:type="dxa" w:w="5184"/>
            <w:vAlign w:val="top"/>
          </w:tcPr>
          <w:p>
            <w:r>
              <w:t>PASS 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G4 Structural Integrity</w:t>
            </w:r>
          </w:p>
        </w:tc>
        <w:tc>
          <w:tcPr>
            <w:tcW w:type="dxa" w:w="5184"/>
            <w:vAlign w:val="top"/>
          </w:tcPr>
          <w:p>
            <w:r>
              <w:t>PASS 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G5 Dependency &amp; Impact</w:t>
            </w:r>
          </w:p>
        </w:tc>
        <w:tc>
          <w:tcPr>
            <w:tcW w:type="dxa" w:w="5184"/>
            <w:vAlign w:val="top"/>
          </w:tcPr>
          <w:p>
            <w:r>
              <w:t>PASS 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G6 Privacy &amp; Security</w:t>
            </w:r>
          </w:p>
        </w:tc>
        <w:tc>
          <w:tcPr>
            <w:tcW w:type="dxa" w:w="5184"/>
            <w:vAlign w:val="top"/>
          </w:tcPr>
          <w:p>
            <w:r>
              <w:t>PASS CANDIDATE — privacy-sensitive breaking changes 명시</w:t>
            </w:r>
          </w:p>
        </w:tc>
      </w:tr>
      <w:tr>
        <w:tc>
          <w:tcPr>
            <w:tcW w:type="dxa" w:w="5184"/>
            <w:vAlign w:val="top"/>
          </w:tcPr>
          <w:p>
            <w:r>
              <w:t>G7 Compatibility</w:t>
            </w:r>
          </w:p>
        </w:tc>
        <w:tc>
          <w:tcPr>
            <w:tcW w:type="dxa" w:w="5184"/>
            <w:vAlign w:val="top"/>
          </w:tcPr>
          <w:p>
            <w:r>
              <w:t>PASS CANDIDATE — 본 ADR 핵심</w:t>
            </w:r>
          </w:p>
        </w:tc>
      </w:tr>
      <w:tr>
        <w:tc>
          <w:tcPr>
            <w:tcW w:type="dxa" w:w="5184"/>
            <w:vAlign w:val="top"/>
          </w:tcPr>
          <w:p>
            <w:r>
              <w:t>G8 Executability</w:t>
            </w:r>
          </w:p>
        </w:tc>
        <w:tc>
          <w:tcPr>
            <w:tcW w:type="dxa" w:w="5184"/>
            <w:vAlign w:val="top"/>
          </w:tcPr>
          <w:p>
            <w:r>
              <w:t>N/A for ADR itself; downstream API tests 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t>G9 Acceptance</w:t>
            </w:r>
          </w:p>
        </w:tc>
        <w:tc>
          <w:tcPr>
            <w:tcW w:type="dxa" w:w="5184"/>
            <w:vAlign w:val="top"/>
          </w:tcPr>
          <w:p>
            <w:r>
              <w:t>PENDING — developer/headless acceptance</w:t>
            </w:r>
          </w:p>
        </w:tc>
      </w:tr>
      <w:tr>
        <w:tc>
          <w:tcPr>
            <w:tcW w:type="dxa" w:w="5184"/>
            <w:vAlign w:val="top"/>
          </w:tcPr>
          <w:p>
            <w:r>
              <w:t>G10 Release Integrity</w:t>
            </w:r>
          </w:p>
        </w:tc>
        <w:tc>
          <w:tcPr>
            <w:tcW w:type="dxa" w:w="5184"/>
            <w:vAlign w:val="top"/>
          </w:tcPr>
          <w:p>
            <w:r>
              <w:t>PENDING — repo manifest update</w:t>
            </w:r>
          </w:p>
        </w:tc>
      </w:tr>
    </w:tbl>
    <w:p>
      <w:r>
        <w:t>Admission recommendation: VALIDATED-CANDIDATE → 승인 후 Architecture Decision ACTIVE. B-04는 downstream alignment 완료 후 CLOSED.</w:t>
      </w:r>
    </w:p>
    <w:p>
      <w:pPr>
        <w:pStyle w:val="Heading1"/>
      </w:pPr>
      <w:r>
        <w:t>24. External Design Basis</w:t>
      </w:r>
    </w:p>
    <w:p>
      <w:r>
        <w:t>외부 참고 원칙으로 Microsoft REST API guidance는 explicit versioning, breaking change 시 version increment, major upgrade path/deprecation plan을 강조한다. Microsoft Graph guidance는 client 구현 변경이 필요한 변화를 breaking으로 보고 additive evolution을 선호한다. NIST SSDF는 security requirements/design decisions 및 release component provenance의 추적을 강조한다. 본 ADR은 이 원칙을 CHGO의 기존 path-versioned API, Clean Repository lifecycle, Headless church 요구에 맞게 적용한 것이다.</w:t>
      </w:r>
    </w:p>
    <w:p>
      <w:pPr>
        <w:pStyle w:val="Heading1"/>
      </w:pPr>
      <w:r>
        <w:t>25. Required Follow-on Artifacts</w:t>
      </w:r>
    </w:p>
    <w:p>
      <w:pPr>
        <w:pStyle w:val="ListNumber"/>
      </w:pPr>
      <w:r>
        <w:t>API-002 CHGO v1↔v2 Compatibility Matrix 1.0</w:t>
      </w:r>
    </w:p>
    <w:p>
      <w:pPr>
        <w:pStyle w:val="ListNumber"/>
      </w:pPr>
      <w:r>
        <w:t>API-003 CHGO Public &amp; Headless OpenAPI v2 Consolidated Baseline</w:t>
      </w:r>
    </w:p>
    <w:p>
      <w:pPr>
        <w:pStyle w:val="ListNumber"/>
      </w:pPr>
      <w:r>
        <w:t>API-004 v1→v2 Migration Guide 1.0</w:t>
      </w:r>
    </w:p>
    <w:p>
      <w:pPr>
        <w:pStyle w:val="ListNumber"/>
      </w:pPr>
      <w:r>
        <w:t>API-005 API Breaking-Change Diff &amp; CI Gate Specification 1.0</w:t>
      </w:r>
    </w:p>
    <w:p>
      <w:pPr>
        <w:pStyle w:val="ListNumber"/>
      </w:pPr>
      <w:r>
        <w:t>API-006 Headless SDK / Webhook Compatibility Contract 1.0</w:t>
      </w:r>
    </w:p>
    <w:p>
      <w:pPr>
        <w:pStyle w:val="ListNumber"/>
      </w:pPr>
      <w:r>
        <w:t>API-007 API Release Manifest Schema 1.0</w:t>
      </w:r>
    </w:p>
    <w:p>
      <w:pPr>
        <w:pStyle w:val="Heading1"/>
      </w:pPr>
      <w:r>
        <w:t>26. Save Location</w:t>
      </w:r>
    </w:p>
    <w:p>
      <w:r>
        <w:t>Legacy Developer Handoff:</w:t>
        <w:br/>
        <w:t>D:\CHGO\16.DGM,SYS\Developer Handoff\01.Build Specifications\API_Versioning_and_Compatibility_ADR_1.0.docx</w:t>
        <w:br/>
        <w:br/>
        <w:t>Clean Repository after CRAVS approval:</w:t>
        <w:br/>
        <w:t>D:\CHGO\Repository\CHGO-Platform\docs\adr\ADR-API-001_API_Versioning_and_Compatibility_1.0.docx</w:t>
      </w:r>
    </w:p>
    <w:sectPr w:rsidR="00FC693F" w:rsidRPr="0006063C" w:rsidSect="00034616"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