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44"/>
          <w:szCs w:val="44"/>
        </w:rPr>
        <w:t xml:space="preserve">ARC Index 조직진단 설문 최적화 제안서</w:t>
      </w:r>
    </w:p>
    <w:p>
      <w:pPr>
        <w:spacing w:after="300"/>
      </w:pPr>
      <w:r>
        <w:rPr>
          <w:rFonts w:ascii="Malgun Gothic" w:cs="Malgun Gothic" w:eastAsia="Malgun Gothic" w:hAnsi="Malgun Gothic"/>
          <w:color w:val="595959"/>
          <w:sz w:val="24"/>
          <w:szCs w:val="24"/>
        </w:rPr>
        <w:t xml:space="preserve">AX(AI Transformation) 시대 최신 HR·조직문화·조직변화 지표 반영 — 비교분석 · 1차 최적화 · 재검토 · 최종안</w:t>
      </w:r>
    </w:p>
    <w:p>
      <w:pPr>
        <w:spacing w:after="160"/>
      </w:pPr>
      <w:r>
        <w:rPr>
          <w:rFonts w:ascii="Malgun Gothic" w:cs="Malgun Gothic" w:eastAsia="Malgun Gothic" w:hAnsi="Malgun Gothic"/>
          <w:i/>
          <w:iCs/>
          <w:color w:val="595959"/>
          <w:sz w:val="19"/>
          <w:szCs w:val="19"/>
        </w:rPr>
        <w:t xml:space="preserve">작성일 2026-07-15 · 대상: ARC Index (OHI·ORI·OVI·OAI, 총 100문항) · AXHRD 조직진단 도구</w:t>
      </w:r>
    </w:p>
    <w:p>
      <w:pPr>
        <w:pStyle w:val="Heading1"/>
        <w:spacing w:after="180" w:before="360"/>
      </w:pPr>
      <w:r>
        <w:rPr>
          <w:rFonts w:ascii="Malgun Gothic" w:cs="Malgun Gothic" w:eastAsia="Malgun Gothic" w:hAnsi="Malgun Gothic"/>
          <w:b/>
          <w:bCs/>
          <w:color w:val="1F3864"/>
          <w:sz w:val="30"/>
          <w:szCs w:val="30"/>
        </w:rPr>
        <w:t xml:space="preserve">0. 개요 및 방법론</w:t>
      </w:r>
    </w:p>
    <w:p>
      <w:pPr>
        <w:spacing w:after="120"/>
      </w:pPr>
      <w:r>
        <w:rPr>
          <w:rFonts w:ascii="Malgun Gothic" w:cs="Malgun Gothic" w:eastAsia="Malgun Gothic" w:hAnsi="Malgun Gothic"/>
          <w:b w:val="false"/>
          <w:bCs w:val="false"/>
          <w:i w:val="false"/>
          <w:iCs w:val="false"/>
          <w:sz w:val="21"/>
          <w:szCs w:val="21"/>
        </w:rPr>
        <w:t xml:space="preserve">이 제안서는 귀사의 조직진단 도구 ARC Index(OHI·ORI·OVI·OAI, 총 100문항 + 인구통계 5문항 + 주관식 14블록)를 대상으로, HBR·McKinsey·Deloitte 등 2025~2026년 최신 HR/조직문화/조직변화 아티클과 AX(AI 대전환) 시대에 새롭게 부상한 지표를 비교 검토한 결과입니다. 절차는 다음 순서로 진행했습니다: (1) 현재 문항의 이론적 근거를 전수 정리해 총괄 연계 지도를 작성하고, (2) 최신 트렌드 6가지를 리서치해 현재 문항과의 커버리지를 매핑하고, (3) 미커버 영역에 대한 신규 문항 초안과 과다 문항 정리안을 제시하는 1차 최적화안을 만들고, (4) 이 1차안을 다시 비판적으로 재검토해 응답 부담과 이론적 타당성을 기준으로 우선순위를 조정한 뒤, (5) 최종안을 확정했습니다.</w:t>
      </w:r>
    </w:p>
    <w:p>
      <w:pPr>
        <w:spacing w:after="120"/>
      </w:pPr>
      <w:r>
        <w:rPr>
          <w:rFonts w:ascii="Malgun Gothic" w:cs="Malgun Gothic" w:eastAsia="Malgun Gothic" w:hAnsi="Malgun Gothic"/>
          <w:b w:val="false"/>
          <w:bCs w:val="false"/>
          <w:i w:val="false"/>
          <w:iCs w:val="false"/>
          <w:sz w:val="21"/>
          <w:szCs w:val="21"/>
        </w:rPr>
        <w:t xml:space="preserve">결론을 먼저 요약하면, 현재 설문은 이미 15개 이상의 조직개발·심리학 이론(UWES, Kahn 몰입이론, Edmondson 심리적 안전, Burke-Litwin, Lewin, ADKAR, Bass MLQ, Adams 공정성, Vroom 기대이론, Senge 학습조직, Argyris 이중루프, Schein 조직문화, JD-R 모형, Kaplan &amp; Norton BSC, Rogers 혁신확산, Teece 동적역량, Nadler &amp; Tushman 조직정합성 등)에 근거해 촘촘하게 설계되어 있습니다. 따라서 이번 최적화는 대규모 개편이 아니라 신규 문항 1~2개, 문항 없이 계산되는 파생지표 1개, 그리고 실시 방식(캐던스) 조정 위주의 최소침습적 개선으로 귀결됩니다.</w:t>
      </w:r>
    </w:p>
    <w:p>
      <w:pPr>
        <w:pStyle w:val="Heading1"/>
        <w:spacing w:after="180" w:before="360"/>
      </w:pPr>
      <w:r>
        <w:rPr>
          <w:rFonts w:ascii="Malgun Gothic" w:cs="Malgun Gothic" w:eastAsia="Malgun Gothic" w:hAnsi="Malgun Gothic"/>
          <w:b/>
          <w:bCs/>
          <w:color w:val="1F3864"/>
          <w:sz w:val="30"/>
          <w:szCs w:val="30"/>
        </w:rPr>
        <w:t xml:space="preserve">1. 현재 설문의 이론적 총괄 연계 지도</w:t>
      </w:r>
    </w:p>
    <w:p>
      <w:pPr>
        <w:spacing w:after="120"/>
      </w:pPr>
      <w:r>
        <w:rPr>
          <w:rFonts w:ascii="Malgun Gothic" w:cs="Malgun Gothic" w:eastAsia="Malgun Gothic" w:hAnsi="Malgun Gothic"/>
          <w:b w:val="false"/>
          <w:bCs w:val="false"/>
          <w:i w:val="false"/>
          <w:iCs w:val="false"/>
          <w:sz w:val="21"/>
          <w:szCs w:val="21"/>
        </w:rPr>
        <w:t xml:space="preserve">아래 표는 4개 진단 도구의 모든 하위 축이 어떤 이론에 근거해 무엇을 측정하도록 설계되었는지 정리한 것입니다. 이 표 자체가 "설문이 임의로 만들어진 것이 아니라 조직개발 이론과 총괄적으로 연계되어 있다"는 근거 문서입니다.</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900"/>
        <w:gridCol w:w="4200"/>
        <w:gridCol w:w="3600"/>
      </w:tblGrid>
      <w:tr>
        <w:trPr>
          <w:tblHeader/>
        </w:trPr>
        <w:tc>
          <w:tcPr>
            <w:tcW w:type="dxa" w:w="11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도구</w:t>
            </w:r>
          </w:p>
        </w:tc>
        <w:tc>
          <w:tcPr>
            <w:tcW w:type="dxa" w:w="2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하위 축</w:t>
            </w:r>
          </w:p>
        </w:tc>
        <w:tc>
          <w:tcPr>
            <w:tcW w:type="dxa" w:w="9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문항수</w:t>
            </w:r>
          </w:p>
        </w:tc>
        <w:tc>
          <w:tcPr>
            <w:tcW w:type="dxa" w:w="4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핵심 이론적 근거</w:t>
            </w:r>
          </w:p>
        </w:tc>
        <w:tc>
          <w:tcPr>
            <w:tcW w:type="dxa" w:w="3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측정 대상</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SE — E·C·F (지속가능 몰입)</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8</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UWES(Vigor·Dedication·Absorption), Kahn(1990) 몰입이론, Harter(2020) 미래연결감</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종속변인 · 모든 드라이버 분석의 기준</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BO 행동결과</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관찰가능 행동측정, SEM 인과분석</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자발적 제안·기여·발언 행동</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TL 팀 리더십</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6</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Bass MLQ, Edmondson(2018) 심리적 안전</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팀원이 경험하는 리더십 조건(HLM L2)</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D 전략방향</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2</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Burke-Litwin 변환적 요인, Lewin 장이론, Teece 동적역량</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전략 인지·환경대응</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SL 경영진 리더십</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Bass MLQ Inspirational Motivation, Schein Humble Inquiry</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경영진 신뢰·상향소통</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SV 직속 상사</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Bass MLQ Individualized Consideration, Edmondson</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코칭·피드백 경험</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PS 심리적 안전</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Edmondson(2018), Schein 학습불안</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발언·실험에 대한 안전감</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 소통&amp;정보</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2</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WTW Communication, Burke-Litwin 정보흐름</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정보 투명성·상향 소통</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EM 구조&amp;자율권</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Galbraith Star Model, Senge 시스템 사고</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의사결정권·부서간 협업</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PM 성과&amp;보상</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Adams 공정성이론, Vroom 기대이론</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보상 공정성·성과인정</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LG 학습&amp;성장</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Senge 학습조직, Dweck 성장마인드셋, Argyris 이중루프</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성장기회·실패학습</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CI 문화&amp;포용</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2</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Schein 문화 3층위, 절차적 공정성</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존중·포용·조직동일시</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WE 업무환경</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3</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JD-R(자원-요구) 모형, WTW</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자원충족·업무량 균형</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CD 변화준비방향</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5</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Lewin 해빙, Schein 생존불안·학습불안, ADKAR Awareness</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변화 방향 인지·긴장감</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LA 학습적응역량</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4</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Senge 시스템 사고, Sutcliffe &amp; Vogus 회복탄력성</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조직 수준 학습·적응 속도</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AXS AI 전략준비</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4</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Responsible AI Governance, Schein 기본가정</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 전략·거버넌스·책임구조</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AXC AI 역량준비</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5</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Long &amp; Magerko AI Literacy, Schein 학습불안</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 활용역량·비판적 검토력</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AXA/AXG Opportunity</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4</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수용의지-공포 이중측정 설계</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AI전환의 구조적 병목 진단</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OVI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HV 건강 변화속도</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5</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Burke-Litwin 유량(flow) 개념</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6개월간 건강도 변화방향</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OVI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CV 변화실행속도</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5</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Lewin 장 변화 유량, Teece 동적역량, Argyris 이중루프</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결정→현장 적용 속도</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OVI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AV AX전환속도</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5</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Rogers 혁신확산이론</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AI전환의 상대적(대외비교) 속도</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OAI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SA 전략정렬</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6</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Burke-Litwin 변환요인, Kaplan &amp; Norton BSC, Lewin</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전략과 실제 행동의 일치도</w:t>
            </w:r>
          </w:p>
        </w:tc>
      </w:tr>
      <w:tr>
        <w:tc>
          <w:tcPr>
            <w:tcW w:type="dxa" w:w="11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OAI</w:t>
            </w:r>
          </w:p>
        </w:tc>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EA 에너지정렬</w:t>
            </w:r>
          </w:p>
        </w:tc>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6</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Kahn 몰입에너지 방향, Perry PSM, JD-R 자원투입경로</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에너지가 우선순위로 흐르는가</w:t>
            </w:r>
          </w:p>
        </w:tc>
      </w:tr>
      <w:tr>
        <w:tc>
          <w:tcPr>
            <w:tcW w:type="dxa" w:w="11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OAI</w:t>
            </w:r>
          </w:p>
        </w:tc>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OA 결과정렬</w:t>
            </w:r>
          </w:p>
        </w:tc>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6</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Argyris 이중루프, Senge 의도치 않은 결과, Rogers 확산</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변화 노력과 실제 결과의 일치도</w:t>
            </w:r>
          </w:p>
        </w:tc>
      </w:tr>
    </w:tbl>
    <w:p>
      <w:pPr>
        <w:spacing w:after="160"/>
      </w:pPr>
      <w:r>
        <w:rPr>
          <w:rFonts w:ascii="Malgun Gothic" w:cs="Malgun Gothic" w:eastAsia="Malgun Gothic" w:hAnsi="Malgun Gothic"/>
          <w:i/>
          <w:iCs/>
          <w:color w:val="595959"/>
          <w:sz w:val="19"/>
          <w:szCs w:val="19"/>
        </w:rPr>
        <w:t xml:space="preserve">SE의 「헌신·연결」축은 산식표·시드 데이터상 코드 SE.C로, 「소통&amp;정보」축 코드 C와 이미 네임스페이스가 분리되어 있어 데이터 무결성 문제는 없습니다(웹 진단 결과, prisma/seed/arc-index-data.ts 확인). 다만 사람이 읽는 설문지 문서에는 둘 다 "C"로 표기되어 있어 3절의 표기 정리 제안에서 다룹니다.</w:t>
      </w:r>
    </w:p>
    <w:p>
      <w:pPr>
        <w:pStyle w:val="Heading1"/>
        <w:spacing w:after="180" w:before="360"/>
      </w:pPr>
      <w:r>
        <w:rPr>
          <w:rFonts w:ascii="Malgun Gothic" w:cs="Malgun Gothic" w:eastAsia="Malgun Gothic" w:hAnsi="Malgun Gothic"/>
          <w:b/>
          <w:bCs/>
          <w:color w:val="1F3864"/>
          <w:sz w:val="30"/>
          <w:szCs w:val="30"/>
        </w:rPr>
        <w:t xml:space="preserve">2. 최신 HR·조직문화·조직변화 트렌드 (2025~2026) 대비 커버리지 분석</w:t>
      </w:r>
    </w:p>
    <w:p>
      <w:pPr>
        <w:spacing w:after="120"/>
      </w:pPr>
      <w:r>
        <w:rPr>
          <w:rFonts w:ascii="Malgun Gothic" w:cs="Malgun Gothic" w:eastAsia="Malgun Gothic" w:hAnsi="Malgun Gothic"/>
          <w:b w:val="false"/>
          <w:bCs w:val="false"/>
          <w:i w:val="false"/>
          <w:iCs w:val="false"/>
          <w:sz w:val="21"/>
          <w:szCs w:val="21"/>
        </w:rPr>
        <w:t xml:space="preserve">HBR, McKinsey HR Monitor 2026, Deloitte Global Human Capital Trends 2026, 그리고 2025~2026년 학술·업계에서 부상한 AX 시대형 신규 구성개념을 조사하여 현재 문항과 대조했습니다.</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800"/>
        <w:gridCol w:w="2600"/>
        <w:gridCol w:w="4200"/>
      </w:tblGrid>
      <w:tr>
        <w:trPr>
          <w:tblHeader/>
        </w:trPr>
        <w:tc>
          <w:tcPr>
            <w:tcW w:type="dxa" w:w="2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트렌드</w:t>
            </w:r>
          </w:p>
        </w:tc>
        <w:tc>
          <w:tcPr>
            <w:tcW w:type="dxa" w:w="4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핵심 내용</w:t>
            </w:r>
          </w:p>
        </w:tc>
        <w:tc>
          <w:tcPr>
            <w:tcW w:type="dxa" w:w="18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출처</w:t>
            </w:r>
          </w:p>
        </w:tc>
        <w:tc>
          <w:tcPr>
            <w:tcW w:type="dxa" w:w="2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커버리지 판정</w:t>
            </w:r>
          </w:p>
        </w:tc>
        <w:tc>
          <w:tcPr>
            <w:tcW w:type="dxa" w:w="4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관련 기존 문항</w:t>
            </w:r>
          </w:p>
        </w:tc>
      </w:tr>
      <w:tr>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① AI시대 성과관리
3계층 프레임</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AI를 검증·수정하며 판단력을 발휘하는 사람이 오히려 "덜 생산적"으로 보이는 착시를 경계. 인간기여/AI시스템/인간-AI공동산출을 분리 측정해야 한다는 프레임 제시</w:t>
            </w:r>
          </w:p>
        </w:tc>
        <w:tc>
          <w:tcPr>
            <w:tcW w:type="dxa" w:w="1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HBR 2026.7
(Bean, Strauss, Singh)</w:t>
            </w:r>
          </w:p>
        </w:tc>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부분 커버
(개인 역량만 측정, 조직의 인정 여부 미측정)</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 AXC02
(AI 오류 수정 역량)</w:t>
            </w:r>
          </w:p>
        </w:tc>
      </w:tr>
      <w:tr>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② Workslop 확산</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검증 없이 유통되는 저품질 AI 산출물이 동료의 재작업 부담과 신뢰 저하를 유발. 지식근로자 75%가 정책 없이 AI 사용 중</w:t>
            </w:r>
          </w:p>
        </w:tc>
        <w:tc>
          <w:tcPr>
            <w:tcW w:type="dxa" w:w="1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Fortune/Kickresume
2025</w:t>
            </w:r>
          </w:p>
        </w:tc>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미커버</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없음</w:t>
            </w:r>
          </w:p>
        </w:tc>
      </w:tr>
      <w:tr>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③ Quiet Cracking
(신종 침묵형 소진)</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표면적으로는 정상 근무를 유지하지만 내적으로 서서히 무너지는 패턴. "조용한 퇴사"와 달리 의도적이지 않음. 전세계 몰입도 23%→21% 하락, 약 4,380억 달러 생산성 손실 추정</w:t>
            </w:r>
          </w:p>
        </w:tc>
        <w:tc>
          <w:tcPr>
            <w:tcW w:type="dxa" w:w="1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Gallup 2025/26,
People Management,
TalentLMS</w:t>
            </w:r>
          </w:p>
        </w:tc>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부분 커버
(SE 저하 + BO 정상 조합으로 간접 포착 가능, 직접 문항 없음)</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SE(E·C·F), BO01~03,
WE02</w:t>
            </w:r>
          </w:p>
        </w:tc>
      </w:tr>
      <w:tr>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④ Human
Sustainability</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웰빙·소속감 중심의 기존 관점을, 스킬·고용가능성(employability)까지 포함하는 방향으로 확장</w:t>
            </w:r>
          </w:p>
        </w:tc>
        <w:tc>
          <w:tcPr>
            <w:tcW w:type="dxa" w:w="1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Deloitte 2026
Global Human
Capital Trends</w:t>
            </w:r>
          </w:p>
        </w:tc>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부분 커버
(웰빙 WE, 소속감 CI는 커버 / 고용가능성 미커버)</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WE01~03, CI01~02</w:t>
            </w:r>
          </w:p>
        </w:tc>
      </w:tr>
      <w:tr>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⑤ 피드백 빈도 격차 /
전략적 역량계획</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조사대상 조직 중 절반 이상이 피드백을 연 1회 이하로만 제공. HR은 이 참여도를 실제보다 과대평가하는 경향. 인력계획도 단기 운영 중심(장기 전략적 관점 11%)</w:t>
            </w:r>
          </w:p>
        </w:tc>
        <w:tc>
          <w:tcPr>
            <w:tcW w:type="dxa" w:w="1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McKinsey
HR Monitor 2026</w:t>
            </w:r>
          </w:p>
        </w:tc>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부분 커버
(TL04·SV03가 피드백의 "질"은 측정하나 "빈도"는 미측정)</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TL04, SV03</w:t>
            </w:r>
          </w:p>
        </w:tc>
      </w:tr>
      <w:tr>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⑥ AI신뢰 다차원
척도(학술)</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AI에 대한 신뢰를 역량(competence)·선의(benevolence)·호혜성(reciprocity) 3차원으로 세분화해 측정하는 척도가 2025~26년 검증됨</w:t>
            </w:r>
          </w:p>
        </w:tc>
        <w:tc>
          <w:tcPr>
            <w:tcW w:type="dxa" w:w="1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Frontiers in AI,
IJHCI 2025-26</w:t>
            </w:r>
          </w:p>
        </w:tc>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충분 — 추가 불필요
(AXA 수용의지 + AXG 거버넌스공포의 이중측정이 이미 유사 기능 수행)</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AXA01~02, AXG01~02</w:t>
            </w:r>
          </w:p>
        </w:tc>
      </w:tr>
    </w:tbl>
    <w:p>
      <w:pPr>
        <w:spacing w:after="160"/>
      </w:pPr>
      <w:r>
        <w:rPr>
          <w:rFonts w:ascii="Malgun Gothic" w:cs="Malgun Gothic" w:eastAsia="Malgun Gothic" w:hAnsi="Malgun Gothic"/>
          <w:i/>
          <w:iCs/>
          <w:color w:val="595959"/>
          <w:sz w:val="19"/>
          <w:szCs w:val="19"/>
        </w:rPr>
        <w:t xml:space="preserve">⑥은 "이미 충분하다"는 판정 근거로 남겨, 무분별한 문항 추가를 막는 대조군 역할로 활용했습니다.</w:t>
      </w:r>
    </w:p>
    <w:p>
      <w:r>
        <w:br/>
        <w:t xml:space="preserve"/>
      </w:r>
    </w:p>
    <w:p>
      <w:pPr>
        <w:sectPr>
          <w:pgSz w:w="16838" w:h="11906" w:orient="landscape"/>
          <w:pgMar w:top="720" w:right="560" w:bottom="720" w:left="560" w:header="708" w:footer="708" w:gutter="0"/>
          <w:pgNumType/>
          <w:docGrid w:linePitch="360"/>
        </w:sectPr>
      </w:pPr>
    </w:p>
    <w:p>
      <w:pPr>
        <w:pStyle w:val="Heading1"/>
        <w:spacing w:after="180" w:before="360"/>
      </w:pPr>
      <w:r>
        <w:rPr>
          <w:rFonts w:ascii="Malgun Gothic" w:cs="Malgun Gothic" w:eastAsia="Malgun Gothic" w:hAnsi="Malgun Gothic"/>
          <w:b/>
          <w:bCs/>
          <w:color w:val="1F3864"/>
          <w:sz w:val="30"/>
          <w:szCs w:val="30"/>
        </w:rPr>
        <w:t xml:space="preserve">3. 1차 최적화안</w:t>
      </w:r>
    </w:p>
    <w:p>
      <w:pPr>
        <w:pStyle w:val="Heading2"/>
        <w:spacing w:after="140" w:before="280"/>
      </w:pPr>
      <w:r>
        <w:rPr>
          <w:rFonts w:ascii="Malgun Gothic" w:cs="Malgun Gothic" w:eastAsia="Malgun Gothic" w:hAnsi="Malgun Gothic"/>
          <w:b/>
          <w:bCs/>
          <w:color w:val="1F3864"/>
          <w:sz w:val="25"/>
          <w:szCs w:val="25"/>
        </w:rPr>
        <w:t xml:space="preserve">3-1. 신규 문항 제안 (미커버 영역)</w:t>
      </w:r>
    </w:p>
    <w:tbl>
      <w:tblPr>
        <w:tblW w:type="dxa" w:w="149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5200"/>
        <w:gridCol w:w="1400"/>
        <w:gridCol w:w="4200"/>
        <w:gridCol w:w="1500"/>
      </w:tblGrid>
      <w:tr>
        <w:trPr>
          <w:tblHeader/>
        </w:trPr>
        <w:tc>
          <w:tcPr>
            <w:tcW w:type="dxa" w:w="9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코드</w:t>
            </w:r>
          </w:p>
        </w:tc>
        <w:tc>
          <w:tcPr>
            <w:tcW w:type="dxa" w:w="17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배치 위치</w:t>
            </w:r>
          </w:p>
        </w:tc>
        <w:tc>
          <w:tcPr>
            <w:tcW w:type="dxa" w:w="5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문항</w:t>
            </w:r>
          </w:p>
        </w:tc>
        <w:tc>
          <w:tcPr>
            <w:tcW w:type="dxa" w:w="1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척도</w:t>
            </w:r>
          </w:p>
        </w:tc>
        <w:tc>
          <w:tcPr>
            <w:tcW w:type="dxa" w:w="4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이론적 근거</w:t>
            </w:r>
          </w:p>
        </w:tc>
        <w:tc>
          <w:tcPr>
            <w:tcW w:type="dxa" w:w="15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대응 트렌드</w:t>
            </w:r>
          </w:p>
        </w:tc>
      </w:tr>
      <w:tr>
        <w:tc>
          <w:tcPr>
            <w:tcW w:type="dxa" w:w="9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PM04</w:t>
            </w:r>
          </w:p>
        </w:tc>
        <w:tc>
          <w:tcPr>
            <w:tcW w:type="dxa" w:w="17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 ›
성과&amp;보상</w:t>
            </w:r>
          </w:p>
        </w:tc>
        <w:tc>
          <w:tcPr>
            <w:tcW w:type="dxa" w:w="5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 결과물을 그대로 쓰지 않고 검토·비판적으로 검증하는 태도가 이 조직에서 성과로 인정받는다</w:t>
            </w:r>
          </w:p>
        </w:tc>
        <w:tc>
          <w:tcPr>
            <w:tcW w:type="dxa" w:w="1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이중응답
5점</w:t>
            </w:r>
          </w:p>
        </w:tc>
        <w:tc>
          <w:tcPr>
            <w:tcW w:type="dxa" w:w="4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HBR(2026) 3계층 AI성과프레임, Argyris 이중루프학습(오류탐지가 학습의 핵심)</w:t>
            </w:r>
          </w:p>
        </w:tc>
        <w:tc>
          <w:tcPr>
            <w:tcW w:type="dxa" w:w="15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① ②</w:t>
            </w:r>
          </w:p>
        </w:tc>
      </w:tr>
      <w:tr>
        <w:tc>
          <w:tcPr>
            <w:tcW w:type="dxa" w:w="9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LG04</w:t>
            </w:r>
          </w:p>
        </w:tc>
        <w:tc>
          <w:tcPr>
            <w:tcW w:type="dxa" w:w="17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 ›
학습&amp;성장</w:t>
            </w:r>
          </w:p>
        </w:tc>
        <w:tc>
          <w:tcPr>
            <w:tcW w:type="dxa" w:w="5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이 조직에서 쌓은 역량과 경험은 다른 조직에서도 통할 만큼 시장성이 있다고 생각한다</w:t>
            </w:r>
          </w:p>
        </w:tc>
        <w:tc>
          <w:tcPr>
            <w:tcW w:type="dxa" w:w="1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이중응답
5점</w:t>
            </w:r>
          </w:p>
        </w:tc>
        <w:tc>
          <w:tcPr>
            <w:tcW w:type="dxa" w:w="4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Deloitte(2026) Human Sustainability의 고용가능성 축, Arthur &amp; Rousseau 경계없는 경력이론</w:t>
            </w:r>
          </w:p>
        </w:tc>
        <w:tc>
          <w:tcPr>
            <w:tcW w:type="dxa" w:w="15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④</w:t>
            </w:r>
          </w:p>
        </w:tc>
      </w:tr>
    </w:tbl>
    <w:p>
      <w:pPr>
        <w:pStyle w:val="Heading2"/>
        <w:spacing w:after="140" w:before="280"/>
      </w:pPr>
      <w:r>
        <w:rPr>
          <w:rFonts w:ascii="Malgun Gothic" w:cs="Malgun Gothic" w:eastAsia="Malgun Gothic" w:hAnsi="Malgun Gothic"/>
          <w:b/>
          <w:bCs/>
          <w:color w:val="1F3864"/>
          <w:sz w:val="25"/>
          <w:szCs w:val="25"/>
        </w:rPr>
        <w:t xml:space="preserve">3-2. 문항 대신 파생지표로 처리할 항목</w:t>
      </w:r>
    </w:p>
    <w:p>
      <w:pPr>
        <w:spacing w:after="120"/>
      </w:pPr>
      <w:r>
        <w:rPr>
          <w:rFonts w:ascii="Malgun Gothic" w:cs="Malgun Gothic" w:eastAsia="Malgun Gothic" w:hAnsi="Malgun Gothic"/>
          <w:b w:val="false"/>
          <w:bCs w:val="false"/>
          <w:i w:val="false"/>
          <w:iCs w:val="false"/>
          <w:sz w:val="21"/>
          <w:szCs w:val="21"/>
        </w:rPr>
        <w:t xml:space="preserve">일부 트렌드는 신규 문항을 추가하지 않고 기존 응답값을 조합한 계산식(파생지표)으로 대응하는 편이 응답 부담을 늘리지 않으면서 효과를 얻을 수 있습니다.</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5400"/>
      </w:tblGrid>
      <w:tr>
        <w:trPr>
          <w:tblHeader/>
        </w:trPr>
        <w:tc>
          <w:tcPr>
            <w:tcW w:type="dxa" w:w="2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항목</w:t>
            </w:r>
          </w:p>
        </w:tc>
        <w:tc>
          <w:tcPr>
            <w:tcW w:type="dxa" w:w="5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처리 방식</w:t>
            </w:r>
          </w:p>
        </w:tc>
        <w:tc>
          <w:tcPr>
            <w:tcW w:type="dxa" w:w="5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사유</w:t>
            </w:r>
          </w:p>
        </w:tc>
      </w:tr>
      <w:tr>
        <w:tc>
          <w:tcPr>
            <w:tcW w:type="dxa" w:w="2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Quiet Cracking Index
(QCI, 신규)</w:t>
            </w:r>
          </w:p>
        </w:tc>
        <w:tc>
          <w:tcPr>
            <w:tcW w:type="dxa" w:w="5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기존 Risk Index와 같은 방식의 파생지표: C03(미래연결감) 저조 + E평균(활력) 저조 + BO평균(행동) 정상/높음의 조합 패턴을 탐지</w:t>
            </w:r>
          </w:p>
        </w:tc>
        <w:tc>
          <w:tcPr>
            <w:tcW w:type="dxa" w:w="5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"겉으로는 정상 수행, 속으로는 소진"이라는 정의 자체가 감정지표(SE)와 행동지표(BO)의 괴리로 조작적 정의가 가능 — 새 문항 없이 기존 데이터로 계산 가능</w:t>
            </w:r>
          </w:p>
        </w:tc>
      </w:tr>
      <w:tr>
        <w:tc>
          <w:tcPr>
            <w:tcW w:type="dxa" w:w="2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피드백 빈도
(McKinsey ⑤)</w:t>
            </w:r>
          </w:p>
        </w:tc>
        <w:tc>
          <w:tcPr>
            <w:tcW w:type="dxa" w:w="5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이번 웨이브에는 미반영, 차기 검토 항목으로 보류</w:t>
            </w:r>
          </w:p>
        </w:tc>
        <w:tc>
          <w:tcPr>
            <w:tcW w:type="dxa" w:w="5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5점 리커트가 아닌 빈도(횟수) 응답 문항이라 기존 척도 체계와 이질적 — 4절 재검토에서 최종 판단</w:t>
            </w:r>
          </w:p>
        </w:tc>
      </w:tr>
    </w:tbl>
    <w:p>
      <w:pPr>
        <w:pStyle w:val="Heading2"/>
        <w:spacing w:after="140" w:before="280"/>
      </w:pPr>
      <w:r>
        <w:rPr>
          <w:rFonts w:ascii="Malgun Gothic" w:cs="Malgun Gothic" w:eastAsia="Malgun Gothic" w:hAnsi="Malgun Gothic"/>
          <w:b/>
          <w:bCs/>
          <w:color w:val="1F3864"/>
          <w:sz w:val="25"/>
          <w:szCs w:val="25"/>
        </w:rPr>
        <w:t xml:space="preserve">3-3. 과다·불필요 문항 정리 제안</w:t>
      </w:r>
    </w:p>
    <w:p>
      <w:pPr>
        <w:spacing w:after="120"/>
      </w:pPr>
      <w:r>
        <w:rPr>
          <w:rFonts w:ascii="Malgun Gothic" w:cs="Malgun Gothic" w:eastAsia="Malgun Gothic" w:hAnsi="Malgun Gothic"/>
          <w:b w:val="false"/>
          <w:bCs w:val="false"/>
          <w:i w:val="false"/>
          <w:iCs w:val="false"/>
          <w:sz w:val="21"/>
          <w:szCs w:val="21"/>
        </w:rPr>
        <w:t xml:space="preserve">전 문항을 재검토한 결과, 단순 삭제가 타당한 "불필요 문항"은 발견되지 않았습니다. 문서에 이미 명시되어 있듯 PM03(OHI)·AXC05(ORI)·OA05(OAI)·AV04(OVI)의 "AI 성과 인정" 계열 4문항은 각각 "지금 작동하는가/준비됐는가/방향이 맞는가/속도가 빠른가"라는 의도된 교차검증 설계입니다. 다만 4개 도구를 한 웨이브에 동시 실시하면 응답자 입장에서는 비슷한 질문을 4번 받는 것처럼 느껴져 피로도를 유발할 수 있습니다. 따라서 문항 삭제 대신 실시 주기(캐던스) 분리를 대안으로 제시합니다.</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8000"/>
      </w:tblGrid>
      <w:tr>
        <w:trPr>
          <w:tblHeader/>
        </w:trPr>
        <w:tc>
          <w:tcPr>
            <w:tcW w:type="dxa" w:w="1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도구</w:t>
            </w:r>
          </w:p>
        </w:tc>
        <w:tc>
          <w:tcPr>
            <w:tcW w:type="dxa" w:w="30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권장 실시주기</w:t>
            </w:r>
          </w:p>
        </w:tc>
        <w:tc>
          <w:tcPr>
            <w:tcW w:type="dxa" w:w="80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사유</w:t>
            </w:r>
          </w:p>
        </w:tc>
      </w:tr>
      <w:tr>
        <w:tc>
          <w:tcPr>
            <w:tcW w:type="dxa" w:w="1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3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매 웨이브 (예: 반기 1회)</w:t>
            </w:r>
          </w:p>
        </w:tc>
        <w:tc>
          <w:tcPr>
            <w:tcW w:type="dxa" w:w="8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SE가 전체 드라이버 분석의 종속변인 — 항상 함께 측정되어야 기준선 유지</w:t>
            </w:r>
          </w:p>
        </w:tc>
      </w:tr>
      <w:tr>
        <w:tc>
          <w:tcPr>
            <w:tcW w:type="dxa" w:w="1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OVI</w:t>
            </w:r>
          </w:p>
        </w:tc>
        <w:tc>
          <w:tcPr>
            <w:tcW w:type="dxa" w:w="30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매 웨이브 (OHI와 동시)</w:t>
            </w:r>
          </w:p>
        </w:tc>
        <w:tc>
          <w:tcPr>
            <w:tcW w:type="dxa" w:w="80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회고형(6개월 전 대비) 설계라 변화 감지가 목적 자체 — 매회 실시해야 의미가 있음</w:t>
            </w:r>
          </w:p>
        </w:tc>
      </w:tr>
      <w:tr>
        <w:tc>
          <w:tcPr>
            <w:tcW w:type="dxa" w:w="1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w:t>
            </w:r>
          </w:p>
        </w:tc>
        <w:tc>
          <w:tcPr>
            <w:tcW w:type="dxa" w:w="3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연 1회 또는 조직개편 등 주요 변화 이벤트 직후</w:t>
            </w:r>
          </w:p>
        </w:tc>
        <w:tc>
          <w:tcPr>
            <w:tcW w:type="dxa" w:w="8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전략·구조적 준비도는 단기간에 잘 변하지 않는 변인</w:t>
            </w:r>
          </w:p>
        </w:tc>
      </w:tr>
      <w:tr>
        <w:tc>
          <w:tcPr>
            <w:tcW w:type="dxa" w:w="1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OAI</w:t>
            </w:r>
          </w:p>
        </w:tc>
        <w:tc>
          <w:tcPr>
            <w:tcW w:type="dxa" w:w="30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연 1회, 또는 OHI·OVI에서 이상신호 감지 시 수시</w:t>
            </w:r>
          </w:p>
        </w:tc>
        <w:tc>
          <w:tcPr>
            <w:tcW w:type="dxa" w:w="80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"빠른 오류"(OHI·OVI는 높은데 방향이 틀린 상태)를 잡는 조기경보용 — 상시 실시 필요성은 낮음</w:t>
            </w:r>
          </w:p>
        </w:tc>
      </w:tr>
    </w:tbl>
    <w:p>
      <w:pPr>
        <w:spacing w:after="160"/>
      </w:pPr>
      <w:r>
        <w:rPr>
          <w:rFonts w:ascii="Malgun Gothic" w:cs="Malgun Gothic" w:eastAsia="Malgun Gothic" w:hAnsi="Malgun Gothic"/>
          <w:i/>
          <w:iCs/>
          <w:color w:val="595959"/>
          <w:sz w:val="19"/>
          <w:szCs w:val="19"/>
        </w:rPr>
        <w:t xml:space="preserve">이 캐던스 분리만으로 한 웨이브당 실제 응답 문항 수를 100문항(약 35분)에서 60문항(OHI+OVI, 약 20분) 수준으로 줄일 수 있어, 문항 삭제보다 응답 부담 경감 효과가 훨씬 큽니다.</w:t>
      </w:r>
    </w:p>
    <w:p>
      <w:pPr>
        <w:spacing w:after="120"/>
      </w:pPr>
      <w:r>
        <w:rPr>
          <w:rFonts w:ascii="Malgun Gothic" w:cs="Malgun Gothic" w:eastAsia="Malgun Gothic" w:hAnsi="Malgun Gothic"/>
          <w:b w:val="false"/>
          <w:bCs w:val="false"/>
          <w:i w:val="false"/>
          <w:iCs w:val="false"/>
          <w:sz w:val="21"/>
          <w:szCs w:val="21"/>
        </w:rPr>
        <w:t xml:space="preserve">표기 정리(기능 변경 아님): 설문지 문서(ARC_OHI_최종_v2.md)에는 「헌신·연결」축과 「소통&amp;정보」축이 모두 "C"로 표기되어 사람이 읽을 때 혼동될 수 있습니다(DB 스키마상으로는 SE.C로 이미 분리되어 실제 운영에는 문제가 없습니다). 보고서·설문지 문서용 표기를 "소통&amp;정보 → CM"으로 통일할 것을 권고합니다.</w:t>
      </w:r>
    </w:p>
    <w:p>
      <w:pPr>
        <w:sectPr>
          <w:pgSz w:w="16838" w:h="11906" w:orient="landscape"/>
          <w:pgMar w:top="720" w:right="560" w:bottom="720" w:left="560" w:header="708" w:footer="708" w:gutter="0"/>
          <w:pgNumType/>
          <w:docGrid w:linePitch="360"/>
        </w:sectPr>
      </w:pPr>
    </w:p>
    <w:p>
      <w:pPr>
        <w:pStyle w:val="Heading1"/>
        <w:spacing w:after="180" w:before="360"/>
      </w:pPr>
      <w:r>
        <w:rPr>
          <w:rFonts w:ascii="Malgun Gothic" w:cs="Malgun Gothic" w:eastAsia="Malgun Gothic" w:hAnsi="Malgun Gothic"/>
          <w:b/>
          <w:bCs/>
          <w:color w:val="1F3864"/>
          <w:sz w:val="30"/>
          <w:szCs w:val="30"/>
        </w:rPr>
        <w:t xml:space="preserve">4. 재검토 (Critical Review)</w:t>
      </w:r>
    </w:p>
    <w:p>
      <w:pPr>
        <w:spacing w:after="120"/>
      </w:pPr>
      <w:r>
        <w:rPr>
          <w:rFonts w:ascii="Malgun Gothic" w:cs="Malgun Gothic" w:eastAsia="Malgun Gothic" w:hAnsi="Malgun Gothic"/>
          <w:b w:val="false"/>
          <w:bCs w:val="false"/>
          <w:i w:val="false"/>
          <w:iCs w:val="false"/>
          <w:sz w:val="21"/>
          <w:szCs w:val="21"/>
        </w:rPr>
        <w:t xml:space="preserve">1차 최적화안을 그대로 실행하면 OHI가 45→47문항, 전체 100→102문항으로 늘어납니다. ARC Index 설계 문서는 역문항 비율(4.8%)까지 계산해 "적정 균형"을 관리할 만큼 문항 수에 세심한 도구이므로, 신규 문항을 그대로 다 얹는 것은 이 설계 철학과 상충될 수 있습니다. 이에 따라 아래 3가지 기준으로 1차안을 다시 심사했습니다: (1) 최신 트렌드 중 실무 파급력이 가장 큰가, (2) 기존 문항·파생지표로 대체 불가능한가, (3) 응답 부담 대비 정보 가치가 충분한가.</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8400"/>
      </w:tblGrid>
      <w:tr>
        <w:trPr>
          <w:tblHeader/>
        </w:trPr>
        <w:tc>
          <w:tcPr>
            <w:tcW w:type="dxa" w:w="2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항목</w:t>
            </w:r>
          </w:p>
        </w:tc>
        <w:tc>
          <w:tcPr>
            <w:tcW w:type="dxa" w:w="18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재검토 결과</w:t>
            </w:r>
          </w:p>
        </w:tc>
        <w:tc>
          <w:tcPr>
            <w:tcW w:type="dxa" w:w="8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판단 근거</w:t>
            </w:r>
          </w:p>
        </w:tc>
      </w:tr>
      <w:tr>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PM04
(workslop 대응)</w:t>
            </w:r>
          </w:p>
        </w:tc>
        <w:tc>
          <w:tcPr>
            <w:tcW w:type="dxa" w:w="1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채택 확정</w:t>
            </w:r>
          </w:p>
        </w:tc>
        <w:tc>
          <w:tcPr>
            <w:tcW w:type="dxa" w:w="8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 활용이 이미 조직 전반에 퍼진 상황에서 "AI 산출물 검증이 성과로 인정되는가"는 향후 조직 리스크의 핵심 지표가 될 가능성이 높음. 기존 PM03·AXC05는 "AI 혁신 인정"을 묻지 "AI 검증·비판적 사용 인정"을 묻지 않아 대체 불가 — 방향이 다른 질문</w:t>
            </w:r>
          </w:p>
        </w:tc>
      </w:tr>
      <w:tr>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LG04
(고용가능성)</w:t>
            </w:r>
          </w:p>
        </w:tc>
        <w:tc>
          <w:tcPr>
            <w:tcW w:type="dxa" w:w="1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조건부 채택
(Wave 2부터 시범)</w:t>
            </w:r>
          </w:p>
        </w:tc>
        <w:tc>
          <w:tcPr>
            <w:tcW w:type="dxa" w:w="8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공공기관·기관 고객 맥락에서는 "고용가능성"이 민간기업만큼 핵심 이슈가 아닐 수 있음. 우선 1개 웨이브 시범 적용 후 드라이버 중요도 분석(β)에서 SE에 대한 설명력이 확인되면(예: 표준화 β≥.15) 정식 편입, 아니면 제외</w:t>
            </w:r>
          </w:p>
        </w:tc>
      </w:tr>
      <w:tr>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피드백 빈도
(McKinsey)</w:t>
            </w:r>
          </w:p>
        </w:tc>
        <w:tc>
          <w:tcPr>
            <w:tcW w:type="dxa" w:w="1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최종 보류</w:t>
            </w:r>
          </w:p>
        </w:tc>
        <w:tc>
          <w:tcPr>
            <w:tcW w:type="dxa" w:w="8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TL04·SV03가 피드백의 "질"을 이미 측정하고 있어 상당 부분 간접 커버됨. 빈도(횟수)형 문항은 5점 리커트 체계와 척도 성격이 달라 무리하게 끼워 넣으면 응답자 혼란과 통계처리 복잡성만 커짐</w:t>
            </w:r>
          </w:p>
        </w:tc>
      </w:tr>
      <w:tr>
        <w:tc>
          <w:tcPr>
            <w:tcW w:type="dxa" w:w="22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QCI 파생지표</w:t>
            </w:r>
          </w:p>
        </w:tc>
        <w:tc>
          <w:tcPr>
            <w:tcW w:type="dxa" w:w="18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채택 확정</w:t>
            </w:r>
          </w:p>
        </w:tc>
        <w:tc>
          <w:tcPr>
            <w:tcW w:type="dxa" w:w="84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문항 추가 없이 기존 데이터만으로 계산되므로 응답 부담이 0에 가깝고, 이번 웨이브부터 즉시 적용 가능 — 비용 대비 효과가 가장 큰 항목</w:t>
            </w:r>
          </w:p>
        </w:tc>
      </w:tr>
      <w:tr>
        <w:tc>
          <w:tcPr>
            <w:tcW w:type="dxa" w:w="2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실시 캐던스 분리</w:t>
            </w:r>
          </w:p>
        </w:tc>
        <w:tc>
          <w:tcPr>
            <w:tcW w:type="dxa" w:w="18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채택 확정</w:t>
            </w:r>
          </w:p>
        </w:tc>
        <w:tc>
          <w:tcPr>
            <w:tcW w:type="dxa" w:w="8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문항 삭제 없이도 실제 체감 문항 수를 100→60 수준으로 줄이는 가장 비용 대비 효과가 큰 개선안. "AI 성과 인정" 계열 4문항의 반복 체감 문제도 자연히 완화됨</w:t>
            </w:r>
          </w:p>
        </w:tc>
      </w:tr>
    </w:tbl>
    <w:p>
      <w:pPr>
        <w:pStyle w:val="Heading1"/>
        <w:spacing w:after="180" w:before="360"/>
      </w:pPr>
      <w:r>
        <w:rPr>
          <w:rFonts w:ascii="Malgun Gothic" w:cs="Malgun Gothic" w:eastAsia="Malgun Gothic" w:hAnsi="Malgun Gothic"/>
          <w:b/>
          <w:bCs/>
          <w:color w:val="1F3864"/>
          <w:sz w:val="30"/>
          <w:szCs w:val="30"/>
        </w:rPr>
        <w:t xml:space="preserve">5. 최종안</w:t>
      </w:r>
    </w:p>
    <w:p>
      <w:pPr>
        <w:pStyle w:val="Heading2"/>
        <w:spacing w:after="140" w:before="280"/>
      </w:pPr>
      <w:r>
        <w:rPr>
          <w:rFonts w:ascii="Malgun Gothic" w:cs="Malgun Gothic" w:eastAsia="Malgun Gothic" w:hAnsi="Malgun Gothic"/>
          <w:b/>
          <w:bCs/>
          <w:color w:val="1F3864"/>
          <w:sz w:val="25"/>
          <w:szCs w:val="25"/>
        </w:rPr>
        <w:t xml:space="preserve">5-1. 최종 신규 문항 (즉시 채택)</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5400"/>
        <w:gridCol w:w="1600"/>
        <w:gridCol w:w="5200"/>
      </w:tblGrid>
      <w:tr>
        <w:trPr>
          <w:tblHeader/>
        </w:trPr>
        <w:tc>
          <w:tcPr>
            <w:tcW w:type="dxa" w:w="10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코드</w:t>
            </w:r>
          </w:p>
        </w:tc>
        <w:tc>
          <w:tcPr>
            <w:tcW w:type="dxa" w:w="20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위치</w:t>
            </w:r>
          </w:p>
        </w:tc>
        <w:tc>
          <w:tcPr>
            <w:tcW w:type="dxa" w:w="5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문항</w:t>
            </w:r>
          </w:p>
        </w:tc>
        <w:tc>
          <w:tcPr>
            <w:tcW w:type="dxa" w:w="1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척도</w:t>
            </w:r>
          </w:p>
        </w:tc>
        <w:tc>
          <w:tcPr>
            <w:tcW w:type="dxa" w:w="5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비고</w:t>
            </w:r>
          </w:p>
        </w:tc>
      </w:tr>
      <w:tr>
        <w:tc>
          <w:tcPr>
            <w:tcW w:type="dxa" w:w="1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PM04</w:t>
            </w:r>
          </w:p>
        </w:tc>
        <w:tc>
          <w:tcPr>
            <w:tcW w:type="dxa" w:w="2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 › 성과&amp;보상
(4번째 문항)</w:t>
            </w:r>
          </w:p>
        </w:tc>
        <w:tc>
          <w:tcPr>
            <w:tcW w:type="dxa" w:w="5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AI 결과물을 그대로 쓰지 않고 검토·비판적으로 검증하는 태도가 이 조직에서 성과로 인정받는다</w:t>
            </w:r>
          </w:p>
        </w:tc>
        <w:tc>
          <w:tcPr>
            <w:tcW w:type="dxa" w:w="1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이중응답 5점
(현재수준+중요도)</w:t>
            </w:r>
          </w:p>
        </w:tc>
        <w:tc>
          <w:tcPr>
            <w:tcW w:type="dxa" w:w="5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PM_OE 주관식 문항은 유지, PM04는 리커트만 추가</w:t>
            </w:r>
          </w:p>
        </w:tc>
      </w:tr>
    </w:tbl>
    <w:p>
      <w:pPr>
        <w:pStyle w:val="Heading2"/>
        <w:spacing w:after="140" w:before="280"/>
      </w:pPr>
      <w:r>
        <w:rPr>
          <w:rFonts w:ascii="Malgun Gothic" w:cs="Malgun Gothic" w:eastAsia="Malgun Gothic" w:hAnsi="Malgun Gothic"/>
          <w:b/>
          <w:bCs/>
          <w:color w:val="1F3864"/>
          <w:sz w:val="25"/>
          <w:szCs w:val="25"/>
        </w:rPr>
        <w:t xml:space="preserve">5-2. 시범 적용 문항 (Wave 2 조건부)</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5400"/>
        <w:gridCol w:w="1600"/>
        <w:gridCol w:w="5200"/>
      </w:tblGrid>
      <w:tr>
        <w:trPr>
          <w:tblHeader/>
        </w:trPr>
        <w:tc>
          <w:tcPr>
            <w:tcW w:type="dxa" w:w="10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코드</w:t>
            </w:r>
          </w:p>
        </w:tc>
        <w:tc>
          <w:tcPr>
            <w:tcW w:type="dxa" w:w="20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위치</w:t>
            </w:r>
          </w:p>
        </w:tc>
        <w:tc>
          <w:tcPr>
            <w:tcW w:type="dxa" w:w="54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문항</w:t>
            </w:r>
          </w:p>
        </w:tc>
        <w:tc>
          <w:tcPr>
            <w:tcW w:type="dxa" w:w="1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척도</w:t>
            </w:r>
          </w:p>
        </w:tc>
        <w:tc>
          <w:tcPr>
            <w:tcW w:type="dxa" w:w="52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채택 조건</w:t>
            </w:r>
          </w:p>
        </w:tc>
      </w:tr>
      <w:tr>
        <w:tc>
          <w:tcPr>
            <w:tcW w:type="dxa" w:w="1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LG04</w:t>
            </w:r>
          </w:p>
        </w:tc>
        <w:tc>
          <w:tcPr>
            <w:tcW w:type="dxa" w:w="20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 › 학습&amp;성장
(4번째 문항)</w:t>
            </w:r>
          </w:p>
        </w:tc>
        <w:tc>
          <w:tcPr>
            <w:tcW w:type="dxa" w:w="54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이 조직에서 쌓은 역량과 경험은 다른 조직에서도 통할 만큼 시장성이 있다고 생각한다</w:t>
            </w:r>
          </w:p>
        </w:tc>
        <w:tc>
          <w:tcPr>
            <w:tcW w:type="dxa" w:w="1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이중응답 5점</w:t>
            </w:r>
          </w:p>
        </w:tc>
        <w:tc>
          <w:tcPr>
            <w:tcW w:type="dxa" w:w="52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드라이버 분석에서 SE에 대한 표준화 β≥.15 확인 시 정식 편입</w:t>
            </w:r>
          </w:p>
        </w:tc>
      </w:tr>
    </w:tbl>
    <w:p>
      <w:pPr>
        <w:pStyle w:val="Heading2"/>
        <w:spacing w:after="140" w:before="280"/>
      </w:pPr>
      <w:r>
        <w:rPr>
          <w:rFonts w:ascii="Malgun Gothic" w:cs="Malgun Gothic" w:eastAsia="Malgun Gothic" w:hAnsi="Malgun Gothic"/>
          <w:b/>
          <w:bCs/>
          <w:color w:val="1F3864"/>
          <w:sz w:val="25"/>
          <w:szCs w:val="25"/>
        </w:rPr>
        <w:t xml:space="preserve">5-3. 파생지표 신규 추가</w:t>
      </w:r>
    </w:p>
    <w:p>
      <w:pPr>
        <w:spacing w:after="120"/>
      </w:pPr>
      <w:r>
        <w:rPr>
          <w:rFonts w:ascii="Malgun Gothic" w:cs="Malgun Gothic" w:eastAsia="Malgun Gothic" w:hAnsi="Malgun Gothic"/>
          <w:b w:val="false"/>
          <w:bCs w:val="false"/>
          <w:i w:val="false"/>
          <w:iCs w:val="false"/>
          <w:sz w:val="21"/>
          <w:szCs w:val="21"/>
        </w:rPr>
        <w:t xml:space="preserve">Quiet Cracking Index(QCI) — 문항 추가 없이 기존 응답으로 계산. 산식 예시(가중치는 파일럿 데이터로 재보정 필요): QCI = (6−C03)×0.4 + (6−E평균)×0.3 + max(0, BO평균−3)×0.3. 값이 높을수록 "몰입은 무너졌지만 행동은 여전히 정상적으로 수행 중"인 고위험군을 의미합니다. 기존 「진단자용 분석 가이드」의 Risk Index 항목 옆에 병기하는 방식을 권고합니다.</w:t>
      </w:r>
    </w:p>
    <w:p>
      <w:pPr>
        <w:pStyle w:val="Heading2"/>
        <w:spacing w:after="140" w:before="280"/>
      </w:pPr>
      <w:r>
        <w:rPr>
          <w:rFonts w:ascii="Malgun Gothic" w:cs="Malgun Gothic" w:eastAsia="Malgun Gothic" w:hAnsi="Malgun Gothic"/>
          <w:b/>
          <w:bCs/>
          <w:color w:val="1F3864"/>
          <w:sz w:val="25"/>
          <w:szCs w:val="25"/>
        </w:rPr>
        <w:t xml:space="preserve">5-4. 운영 개선 — 실시 캐던스</w:t>
      </w:r>
    </w:p>
    <w:p>
      <w:pPr>
        <w:spacing w:after="120"/>
      </w:pPr>
      <w:r>
        <w:rPr>
          <w:rFonts w:ascii="Malgun Gothic" w:cs="Malgun Gothic" w:eastAsia="Malgun Gothic" w:hAnsi="Malgun Gothic"/>
          <w:b w:val="false"/>
          <w:bCs w:val="false"/>
          <w:i w:val="false"/>
          <w:iCs w:val="false"/>
          <w:sz w:val="21"/>
          <w:szCs w:val="21"/>
        </w:rPr>
        <w:t xml:space="preserve">OHI·OVI는 매 웨이브(반기 1회), ORI·OAI는 연 1회 또는 주요 이벤트/이상신호 발생 시로 분리 실시. 이를 통해 웨이브당 체감 문항 수를 최대 40% 절감.</w:t>
      </w:r>
    </w:p>
    <w:p>
      <w:pPr>
        <w:pStyle w:val="Heading2"/>
        <w:spacing w:after="140" w:before="280"/>
      </w:pPr>
      <w:r>
        <w:rPr>
          <w:rFonts w:ascii="Malgun Gothic" w:cs="Malgun Gothic" w:eastAsia="Malgun Gothic" w:hAnsi="Malgun Gothic"/>
          <w:b/>
          <w:bCs/>
          <w:color w:val="1F3864"/>
          <w:sz w:val="25"/>
          <w:szCs w:val="25"/>
        </w:rPr>
        <w:t xml:space="preserve">5-5. 표기 정리</w:t>
      </w:r>
    </w:p>
    <w:p>
      <w:pPr>
        <w:spacing w:after="120"/>
      </w:pPr>
      <w:r>
        <w:rPr>
          <w:rFonts w:ascii="Malgun Gothic" w:cs="Malgun Gothic" w:eastAsia="Malgun Gothic" w:hAnsi="Malgun Gothic"/>
          <w:b w:val="false"/>
          <w:bCs w:val="false"/>
          <w:i w:val="false"/>
          <w:iCs w:val="false"/>
          <w:sz w:val="21"/>
          <w:szCs w:val="21"/>
        </w:rPr>
        <w:t xml:space="preserve">설문지 문서 내 「소통&amp;정보」축 코드를 "C"에서 "CM"으로 변경(기능적 변경 아님, DB 스키마는 이미 SE.C로 분리되어 있어 영향 없음).</w:t>
      </w:r>
    </w:p>
    <w:p>
      <w:pPr>
        <w:pStyle w:val="Heading2"/>
        <w:spacing w:after="140" w:before="280"/>
      </w:pPr>
      <w:r>
        <w:rPr>
          <w:rFonts w:ascii="Malgun Gothic" w:cs="Malgun Gothic" w:eastAsia="Malgun Gothic" w:hAnsi="Malgun Gothic"/>
          <w:b/>
          <w:bCs/>
          <w:color w:val="1F3864"/>
          <w:sz w:val="25"/>
          <w:szCs w:val="25"/>
        </w:rPr>
        <w:t xml:space="preserve">5-6. 최종 문항수 요약</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00"/>
        <w:gridCol w:w="3600"/>
      </w:tblGrid>
      <w:tr>
        <w:trPr>
          <w:tblHeader/>
        </w:trPr>
        <w:tc>
          <w:tcPr>
            <w:tcW w:type="dxa" w:w="2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구분</w:t>
            </w:r>
          </w:p>
        </w:tc>
        <w:tc>
          <w:tcPr>
            <w:tcW w:type="dxa" w:w="2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기존</w:t>
            </w:r>
          </w:p>
        </w:tc>
        <w:tc>
          <w:tcPr>
            <w:tcW w:type="dxa" w:w="3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최종안 (즉시)</w:t>
            </w:r>
          </w:p>
        </w:tc>
        <w:tc>
          <w:tcPr>
            <w:tcW w:type="dxa" w:w="3600"/>
            <w:shd w:fill="1F3864" w:val="clear"/>
            <w:tcMar>
              <w:top w:type="dxa" w:w="60"/>
              <w:left w:type="dxa" w:w="100"/>
              <w:bottom w:type="dxa" w:w="60"/>
              <w:right w:type="dxa" w:w="100"/>
            </w:tcMar>
            <w:vAlign w:val="center"/>
          </w:tcPr>
          <w:p>
            <w:r>
              <w:rPr>
                <w:rFonts w:ascii="Malgun Gothic" w:cs="Malgun Gothic" w:eastAsia="Malgun Gothic" w:hAnsi="Malgun Gothic"/>
                <w:b/>
                <w:bCs/>
                <w:sz w:val="18"/>
                <w:szCs w:val="18"/>
              </w:rPr>
              <w:t xml:space="preserve">최종안 (Wave 2 조건부 포함)</w:t>
            </w:r>
          </w:p>
        </w:tc>
      </w:tr>
      <w:tr>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w:t>
            </w:r>
          </w:p>
        </w:tc>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45문항</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46문항 (PM04 +1)</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47문항 (LG04 +1)</w:t>
            </w:r>
          </w:p>
        </w:tc>
      </w:tr>
      <w:tr>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ORI</w:t>
            </w:r>
          </w:p>
        </w:tc>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22문항</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22문항</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22문항</w:t>
            </w:r>
          </w:p>
        </w:tc>
      </w:tr>
      <w:tr>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OVI</w:t>
            </w:r>
          </w:p>
        </w:tc>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15문항</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15문항</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15문항</w:t>
            </w:r>
          </w:p>
        </w:tc>
      </w:tr>
      <w:tr>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OAI</w:t>
            </w:r>
          </w:p>
        </w:tc>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18문항</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18문항</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18문항</w:t>
            </w:r>
          </w:p>
        </w:tc>
      </w:tr>
      <w:tr>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합계</w:t>
            </w:r>
          </w:p>
        </w:tc>
        <w:tc>
          <w:tcPr>
            <w:tcW w:type="dxa" w:w="2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100문항</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101문항</w:t>
            </w:r>
          </w:p>
        </w:tc>
        <w:tc>
          <w:tcPr>
            <w:tcW w:type="dxa" w:w="3600"/>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102문항</w:t>
            </w:r>
          </w:p>
        </w:tc>
      </w:tr>
      <w:tr>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웨이브당 체감 문항
(캐던스 분리 적용 시)</w:t>
            </w:r>
          </w:p>
        </w:tc>
        <w:tc>
          <w:tcPr>
            <w:tcW w:type="dxa" w:w="2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100문항(동시실시 가정)</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OHI+OVI = 61문항</w:t>
            </w:r>
          </w:p>
        </w:tc>
        <w:tc>
          <w:tcPr>
            <w:tcW w:type="dxa" w:w="3600"/>
            <w:shd w:fill="F2F2F2" w:val="clear"/>
            <w:tcMar>
              <w:top w:type="dxa" w:w="60"/>
              <w:left w:type="dxa" w:w="100"/>
              <w:bottom w:type="dxa" w:w="60"/>
              <w:right w:type="dxa" w:w="100"/>
            </w:tcMar>
            <w:vAlign w:val="center"/>
          </w:tcPr>
          <w:p>
            <w:r>
              <w:rPr>
                <w:rFonts w:ascii="Malgun Gothic" w:cs="Malgun Gothic" w:eastAsia="Malgun Gothic" w:hAnsi="Malgun Gothic"/>
                <w:b w:val="false"/>
                <w:bCs w:val="false"/>
                <w:sz w:val="18"/>
                <w:szCs w:val="18"/>
              </w:rPr>
              <w:t xml:space="preserve">OHI+OVI = 62문항</w:t>
            </w:r>
          </w:p>
        </w:tc>
      </w:tr>
    </w:tbl>
    <w:p>
      <w:pPr>
        <w:pStyle w:val="Heading1"/>
        <w:spacing w:after="180" w:before="360"/>
      </w:pPr>
      <w:r>
        <w:rPr>
          <w:rFonts w:ascii="Malgun Gothic" w:cs="Malgun Gothic" w:eastAsia="Malgun Gothic" w:hAnsi="Malgun Gothic"/>
          <w:b/>
          <w:bCs/>
          <w:color w:val="1F3864"/>
          <w:sz w:val="30"/>
          <w:szCs w:val="30"/>
        </w:rPr>
        <w:t xml:space="preserve">맺음말</w:t>
      </w:r>
    </w:p>
    <w:p>
      <w:pPr>
        <w:spacing w:after="120"/>
      </w:pPr>
      <w:r>
        <w:rPr>
          <w:rFonts w:ascii="Malgun Gothic" w:cs="Malgun Gothic" w:eastAsia="Malgun Gothic" w:hAnsi="Malgun Gothic"/>
          <w:b w:val="false"/>
          <w:bCs w:val="false"/>
          <w:i w:val="false"/>
          <w:iCs w:val="false"/>
          <w:sz w:val="21"/>
          <w:szCs w:val="21"/>
        </w:rPr>
        <w:t xml:space="preserve">현재 ARC Index는 이미 15개 이상의 조직개발·심리학 이론에 근거해 촘촘하게 설계된 도구이며, 이번 검토에서도 임의로 삭제할 문항은 발견되지 않았습니다. 최신 AX 시대 트렌드 6가지 중 실질적으로 반영이 필요했던 것은 "AI 산출물 검증에 대한 조직적 인정"(workslop 대응) 한 가지였고, 나머지는 기존 문항의 조합(파생지표)이나 운영 방식 조정으로 충분히 대응 가능하다는 결론입니다. 신규 문항 1개(확정) + 조건부 1개 + 파생지표 1개 + 실시 캐던스 조정이라는 최소침습적 변경으로 최신 트렌드를 반영하면서도, 응답 부담은 오히려 캐던스 분리를 통해 낮추는 방향입니다.</w:t>
      </w:r>
    </w:p>
    <w:sectPr>
      <w:pgSz w:w="16838" w:h="11906" w:orient="landscape"/>
      <w:pgMar w:top="720" w:right="560" w:bottom="72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2026-07-14T15:22:48.128Z</dcterms:created>
  <dcterms:modified xsi:type="dcterms:W3CDTF">2026-07-14T15:22:48.129Z</dcterms:modified>
</cp:coreProperties>
</file>

<file path=docProps/custom.xml><?xml version="1.0" encoding="utf-8"?>
<Properties xmlns="http://schemas.openxmlformats.org/officeDocument/2006/custom-properties" xmlns:vt="http://schemas.openxmlformats.org/officeDocument/2006/docPropsVTypes"/>
</file>