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D4B"/>
          <w:sz w:val="60"/>
        </w:rPr>
        <w:t>AgeKey</w:t>
      </w:r>
    </w:p>
    <w:p>
      <w:pPr>
        <w:jc w:val="center"/>
      </w:pPr>
      <w:r>
        <w:rPr>
          <w:color w:val="3C3C3C"/>
          <w:sz w:val="36"/>
        </w:rPr>
        <w:t>Manual de Funcionamento e Fluxos</w:t>
      </w:r>
    </w:p>
    <w:p>
      <w:pPr>
        <w:jc w:val="center"/>
      </w:pPr>
      <w:r>
        <w:rPr>
          <w:i/>
          <w:sz w:val="22"/>
        </w:rPr>
        <w:t>Para leitura executiva, jurídica, operacional e técnica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Produto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AgeKey - infraestrutura de elegibilidade etária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Domínio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agekey.com.br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Versão do manual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2026-04-29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Princípio central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Arial" w:hAnsi="Arial"/>
                <w:sz w:val="20"/>
              </w:rPr>
              <w:t>Provar elegibilidade sem expor identidade civil</w:t>
            </w:r>
          </w:p>
        </w:tc>
      </w:tr>
    </w:tbl>
    <w:p>
      <w:r>
        <w:br w:type="page"/>
      </w:r>
    </w:p>
    <w:p>
      <w:pPr>
        <w:pStyle w:val="Heading1"/>
      </w:pPr>
      <w:r>
        <w:t>Sumário executivo</w:t>
      </w:r>
    </w:p>
    <w:p>
      <w:r>
        <w:t>O AgeKey é uma camada de age assurance orientada a privacidade. Ele permite que sites, apps e serviços digitais recebam uma decisão mínima sobre elegibilidade etária sem acessar documento, data de nascimento, nome civil ou idade exata.</w:t>
      </w:r>
    </w:p>
    <w:p>
      <w:r>
        <w:t>A arquitetura separa sessão, prova, decisão, token e auditoria. Isso evita que a ferramenta se transforme em KYC ou base de identidade.</w:t>
      </w:r>
    </w:p>
    <w:p>
      <w:r>
        <w:t>Este manual explica o funcionamento em linguagem acessível e também documenta os fluxos técnicos para desenvolvedores.</w:t>
      </w:r>
    </w:p>
    <w:p>
      <w:pPr>
        <w:pStyle w:val="Heading1"/>
      </w:pPr>
      <w:r>
        <w:t>Diagrama executivo da arquitetura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98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O que é o AgeKey</w:t>
      </w:r>
    </w:p>
    <w:p>
      <w:r>
        <w:t>AgeKey é uma infraestrutura de age assurance para sistemas digitais. A função central é permitir que uma plataforma saiba se uma pessoa atende a uma política etária, como 13+, 16+, 18+ ou 21+, sem que a plataforma precise receber documento, data de nascimento, nome civil ou idade exata.</w:t>
      </w:r>
    </w:p>
    <w:p>
      <w:r>
        <w:t>Em linguagem simples: o AgeKey responde "esta pessoa satisfaz a regra etária exigida?" sem transformar essa resposta em cadastro civil.</w:t>
      </w:r>
    </w:p>
    <w:p>
      <w:pPr>
        <w:pStyle w:val="Heading1"/>
      </w:pPr>
      <w:r>
        <w:t>2. O que o AgeKey não é</w:t>
      </w:r>
    </w:p>
    <w:p>
      <w:r>
        <w:t>AgeKey não é KYC.</w:t>
      </w:r>
    </w:p>
    <w:p>
      <w:r>
        <w:t>AgeKey não é uma base de identidade.</w:t>
      </w:r>
    </w:p>
    <w:p>
      <w:r>
        <w:t>AgeKey não é um banco de documentos.</w:t>
      </w:r>
    </w:p>
    <w:p>
      <w:r>
        <w:t>AgeKey não é reconhecimento facial.</w:t>
      </w:r>
    </w:p>
    <w:p>
      <w:r>
        <w:t>AgeKey não deve armazenar CPF, RG, passaporte, selfie, nome completo ou data de nascimento.</w:t>
      </w:r>
    </w:p>
    <w:p>
      <w:r>
        <w:t>O produto existe para reduzir coleta de dados, não para aumentar.</w:t>
      </w:r>
    </w:p>
    <w:p>
      <w:pPr>
        <w:pStyle w:val="Heading1"/>
      </w:pPr>
      <w:r>
        <w:t>3. Quem participa do fluxo</w:t>
      </w:r>
    </w:p>
    <w:p>
      <w:r>
        <w:t>Usuário final: pessoa que precisa acessar um serviço.</w:t>
      </w:r>
    </w:p>
    <w:p>
      <w:r>
        <w:t>Sistema cliente: site, app, edtech, rede social, plataforma ou serviço digital que licencia AgeKey.</w:t>
      </w:r>
    </w:p>
    <w:p>
      <w:r>
        <w:t>AgeKey API: backend que cria sessão, valida prova e emite token.</w:t>
      </w:r>
    </w:p>
    <w:p>
      <w:r>
        <w:t>Policy Engine: módulo que define qual regra deve ser satisfeita.</w:t>
      </w:r>
    </w:p>
    <w:p>
      <w:r>
        <w:t>Trust Registry: lista de issuers, wallets e providers confiáveis.</w:t>
      </w:r>
    </w:p>
    <w:p>
      <w:r>
        <w:t>Verifier Core: núcleo que chama o adapter correto.</w:t>
      </w:r>
    </w:p>
    <w:p>
      <w:r>
        <w:t>Gateway/Wallet/Issuer: fonte externa de atestação ou prova.</w:t>
      </w:r>
    </w:p>
    <w:p>
      <w:r>
        <w:t>AgeKey Token: resultado assinado e temporário.</w:t>
      </w:r>
    </w:p>
    <w:p>
      <w:pPr>
        <w:pStyle w:val="Heading1"/>
      </w:pPr>
      <w:r>
        <w:t>4. Visão geral do ciclo de vida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6478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647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Fluxo para leigos</w:t>
      </w:r>
    </w:p>
    <w:p>
      <w:r>
        <w:t>Imagine uma escola digital que tem uma área permitida apenas para maiores de 16 anos.</w:t>
      </w:r>
    </w:p>
    <w:p>
      <w:pPr>
        <w:pStyle w:val="ListNumber"/>
      </w:pPr>
      <w:r>
        <w:t>A escola chama o AgeKey.</w:t>
      </w:r>
    </w:p>
    <w:p>
      <w:pPr>
        <w:pStyle w:val="ListNumber"/>
      </w:pPr>
      <w:r>
        <w:t>O AgeKey cria uma sessão temporária.</w:t>
      </w:r>
    </w:p>
    <w:p>
      <w:pPr>
        <w:pStyle w:val="ListNumber"/>
      </w:pPr>
      <w:r>
        <w:t>O usuário prova a regra por carteira digital, gateway ou declaração controlada.</w:t>
      </w:r>
    </w:p>
    <w:p>
      <w:pPr>
        <w:pStyle w:val="ListNumber"/>
      </w:pPr>
      <w:r>
        <w:t>O AgeKey valida a prova.</w:t>
      </w:r>
    </w:p>
    <w:p>
      <w:pPr>
        <w:pStyle w:val="ListNumber"/>
      </w:pPr>
      <w:r>
        <w:t>A escola recebe apenas uma chave dizendo se a regra foi satisfeita.</w:t>
      </w:r>
    </w:p>
    <w:p>
      <w:pPr>
        <w:pStyle w:val="ListNumber"/>
      </w:pPr>
      <w:r>
        <w:t>A escola não recebe documento, idade exata ou data de nascimento.</w:t>
      </w:r>
    </w:p>
    <w:p>
      <w:pPr>
        <w:pStyle w:val="Heading1"/>
      </w:pPr>
      <w:r>
        <w:t>6. Fluxo técnico de criação de sessão</w:t>
      </w:r>
    </w:p>
    <w:p>
      <w:r>
        <w:t>Entrada mínima:</w:t>
      </w:r>
    </w:p>
    <w:p>
      <w:pPr>
        <w:ind w:left="283"/>
      </w:pPr>
      <w:r>
        <w:rPr>
          <w:rFonts w:ascii="Courier New" w:hAnsi="Courier New"/>
          <w:sz w:val="17"/>
        </w:rPr>
        <w:t>{</w:t>
        <w:br/>
        <w:t xml:space="preserve">  "policy_slug": "br-18-plus",</w:t>
        <w:br/>
        <w:t xml:space="preserve">  "client_capabilities": {</w:t>
        <w:br/>
        <w:t xml:space="preserve">    "platform": "web",</w:t>
        <w:br/>
        <w:t xml:space="preserve">    "digital_credentials_api": true,</w:t>
        <w:br/>
        <w:t xml:space="preserve">    "wallet_present": false</w:t>
        <w:br/>
        <w:t xml:space="preserve">  },</w:t>
        <w:br/>
        <w:t xml:space="preserve">  "locale": "pt-BR"</w:t>
        <w:br/>
        <w:t>}</w:t>
      </w:r>
    </w:p>
    <w:p>
      <w:r>
        <w:t>Saída mínima:</w:t>
      </w:r>
    </w:p>
    <w:p>
      <w:pPr>
        <w:ind w:left="283"/>
      </w:pPr>
      <w:r>
        <w:rPr>
          <w:rFonts w:ascii="Courier New" w:hAnsi="Courier New"/>
          <w:sz w:val="17"/>
        </w:rPr>
        <w:t>{</w:t>
        <w:br/>
        <w:t xml:space="preserve">  "session_id": "uuid",</w:t>
        <w:br/>
        <w:t xml:space="preserve">  "status": "pending",</w:t>
        <w:br/>
        <w:t xml:space="preserve">  "challenge": {</w:t>
        <w:br/>
        <w:t xml:space="preserve">    "nonce": "random",</w:t>
        <w:br/>
        <w:t xml:space="preserve">    "expires_at": "timestamp"</w:t>
        <w:br/>
        <w:t xml:space="preserve">  },</w:t>
        <w:br/>
        <w:t xml:space="preserve">  "available_methods": ["vc", "gateway", "fallback"],</w:t>
        <w:br/>
        <w:t xml:space="preserve">  "preferred_method": "vc"</w:t>
        <w:br/>
        <w:t>}</w:t>
      </w:r>
    </w:p>
    <w:p>
      <w:pPr>
        <w:pStyle w:val="Heading1"/>
      </w:pPr>
      <w:r>
        <w:t>7. Fluxo técnico de conclusão</w:t>
      </w:r>
    </w:p>
    <w:p>
      <w:pPr>
        <w:pStyle w:val="Heading1"/>
      </w:pPr>
      <w:r>
        <w:t>8. Métodos suportados</w:t>
      </w:r>
    </w:p>
    <w:p>
      <w:pPr>
        <w:pStyle w:val="Heading2"/>
      </w:pPr>
      <w:r>
        <w:t>8.1 Fallback</w:t>
      </w:r>
    </w:p>
    <w:p>
      <w:r>
        <w:t>Uso: menor fricção e menor garantia.</w:t>
      </w:r>
    </w:p>
    <w:p>
      <w:r>
        <w:t>Resultado típico: assurance `low`.</w:t>
      </w:r>
    </w:p>
    <w:p>
      <w:r>
        <w:t>Não deve ser usado para contexto regulatório forte sem escalonamento.</w:t>
      </w:r>
    </w:p>
    <w:p>
      <w:pPr>
        <w:pStyle w:val="Heading2"/>
      </w:pPr>
      <w:r>
        <w:t>8.2 Gateway</w:t>
      </w:r>
    </w:p>
    <w:p>
      <w:r>
        <w:t>Uso: provider externo valida e retorna atestação assinada.</w:t>
      </w:r>
    </w:p>
    <w:p>
      <w:r>
        <w:t>O core AgeKey deve receber apenas atestação normalizada, nunca documento bruto.</w:t>
      </w:r>
    </w:p>
    <w:p>
      <w:pPr>
        <w:pStyle w:val="Heading2"/>
      </w:pPr>
      <w:r>
        <w:t>8.3 Verifiable Credential</w:t>
      </w:r>
    </w:p>
    <w:p>
      <w:r>
        <w:t>Uso: wallet/issuer apresenta credencial com divulgação seletiva.</w:t>
      </w:r>
    </w:p>
    <w:p>
      <w:r>
        <w:t>O AgeKey valida assinatura, issuer, nonce, expiração e revogação.</w:t>
      </w:r>
    </w:p>
    <w:p>
      <w:pPr>
        <w:pStyle w:val="Heading2"/>
      </w:pPr>
      <w:r>
        <w:t>8.4 ZKP / Predicate Attestation</w:t>
      </w:r>
    </w:p>
    <w:p>
      <w:r>
        <w:t>Uso atual prudente: predicate attestation JWS.</w:t>
      </w:r>
    </w:p>
    <w:p>
      <w:r>
        <w:t>Uso futuro: BBS+/BLS12-381 quando houver biblioteca, issuer, wallet e test vectors.</w:t>
      </w:r>
    </w:p>
    <w:p>
      <w:pPr>
        <w:pStyle w:val="Heading1"/>
      </w:pPr>
      <w:r>
        <w:t>9. Diagrama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12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O que fica salvo</w:t>
      </w:r>
    </w:p>
    <w:p>
      <w:r>
        <w:t>Salvo:</w:t>
      </w:r>
    </w:p>
    <w:p>
      <w:pPr>
        <w:pStyle w:val="ListBullet"/>
      </w:pPr>
      <w:r>
        <w:t>sessão;</w:t>
      </w:r>
    </w:p>
    <w:p>
      <w:pPr>
        <w:pStyle w:val="ListBullet"/>
      </w:pPr>
      <w:r>
        <w:t>tenant;</w:t>
      </w:r>
    </w:p>
    <w:p>
      <w:pPr>
        <w:pStyle w:val="ListBullet"/>
      </w:pPr>
      <w:r>
        <w:t>application;</w:t>
      </w:r>
    </w:p>
    <w:p>
      <w:pPr>
        <w:pStyle w:val="ListBullet"/>
      </w:pPr>
      <w:r>
        <w:t>policy;</w:t>
      </w:r>
    </w:p>
    <w:p>
      <w:pPr>
        <w:pStyle w:val="ListBullet"/>
      </w:pPr>
      <w:r>
        <w:t>nonce consumido;</w:t>
      </w:r>
    </w:p>
    <w:p>
      <w:pPr>
        <w:pStyle w:val="ListBullet"/>
      </w:pPr>
      <w:r>
        <w:t>hash da prova;</w:t>
      </w:r>
    </w:p>
    <w:p>
      <w:pPr>
        <w:pStyle w:val="ListBullet"/>
      </w:pPr>
      <w:r>
        <w:t>decisão;</w:t>
      </w:r>
    </w:p>
    <w:p>
      <w:pPr>
        <w:pStyle w:val="ListBullet"/>
      </w:pPr>
      <w:r>
        <w:t>assurance level;</w:t>
      </w:r>
    </w:p>
    <w:p>
      <w:pPr>
        <w:pStyle w:val="ListBullet"/>
      </w:pPr>
      <w:r>
        <w:t>reason code;</w:t>
      </w:r>
    </w:p>
    <w:p>
      <w:pPr>
        <w:pStyle w:val="ListBullet"/>
      </w:pPr>
      <w:r>
        <w:t>JTI do token;</w:t>
      </w:r>
    </w:p>
    <w:p>
      <w:pPr>
        <w:pStyle w:val="ListBullet"/>
      </w:pPr>
      <w:r>
        <w:t>eventos mínimos de auditoria e billing.</w:t>
      </w:r>
    </w:p>
    <w:p>
      <w:r>
        <w:t>Não salvo:</w:t>
      </w:r>
    </w:p>
    <w:p>
      <w:pPr>
        <w:pStyle w:val="ListBullet"/>
      </w:pPr>
      <w:r>
        <w:t>data de nascimento;</w:t>
      </w:r>
    </w:p>
    <w:p>
      <w:pPr>
        <w:pStyle w:val="ListBullet"/>
      </w:pPr>
      <w:r>
        <w:t>documento civil;</w:t>
      </w:r>
    </w:p>
    <w:p>
      <w:pPr>
        <w:pStyle w:val="ListBullet"/>
      </w:pPr>
      <w:r>
        <w:t>imagem de documento;</w:t>
      </w:r>
    </w:p>
    <w:p>
      <w:pPr>
        <w:pStyle w:val="ListBullet"/>
      </w:pPr>
      <w:r>
        <w:t>selfie;</w:t>
      </w:r>
    </w:p>
    <w:p>
      <w:pPr>
        <w:pStyle w:val="ListBullet"/>
      </w:pPr>
      <w:r>
        <w:t>nome completo;</w:t>
      </w:r>
    </w:p>
    <w:p>
      <w:pPr>
        <w:pStyle w:val="ListBullet"/>
      </w:pPr>
      <w:r>
        <w:t>CPF/RG/passaporte;</w:t>
      </w:r>
    </w:p>
    <w:p>
      <w:pPr>
        <w:pStyle w:val="ListBullet"/>
      </w:pPr>
      <w:r>
        <w:t>idade exata.</w:t>
      </w:r>
    </w:p>
    <w:p>
      <w:pPr>
        <w:pStyle w:val="Heading1"/>
      </w:pPr>
      <w:r>
        <w:t>11. Token AgeKey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04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token é uma resposta temporária e assinada. Ele contém a política satisfeita, método, nível de garantia, decisão e expiração. Ele não contém identidade civil.</w:t>
      </w:r>
    </w:p>
    <w:p>
      <w:pPr>
        <w:pStyle w:val="Heading1"/>
      </w:pPr>
      <w:r>
        <w:t>12. Validação pelo cliente</w:t>
      </w:r>
    </w:p>
    <w:p>
      <w:r>
        <w:t>O cliente pode validar:</w:t>
      </w:r>
    </w:p>
    <w:p>
      <w:pPr>
        <w:pStyle w:val="ListNumber"/>
      </w:pPr>
      <w:r>
        <w:t>online, chamando o endpoint de token verify;</w:t>
      </w:r>
    </w:p>
    <w:p>
      <w:pPr>
        <w:pStyle w:val="ListNumber"/>
      </w:pPr>
      <w:r>
        <w:t>offline, usando JWKS público.</w:t>
      </w:r>
    </w:p>
    <w:p>
      <w:r>
        <w:t>Para ambientes regulados, validação online é preferível porque permite checar revogação.</w:t>
      </w:r>
    </w:p>
    <w:p>
      <w:pPr>
        <w:pStyle w:val="Heading1"/>
      </w:pPr>
      <w:r>
        <w:t>13. Segurança mínima</w:t>
      </w:r>
    </w:p>
    <w:p>
      <w:pPr>
        <w:pStyle w:val="ListBullet"/>
      </w:pPr>
      <w:r>
        <w:t>API key por application.</w:t>
      </w:r>
    </w:p>
    <w:p>
      <w:pPr>
        <w:pStyle w:val="ListBullet"/>
      </w:pPr>
      <w:r>
        <w:t>Rate limit.</w:t>
      </w:r>
    </w:p>
    <w:p>
      <w:pPr>
        <w:pStyle w:val="ListBullet"/>
      </w:pPr>
      <w:r>
        <w:t>Nonce de uso único.</w:t>
      </w:r>
    </w:p>
    <w:p>
      <w:pPr>
        <w:pStyle w:val="ListBullet"/>
      </w:pPr>
      <w:r>
        <w:t>Token com expiração.</w:t>
      </w:r>
    </w:p>
    <w:p>
      <w:pPr>
        <w:pStyle w:val="ListBullet"/>
      </w:pPr>
      <w:r>
        <w:t>JWKS público.</w:t>
      </w:r>
    </w:p>
    <w:p>
      <w:pPr>
        <w:pStyle w:val="ListBullet"/>
      </w:pPr>
      <w:r>
        <w:t>RLS no banco.</w:t>
      </w:r>
    </w:p>
    <w:p>
      <w:pPr>
        <w:pStyle w:val="ListBullet"/>
      </w:pPr>
      <w:r>
        <w:t>service_role somente server-side.</w:t>
      </w:r>
    </w:p>
    <w:p>
      <w:pPr>
        <w:pStyle w:val="ListBullet"/>
      </w:pPr>
      <w:r>
        <w:t>Storage não público para artefatos.</w:t>
      </w:r>
    </w:p>
    <w:p>
      <w:pPr>
        <w:pStyle w:val="ListBullet"/>
      </w:pPr>
      <w:r>
        <w:t>Logs sem PII.</w:t>
      </w:r>
    </w:p>
    <w:p>
      <w:pPr>
        <w:pStyle w:val="Heading1"/>
      </w:pPr>
      <w:r>
        <w:t>14. Fluxo de webhook</w:t>
      </w:r>
    </w:p>
    <w:p>
      <w:pPr>
        <w:pStyle w:val="Heading1"/>
      </w:pPr>
      <w:r>
        <w:t>15. Deploy</w:t>
      </w:r>
    </w:p>
    <w:p>
      <w:r>
        <w:t>A arquitetura alvo usa:</w:t>
      </w:r>
    </w:p>
    <w:p>
      <w:pPr>
        <w:pStyle w:val="ListBullet"/>
      </w:pPr>
      <w:r>
        <w:t>GitHub para versionamento;</w:t>
      </w:r>
    </w:p>
    <w:p>
      <w:pPr>
        <w:pStyle w:val="ListBullet"/>
      </w:pPr>
      <w:r>
        <w:t>Supabase para banco, Auth, Storage e Edge Functions;</w:t>
      </w:r>
    </w:p>
    <w:p>
      <w:pPr>
        <w:pStyle w:val="ListBullet"/>
      </w:pPr>
      <w:r>
        <w:t>Vercel para painel, site, docs e fluxos web;</w:t>
      </w:r>
    </w:p>
    <w:p>
      <w:pPr>
        <w:pStyle w:val="ListBullet"/>
      </w:pPr>
      <w:r>
        <w:t>domínio `agekey.com.br`.</w:t>
      </w:r>
    </w:p>
    <w:p>
      <w:r>
        <w:t>Subdomínios recomendados:</w:t>
      </w:r>
    </w:p>
    <w:p>
      <w:pPr>
        <w:ind w:left="283"/>
      </w:pPr>
      <w:r>
        <w:rPr>
          <w:rFonts w:ascii="Courier New" w:hAnsi="Courier New"/>
          <w:sz w:val="17"/>
        </w:rPr>
        <w:t>agekey.com.br</w:t>
        <w:br/>
        <w:t>app.agekey.com.br</w:t>
        <w:br/>
        <w:t>api.agekey.com.br</w:t>
        <w:br/>
        <w:t>verify.agekey.com.br</w:t>
        <w:br/>
        <w:t>docs.agekey.com.br</w:t>
        <w:br/>
        <w:t>status.agekey.com.br</w:t>
        <w:br/>
        <w:t>staging.agekey.com.br</w:t>
      </w:r>
    </w:p>
    <w:p>
      <w:pPr>
        <w:pStyle w:val="Heading1"/>
      </w:pPr>
      <w:r>
        <w:t>16. Manual de uso para cliente integrador</w:t>
      </w:r>
    </w:p>
    <w:p>
      <w:pPr>
        <w:pStyle w:val="Heading2"/>
      </w:pPr>
      <w:r>
        <w:t>Passo 1 - Criar application</w:t>
      </w:r>
    </w:p>
    <w:p>
      <w:r>
        <w:t>No painel AgeKey, o tenant cria uma application e recebe API key.</w:t>
      </w:r>
    </w:p>
    <w:p>
      <w:pPr>
        <w:pStyle w:val="Heading2"/>
      </w:pPr>
      <w:r>
        <w:t>Passo 2 - Criar policy</w:t>
      </w:r>
    </w:p>
    <w:p>
      <w:r>
        <w:t>Exemplo: `br-18-plus`, threshold 18, assurance `substantial`.</w:t>
      </w:r>
    </w:p>
    <w:p>
      <w:pPr>
        <w:pStyle w:val="Heading2"/>
      </w:pPr>
      <w:r>
        <w:t>Passo 3 - Instalar SDK ou chamar API</w:t>
      </w:r>
    </w:p>
    <w:p>
      <w:r>
        <w:t>Web:</w:t>
      </w:r>
    </w:p>
    <w:p>
      <w:pPr>
        <w:ind w:left="283"/>
      </w:pPr>
      <w:r>
        <w:rPr>
          <w:rFonts w:ascii="Courier New" w:hAnsi="Courier New"/>
          <w:sz w:val="17"/>
        </w:rPr>
        <w:t>const session = await agekey.createSession({</w:t>
        <w:br/>
        <w:t xml:space="preserve">  policy_slug: "br-18-plus",</w:t>
        <w:br/>
        <w:t xml:space="preserve">  client_capabilities: { platform: "web" }</w:t>
        <w:br/>
        <w:t>});</w:t>
      </w:r>
    </w:p>
    <w:p>
      <w:pPr>
        <w:pStyle w:val="Heading2"/>
      </w:pPr>
      <w:r>
        <w:t>Passo 4 - Completar verificação</w:t>
      </w:r>
    </w:p>
    <w:p>
      <w:r>
        <w:t>O usuário passa pelo fluxo e o sistema recebe decisão e token.</w:t>
      </w:r>
    </w:p>
    <w:p>
      <w:pPr>
        <w:pStyle w:val="Heading2"/>
      </w:pPr>
      <w:r>
        <w:t>Passo 5 - Validar token</w:t>
      </w:r>
    </w:p>
    <w:p>
      <w:r>
        <w:t>Server-side:</w:t>
      </w:r>
    </w:p>
    <w:p>
      <w:pPr>
        <w:ind w:left="283"/>
      </w:pPr>
      <w:r>
        <w:rPr>
          <w:rFonts w:ascii="Courier New" w:hAnsi="Courier New"/>
          <w:sz w:val="17"/>
        </w:rPr>
        <w:t>const result = await agekey.verifyToken(token);</w:t>
        <w:br/>
        <w:t>if (result.valid &amp;&amp; result.claims.agekey.decision === "approved") {</w:t>
        <w:br/>
        <w:t xml:space="preserve">  allowAccess();</w:t>
        <w:br/>
        <w:t>}</w:t>
      </w:r>
    </w:p>
    <w:p>
      <w:pPr>
        <w:pStyle w:val="Heading1"/>
      </w:pPr>
      <w:r>
        <w:t>17. Checklist operacional</w:t>
      </w:r>
    </w:p>
    <w:p>
      <w:r>
        <w:t>Antes de produção:</w:t>
      </w:r>
    </w:p>
    <w:p>
      <w:pPr>
        <w:pStyle w:val="ListBullet"/>
      </w:pPr>
      <w:r>
        <w:t>DNS configurado.</w:t>
      </w:r>
    </w:p>
    <w:p>
      <w:pPr>
        <w:pStyle w:val="ListBullet"/>
      </w:pPr>
      <w:r>
        <w:t>Supabase staging e production separados.</w:t>
      </w:r>
    </w:p>
    <w:p>
      <w:pPr>
        <w:pStyle w:val="ListBullet"/>
      </w:pPr>
      <w:r>
        <w:t>Vercel env vars revisadas.</w:t>
      </w:r>
    </w:p>
    <w:p>
      <w:pPr>
        <w:pStyle w:val="ListBullet"/>
      </w:pPr>
      <w:r>
        <w:t>service role ausente do frontend.</w:t>
      </w:r>
    </w:p>
    <w:p>
      <w:pPr>
        <w:pStyle w:val="ListBullet"/>
      </w:pPr>
      <w:r>
        <w:t>key rotation validada.</w:t>
      </w:r>
    </w:p>
    <w:p>
      <w:pPr>
        <w:pStyle w:val="ListBullet"/>
      </w:pPr>
      <w:r>
        <w:t>RLS testado.</w:t>
      </w:r>
    </w:p>
    <w:p>
      <w:pPr>
        <w:pStyle w:val="ListBullet"/>
      </w:pPr>
      <w:r>
        <w:t>token verify testado.</w:t>
      </w:r>
    </w:p>
    <w:p>
      <w:pPr>
        <w:pStyle w:val="ListBullet"/>
      </w:pPr>
      <w:r>
        <w:t>webhook signature testado.</w:t>
      </w:r>
    </w:p>
    <w:p>
      <w:pPr>
        <w:pStyle w:val="ListBullet"/>
      </w:pPr>
      <w:r>
        <w:t>pentest executado.</w:t>
      </w:r>
    </w:p>
    <w:p>
      <w:pPr>
        <w:pStyle w:val="ListBullet"/>
      </w:pPr>
      <w:r>
        <w:t>RIPD/DPIA aprovado.</w:t>
      </w:r>
    </w:p>
    <w:p>
      <w:pPr>
        <w:pStyle w:val="ListBullet"/>
      </w:pPr>
      <w:r>
        <w:t>logs revisados para PII.</w:t>
      </w:r>
    </w:p>
    <w:p>
      <w:r>
        <w:br w:type="page"/>
      </w:r>
    </w:p>
    <w:p>
      <w:pPr>
        <w:pStyle w:val="Heading1"/>
      </w:pPr>
      <w:r>
        <w:t>Apêndice - Critério de aceite antes de produção</w:t>
      </w:r>
    </w:p>
    <w:p>
      <w:pPr>
        <w:pStyle w:val="ListBullet"/>
      </w:pPr>
      <w:r>
        <w:t>DNS agekey.com.br configurado.</w:t>
      </w:r>
    </w:p>
    <w:p>
      <w:pPr>
        <w:pStyle w:val="ListBullet"/>
      </w:pPr>
      <w:r>
        <w:t>Supabase staging e production separados.</w:t>
      </w:r>
    </w:p>
    <w:p>
      <w:pPr>
        <w:pStyle w:val="ListBullet"/>
      </w:pPr>
      <w:r>
        <w:t>RLS testado contra tenant breakout.</w:t>
      </w:r>
    </w:p>
    <w:p>
      <w:pPr>
        <w:pStyle w:val="ListBullet"/>
      </w:pPr>
      <w:r>
        <w:t>JWKS e key rotation validados.</w:t>
      </w:r>
    </w:p>
    <w:p>
      <w:pPr>
        <w:pStyle w:val="ListBullet"/>
      </w:pPr>
      <w:r>
        <w:t>Pentest executado.</w:t>
      </w:r>
    </w:p>
    <w:p>
      <w:pPr>
        <w:pStyle w:val="ListBullet"/>
      </w:pPr>
      <w:r>
        <w:t>RIPD/DPIA aprovado.</w:t>
      </w:r>
    </w:p>
    <w:p>
      <w:pPr>
        <w:pStyle w:val="ListBullet"/>
      </w:pPr>
      <w:r>
        <w:t>Nenhum log ou token contém PII.</w:t>
      </w:r>
    </w:p>
    <w:p>
      <w:pPr>
        <w:pStyle w:val="ListBullet"/>
      </w:pPr>
      <w:r>
        <w:t>Gateway providers revisados contratualmente.</w:t>
      </w:r>
    </w:p>
    <w:p>
      <w:pPr>
        <w:pStyle w:val="ListBullet"/>
      </w:pPr>
      <w:r>
        <w:t>SDKs mobile compilados em ambiente nativo antes de release.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D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2D4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2D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