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B8860B"/>
          <w:sz w:val="56"/>
          <w:szCs w:val="56"/>
        </w:rPr>
        <w:t xml:space="preserve">Bayazet Hall</w:t>
      </w:r>
    </w:p>
    <w:p>
      <w:pPr>
        <w:spacing w:after="400"/>
        <w:jc w:val="center"/>
      </w:pPr>
      <w:r>
        <w:rPr>
          <w:sz w:val="32"/>
          <w:szCs w:val="32"/>
        </w:rPr>
        <w:t xml:space="preserve">Headless WordPress + WPGraphQL — Backend Data Requirements</w:t>
      </w:r>
    </w:p>
    <w:p>
      <w:pPr>
        <w:spacing w:after="150"/>
      </w:pPr>
      <w:r>
        <w:t xml:space="preserve">This document inventories every piece of content on the current Next.js frontend that should become editable through a headless WordPress backend, exposed via WPGraphQL. For each section it lists the fields needed, a suggested WordPress/ACF field type, and how it should be modeled (Options Page, Custom Post Type, Repeater, Flexible Content). A dedicated section covers the Packages data model in depth, since it is the most structurally complex part of the site.</w:t>
      </w:r>
    </w:p>
    <w:p>
      <w:pPr>
        <w:spacing w:after="150"/>
      </w:pPr>
      <w:r>
        <w:rPr>
          <w:i/>
          <w:iCs/>
        </w:rPr>
        <w:t xml:space="preserve">Scope: this document covers CONTENT only — headings, paragraphs, images, structured repeatable data (packages, services, gallery), contact/venue info, social links, and SEO metadata. UI microcopy (button labels, navigation labels, form field labels, ARIA text, validation messages) and the contact form's submission handling are explicitly out of scope — see the “Out of scope” section at the end for the full boundary and rationale.</w:t>
      </w:r>
    </w:p>
    <w:p>
      <w:pPr>
        <w:spacing w:after="200"/>
      </w:pPr>
    </w:p>
    <w:p>
      <w:pPr>
        <w:pStyle w:val="Heading1"/>
        <w:spacing w:after="200" w:before="400"/>
      </w:pPr>
      <w:r>
        <w:t xml:space="preserve">1. Site-wide settings</w:t>
      </w:r>
    </w:p>
    <w:p>
      <w:pPr>
        <w:spacing w:after="150"/>
      </w:pPr>
      <w:r>
        <w:t xml:space="preserve">Global values used across every page. Recommended modeling: a single ACF Options Page, exposed as one custom root field in the GraphQL schema (e.g. siteSettings).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4%"/>
            <w:shd w:color="B8860B" w:val="solid"/>
          </w:tcPr>
          <w:p>
            <w:r>
              <w:rPr>
                <w:b/>
                <w:bCs/>
                <w:color w:val="FFFFFF"/>
              </w:rPr>
              <w:t xml:space="preserve">Field name</w:t>
            </w:r>
          </w:p>
        </w:tc>
        <w:tc>
          <w:tcPr>
            <w:tcW w:type="pct" w:w="14%"/>
            <w:shd w:color="B8860B" w:val="solid"/>
          </w:tcPr>
          <w:p>
            <w:r>
              <w:rPr>
                <w:b/>
                <w:bCs/>
                <w:color w:val="FFFFFF"/>
              </w:rPr>
              <w:t xml:space="preserve">Type</w:t>
            </w:r>
          </w:p>
        </w:tc>
        <w:tc>
          <w:tcPr>
            <w:tcW w:type="pct" w:w="30%"/>
            <w:shd w:color="B8860B" w:val="solid"/>
          </w:tcPr>
          <w:p>
            <w:r>
              <w:rPr>
                <w:b/>
                <w:bCs/>
                <w:color w:val="FFFFFF"/>
              </w:rPr>
              <w:t xml:space="preserve">WordPress modeling</w:t>
            </w:r>
          </w:p>
        </w:tc>
        <w:tc>
          <w:tcPr>
            <w:tcW w:type="pct" w:w="32%"/>
            <w:shd w:color="B8860B" w:val="solid"/>
          </w:tcPr>
          <w:p>
            <w:r>
              <w:rPr>
                <w:b/>
                <w:bCs/>
                <w:color w:val="FFFFFF"/>
              </w:rPr>
              <w:t xml:space="preserve">Notes / current source</w:t>
            </w:r>
          </w:p>
        </w:tc>
      </w:tr>
      <w:tr>
        <w:tc>
          <w:p>
            <w:r>
              <w:rPr>
                <w:rFonts w:ascii="Consolas" w:cs="Consolas" w:eastAsia="Consolas" w:hAnsi="Consolas"/>
                <w:sz w:val="18"/>
                <w:szCs w:val="18"/>
              </w:rPr>
              <w:t xml:space="preserve">site_logo</w:t>
            </w:r>
          </w:p>
        </w:tc>
        <w:tc>
          <w:p>
            <w:r>
              <w:t xml:space="preserve">Image</w:t>
            </w:r>
          </w:p>
        </w:tc>
        <w:tc>
          <w:p>
            <w:r>
              <w:t xml:space="preserve">ACF Image field (Options Page)</w:t>
            </w:r>
          </w:p>
        </w:tc>
        <w:tc>
          <w:p>
            <w:r>
              <w:t xml:space="preserve">public/images/Logo.png — displayed as a circular badge in the navbar, ~40px on-screen, source is 1254×1254px</w:t>
            </w:r>
          </w:p>
        </w:tc>
      </w:tr>
      <w:tr>
        <w:tc>
          <w:tcPr>
            <w:shd w:color="F5E6C8" w:val="solid"/>
          </w:tcPr>
          <w:p>
            <w:r>
              <w:rPr>
                <w:rFonts w:ascii="Consolas" w:cs="Consolas" w:eastAsia="Consolas" w:hAnsi="Consolas"/>
                <w:sz w:val="18"/>
                <w:szCs w:val="18"/>
              </w:rPr>
              <w:t xml:space="preserve">site_title</w:t>
            </w:r>
          </w:p>
        </w:tc>
        <w:tc>
          <w:tcPr>
            <w:shd w:color="F5E6C8" w:val="solid"/>
          </w:tcPr>
          <w:p>
            <w:r>
              <w:t xml:space="preserve">Text</w:t>
            </w:r>
          </w:p>
        </w:tc>
        <w:tc>
          <w:tcPr>
            <w:shd w:color="F5E6C8" w:val="solid"/>
          </w:tcPr>
          <w:p>
            <w:r>
              <w:t xml:space="preserve">ACF Text (Options Page)</w:t>
            </w:r>
          </w:p>
        </w:tc>
        <w:tc>
          <w:tcPr>
            <w:shd w:color="F5E6C8" w:val="solid"/>
          </w:tcPr>
          <w:p>
            <w:r>
              <w:t xml:space="preserve">“Bayazet Hall” — used in the navbar wordmark</w:t>
            </w:r>
          </w:p>
        </w:tc>
      </w:tr>
      <w:tr>
        <w:tc>
          <w:p>
            <w:r>
              <w:rPr>
                <w:rFonts w:ascii="Consolas" w:cs="Consolas" w:eastAsia="Consolas" w:hAnsi="Consolas"/>
                <w:sz w:val="18"/>
                <w:szCs w:val="18"/>
              </w:rPr>
              <w:t xml:space="preserve">seo_meta_title</w:t>
            </w:r>
          </w:p>
        </w:tc>
        <w:tc>
          <w:p>
            <w:r>
              <w:t xml:space="preserve">Text</w:t>
            </w:r>
          </w:p>
        </w:tc>
        <w:tc>
          <w:p>
            <w:r>
              <w:t xml:space="preserve">ACF Text or SEO plugin (Yoast/RankMath)</w:t>
            </w:r>
          </w:p>
        </w:tc>
        <w:tc>
          <w:p>
            <w:r>
              <w:t xml:space="preserve">Currently: “Bayazet Hall — Հարսանիքների և միջոցառումների սրահ”</w:t>
            </w:r>
          </w:p>
        </w:tc>
      </w:tr>
      <w:tr>
        <w:tc>
          <w:tcPr>
            <w:shd w:color="F5E6C8" w:val="solid"/>
          </w:tcPr>
          <w:p>
            <w:r>
              <w:rPr>
                <w:rFonts w:ascii="Consolas" w:cs="Consolas" w:eastAsia="Consolas" w:hAnsi="Consolas"/>
                <w:sz w:val="18"/>
                <w:szCs w:val="18"/>
              </w:rPr>
              <w:t xml:space="preserve">seo_meta_description</w:t>
            </w:r>
          </w:p>
        </w:tc>
        <w:tc>
          <w:tcPr>
            <w:shd w:color="F5E6C8" w:val="solid"/>
          </w:tcPr>
          <w:p>
            <w:r>
              <w:t xml:space="preserve">Textarea</w:t>
            </w:r>
          </w:p>
        </w:tc>
        <w:tc>
          <w:tcPr>
            <w:shd w:color="F5E6C8" w:val="solid"/>
          </w:tcPr>
          <w:p>
            <w:r>
              <w:t xml:space="preserve">ACF Textarea or SEO plugin</w:t>
            </w:r>
          </w:p>
        </w:tc>
        <w:tc>
          <w:tcPr>
            <w:shd w:color="F5E6C8" w:val="solid"/>
          </w:tcPr>
          <w:p>
            <w:r>
              <w:t xml:space="preserve">Used in the page &lt;meta name="description"&gt;</w:t>
            </w:r>
          </w:p>
        </w:tc>
      </w:tr>
      <w:tr>
        <w:tc>
          <w:p>
            <w:r>
              <w:rPr>
                <w:rFonts w:ascii="Consolas" w:cs="Consolas" w:eastAsia="Consolas" w:hAnsi="Consolas"/>
                <w:sz w:val="18"/>
                <w:szCs w:val="18"/>
              </w:rPr>
              <w:t xml:space="preserve">footer_copyright_text</w:t>
            </w:r>
          </w:p>
        </w:tc>
        <w:tc>
          <w:p>
            <w:r>
              <w:t xml:space="preserve">Text</w:t>
            </w:r>
          </w:p>
        </w:tc>
        <w:tc>
          <w:p>
            <w:r>
              <w:t xml:space="preserve">ACF Text (Options Page)</w:t>
            </w:r>
          </w:p>
        </w:tc>
        <w:tc>
          <w:p>
            <w:r>
              <w:t xml:space="preserve">e.g. “Բոլոր իրավունքները պաշտպանված են” — the year itself stays computed client-side, not stored</w:t>
            </w:r>
          </w:p>
        </w:tc>
      </w:tr>
      <w:tr>
        <w:tc>
          <w:tcPr>
            <w:shd w:color="F5E6C8" w:val="solid"/>
          </w:tcPr>
          <w:p>
            <w:r>
              <w:rPr>
                <w:rFonts w:ascii="Consolas" w:cs="Consolas" w:eastAsia="Consolas" w:hAnsi="Consolas"/>
                <w:sz w:val="18"/>
                <w:szCs w:val="18"/>
              </w:rPr>
              <w:t xml:space="preserve">contact_address</w:t>
            </w:r>
          </w:p>
        </w:tc>
        <w:tc>
          <w:tcPr>
            <w:shd w:color="F5E6C8" w:val="solid"/>
          </w:tcPr>
          <w:p>
            <w:r>
              <w:t xml:space="preserve">Text</w:t>
            </w:r>
          </w:p>
        </w:tc>
        <w:tc>
          <w:tcPr>
            <w:shd w:color="F5E6C8" w:val="solid"/>
          </w:tcPr>
          <w:p>
            <w:r>
              <w:t xml:space="preserve">ACF Text (Options Page)</w:t>
            </w:r>
          </w:p>
        </w:tc>
        <w:tc>
          <w:tcPr>
            <w:shd w:color="F5E6C8" w:val="solid"/>
          </w:tcPr>
          <w:p>
            <w:r>
              <w:t xml:space="preserve">“Գավառ, Սայադյան 112/2” — shown in the Contact section info panel</w:t>
            </w:r>
          </w:p>
        </w:tc>
      </w:tr>
      <w:tr>
        <w:tc>
          <w:p>
            <w:r>
              <w:rPr>
                <w:rFonts w:ascii="Consolas" w:cs="Consolas" w:eastAsia="Consolas" w:hAnsi="Consolas"/>
                <w:sz w:val="18"/>
                <w:szCs w:val="18"/>
              </w:rPr>
              <w:t xml:space="preserve">contact_phone</w:t>
            </w:r>
          </w:p>
        </w:tc>
        <w:tc>
          <w:p>
            <w:r>
              <w:t xml:space="preserve">Text</w:t>
            </w:r>
          </w:p>
        </w:tc>
        <w:tc>
          <w:p>
            <w:r>
              <w:t xml:space="preserve">ACF Text (Options Page)</w:t>
            </w:r>
          </w:p>
        </w:tc>
        <w:tc>
          <w:p>
            <w:r>
              <w:t xml:space="preserve">“+374 91 774 774” — rendered as a tel: link on the frontend</w:t>
            </w:r>
          </w:p>
        </w:tc>
      </w:tr>
      <w:tr>
        <w:tc>
          <w:tcPr>
            <w:shd w:color="F5E6C8" w:val="solid"/>
          </w:tcPr>
          <w:p>
            <w:r>
              <w:rPr>
                <w:rFonts w:ascii="Consolas" w:cs="Consolas" w:eastAsia="Consolas" w:hAnsi="Consolas"/>
                <w:sz w:val="18"/>
                <w:szCs w:val="18"/>
              </w:rPr>
              <w:t xml:space="preserve">contact_capacity_note</w:t>
            </w:r>
          </w:p>
        </w:tc>
        <w:tc>
          <w:tcPr>
            <w:shd w:color="F5E6C8" w:val="solid"/>
          </w:tcPr>
          <w:p>
            <w:r>
              <w:t xml:space="preserve">Text</w:t>
            </w:r>
          </w:p>
        </w:tc>
        <w:tc>
          <w:tcPr>
            <w:shd w:color="F5E6C8" w:val="solid"/>
          </w:tcPr>
          <w:p>
            <w:r>
              <w:t xml:space="preserve">ACF Text (Options Page)</w:t>
            </w:r>
          </w:p>
        </w:tc>
        <w:tc>
          <w:tcPr>
            <w:shd w:color="F5E6C8" w:val="solid"/>
          </w:tcPr>
          <w:p>
            <w:r>
              <w:t xml:space="preserve">“Նախատեսված է մինչև 600 անձի համար”</w:t>
            </w:r>
          </w:p>
        </w:tc>
      </w:tr>
      <w:tr>
        <w:tc>
          <w:p>
            <w:r>
              <w:rPr>
                <w:rFonts w:ascii="Consolas" w:cs="Consolas" w:eastAsia="Consolas" w:hAnsi="Consolas"/>
                <w:sz w:val="18"/>
                <w:szCs w:val="18"/>
              </w:rPr>
              <w:t xml:space="preserve">social_instagram_url</w:t>
            </w:r>
          </w:p>
        </w:tc>
        <w:tc>
          <w:p>
            <w:r>
              <w:t xml:space="preserve">URL</w:t>
            </w:r>
          </w:p>
        </w:tc>
        <w:tc>
          <w:p>
            <w:r>
              <w:t xml:space="preserve">ACF URL (Options Page)</w:t>
            </w:r>
          </w:p>
        </w:tc>
        <w:tc>
          <w:p>
            <w:r>
              <w:t xml:space="preserve">Currently a placeholder (instagram.com/)</w:t>
            </w:r>
          </w:p>
        </w:tc>
      </w:tr>
      <w:tr>
        <w:tc>
          <w:tcPr>
            <w:shd w:color="F5E6C8" w:val="solid"/>
          </w:tcPr>
          <w:p>
            <w:r>
              <w:rPr>
                <w:rFonts w:ascii="Consolas" w:cs="Consolas" w:eastAsia="Consolas" w:hAnsi="Consolas"/>
                <w:sz w:val="18"/>
                <w:szCs w:val="18"/>
              </w:rPr>
              <w:t xml:space="preserve">social_facebook_url</w:t>
            </w:r>
          </w:p>
        </w:tc>
        <w:tc>
          <w:tcPr>
            <w:shd w:color="F5E6C8" w:val="solid"/>
          </w:tcPr>
          <w:p>
            <w:r>
              <w:t xml:space="preserve">URL</w:t>
            </w:r>
          </w:p>
        </w:tc>
        <w:tc>
          <w:tcPr>
            <w:shd w:color="F5E6C8" w:val="solid"/>
          </w:tcPr>
          <w:p>
            <w:r>
              <w:t xml:space="preserve">ACF URL (Options Page)</w:t>
            </w:r>
          </w:p>
        </w:tc>
        <w:tc>
          <w:tcPr>
            <w:shd w:color="F5E6C8" w:val="solid"/>
          </w:tcPr>
          <w:p>
            <w:r>
              <w:t xml:space="preserve">Currently a placeholder (facebook.com/)</w:t>
            </w:r>
          </w:p>
        </w:tc>
      </w:tr>
      <w:tr>
        <w:tc>
          <w:p>
            <w:r>
              <w:rPr>
                <w:rFonts w:ascii="Consolas" w:cs="Consolas" w:eastAsia="Consolas" w:hAnsi="Consolas"/>
                <w:sz w:val="18"/>
                <w:szCs w:val="18"/>
              </w:rPr>
              <w:t xml:space="preserve">social_whatsapp_url</w:t>
            </w:r>
          </w:p>
        </w:tc>
        <w:tc>
          <w:p>
            <w:r>
              <w:t xml:space="preserve">URL</w:t>
            </w:r>
          </w:p>
        </w:tc>
        <w:tc>
          <w:p>
            <w:r>
              <w:t xml:space="preserve">ACF URL (Options Page)</w:t>
            </w:r>
          </w:p>
        </w:tc>
        <w:tc>
          <w:p>
            <w:r>
              <w:t xml:space="preserve">Currently a placeholder (wa.me/)</w:t>
            </w:r>
          </w:p>
        </w:tc>
      </w:tr>
    </w:tbl>
    <w:p>
      <w:pPr>
        <w:spacing w:after="200"/>
      </w:pPr>
    </w:p>
    <w:p>
      <w:pPr>
        <w:pStyle w:val="Heading1"/>
        <w:spacing w:after="200" w:before="400"/>
      </w:pPr>
      <w:r>
        <w:t xml:space="preserve">2. Hero section</w:t>
      </w:r>
    </w:p>
    <w:p>
      <w:pPr>
        <w:spacing w:after="150"/>
      </w:pPr>
      <w:r>
        <w:t xml:space="preserve">A full-bleed autoplaying image slider at the top of the homepage. Recommended modeling: a small ACF field group (either on the Options Page, or a dedicated “Home Page” options group) containing the title/subtitle plus a Repeater for the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4%"/>
            <w:shd w:color="B8860B" w:val="solid"/>
          </w:tcPr>
          <w:p>
            <w:r>
              <w:rPr>
                <w:b/>
                <w:bCs/>
                <w:color w:val="FFFFFF"/>
              </w:rPr>
              <w:t xml:space="preserve">Field name</w:t>
            </w:r>
          </w:p>
        </w:tc>
        <w:tc>
          <w:tcPr>
            <w:tcW w:type="pct" w:w="14%"/>
            <w:shd w:color="B8860B" w:val="solid"/>
          </w:tcPr>
          <w:p>
            <w:r>
              <w:rPr>
                <w:b/>
                <w:bCs/>
                <w:color w:val="FFFFFF"/>
              </w:rPr>
              <w:t xml:space="preserve">Type</w:t>
            </w:r>
          </w:p>
        </w:tc>
        <w:tc>
          <w:tcPr>
            <w:tcW w:type="pct" w:w="30%"/>
            <w:shd w:color="B8860B" w:val="solid"/>
          </w:tcPr>
          <w:p>
            <w:r>
              <w:rPr>
                <w:b/>
                <w:bCs/>
                <w:color w:val="FFFFFF"/>
              </w:rPr>
              <w:t xml:space="preserve">WordPress modeling</w:t>
            </w:r>
          </w:p>
        </w:tc>
        <w:tc>
          <w:tcPr>
            <w:tcW w:type="pct" w:w="32%"/>
            <w:shd w:color="B8860B" w:val="solid"/>
          </w:tcPr>
          <w:p>
            <w:r>
              <w:rPr>
                <w:b/>
                <w:bCs/>
                <w:color w:val="FFFFFF"/>
              </w:rPr>
              <w:t xml:space="preserve">Notes / current source</w:t>
            </w:r>
          </w:p>
        </w:tc>
      </w:tr>
      <w:tr>
        <w:tc>
          <w:p>
            <w:r>
              <w:rPr>
                <w:rFonts w:ascii="Consolas" w:cs="Consolas" w:eastAsia="Consolas" w:hAnsi="Consolas"/>
                <w:sz w:val="18"/>
                <w:szCs w:val="18"/>
              </w:rPr>
              <w:t xml:space="preserve">hero_title</w:t>
            </w:r>
          </w:p>
        </w:tc>
        <w:tc>
          <w:p>
            <w:r>
              <w:t xml:space="preserve">Text</w:t>
            </w:r>
          </w:p>
        </w:tc>
        <w:tc>
          <w:p>
            <w:r>
              <w:t xml:space="preserve">ACF Text</w:t>
            </w:r>
          </w:p>
        </w:tc>
        <w:tc>
          <w:p>
            <w:r>
              <w:t xml:space="preserve">“Bayazet Hall”</w:t>
            </w:r>
          </w:p>
        </w:tc>
      </w:tr>
      <w:tr>
        <w:tc>
          <w:tcPr>
            <w:shd w:color="F5E6C8" w:val="solid"/>
          </w:tcPr>
          <w:p>
            <w:r>
              <w:rPr>
                <w:rFonts w:ascii="Consolas" w:cs="Consolas" w:eastAsia="Consolas" w:hAnsi="Consolas"/>
                <w:sz w:val="18"/>
                <w:szCs w:val="18"/>
              </w:rPr>
              <w:t xml:space="preserve">hero_subtitle</w:t>
            </w:r>
          </w:p>
        </w:tc>
        <w:tc>
          <w:tcPr>
            <w:shd w:color="F5E6C8" w:val="solid"/>
          </w:tcPr>
          <w:p>
            <w:r>
              <w:t xml:space="preserve">Text</w:t>
            </w:r>
          </w:p>
        </w:tc>
        <w:tc>
          <w:tcPr>
            <w:shd w:color="F5E6C8" w:val="solid"/>
          </w:tcPr>
          <w:p>
            <w:r>
              <w:t xml:space="preserve">ACF Text</w:t>
            </w:r>
          </w:p>
        </w:tc>
        <w:tc>
          <w:tcPr>
            <w:shd w:color="F5E6C8" w:val="solid"/>
          </w:tcPr>
          <w:p>
            <w:r>
              <w:t xml:space="preserve">“Հարսանիքների և միջոցառումների սրահ”</w:t>
            </w:r>
          </w:p>
        </w:tc>
      </w:tr>
      <w:tr>
        <w:tc>
          <w:p>
            <w:r>
              <w:rPr>
                <w:rFonts w:ascii="Consolas" w:cs="Consolas" w:eastAsia="Consolas" w:hAnsi="Consolas"/>
                <w:sz w:val="18"/>
                <w:szCs w:val="18"/>
              </w:rPr>
              <w:t xml:space="preserve">hero_slides</w:t>
            </w:r>
          </w:p>
        </w:tc>
        <w:tc>
          <w:p>
            <w:r>
              <w:t xml:space="preserve">Repeater</w:t>
            </w:r>
          </w:p>
        </w:tc>
        <w:tc>
          <w:p>
            <w:r>
              <w:t xml:space="preserve">ACF Repeater — sub-fields: image (Image), alt_text (Text)</w:t>
            </w:r>
          </w:p>
        </w:tc>
        <w:tc>
          <w:p>
            <w:r>
              <w:t xml:space="preserve">Currently 4 static slides (webp images with descriptive Armenian alt text); autoplay + manual prev/next stay a frontend concern</w:t>
            </w:r>
          </w:p>
        </w:tc>
      </w:tr>
    </w:tbl>
    <w:p>
      <w:pPr>
        <w:spacing w:after="200"/>
      </w:pPr>
    </w:p>
    <w:p>
      <w:pPr>
        <w:pStyle w:val="Heading1"/>
        <w:spacing w:after="200" w:before="400"/>
      </w:pPr>
      <w:r>
        <w:t xml:space="preserve">3. Services section</w:t>
      </w:r>
    </w:p>
    <w:p>
      <w:pPr>
        <w:spacing w:after="150"/>
      </w:pPr>
      <w:r>
        <w:t xml:space="preserve">A video-background section showcasing the hall's 7 core service offerings as circular badges.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4%"/>
            <w:shd w:color="B8860B" w:val="solid"/>
          </w:tcPr>
          <w:p>
            <w:r>
              <w:rPr>
                <w:b/>
                <w:bCs/>
                <w:color w:val="FFFFFF"/>
              </w:rPr>
              <w:t xml:space="preserve">Field name</w:t>
            </w:r>
          </w:p>
        </w:tc>
        <w:tc>
          <w:tcPr>
            <w:tcW w:type="pct" w:w="14%"/>
            <w:shd w:color="B8860B" w:val="solid"/>
          </w:tcPr>
          <w:p>
            <w:r>
              <w:rPr>
                <w:b/>
                <w:bCs/>
                <w:color w:val="FFFFFF"/>
              </w:rPr>
              <w:t xml:space="preserve">Type</w:t>
            </w:r>
          </w:p>
        </w:tc>
        <w:tc>
          <w:tcPr>
            <w:tcW w:type="pct" w:w="30%"/>
            <w:shd w:color="B8860B" w:val="solid"/>
          </w:tcPr>
          <w:p>
            <w:r>
              <w:rPr>
                <w:b/>
                <w:bCs/>
                <w:color w:val="FFFFFF"/>
              </w:rPr>
              <w:t xml:space="preserve">WordPress modeling</w:t>
            </w:r>
          </w:p>
        </w:tc>
        <w:tc>
          <w:tcPr>
            <w:tcW w:type="pct" w:w="32%"/>
            <w:shd w:color="B8860B" w:val="solid"/>
          </w:tcPr>
          <w:p>
            <w:r>
              <w:rPr>
                <w:b/>
                <w:bCs/>
                <w:color w:val="FFFFFF"/>
              </w:rPr>
              <w:t xml:space="preserve">Notes / current source</w:t>
            </w:r>
          </w:p>
        </w:tc>
      </w:tr>
      <w:tr>
        <w:tc>
          <w:p>
            <w:r>
              <w:rPr>
                <w:rFonts w:ascii="Consolas" w:cs="Consolas" w:eastAsia="Consolas" w:hAnsi="Consolas"/>
                <w:sz w:val="18"/>
                <w:szCs w:val="18"/>
              </w:rPr>
              <w:t xml:space="preserve">services_heading</w:t>
            </w:r>
          </w:p>
        </w:tc>
        <w:tc>
          <w:p>
            <w:r>
              <w:t xml:space="preserve">Text</w:t>
            </w:r>
          </w:p>
        </w:tc>
        <w:tc>
          <w:p>
            <w:r>
              <w:t xml:space="preserve">ACF Text</w:t>
            </w:r>
          </w:p>
        </w:tc>
        <w:tc>
          <w:p>
            <w:r>
              <w:t xml:space="preserve">“Ծառայություններ”</w:t>
            </w:r>
          </w:p>
        </w:tc>
      </w:tr>
      <w:tr>
        <w:tc>
          <w:tcPr>
            <w:shd w:color="F5E6C8" w:val="solid"/>
          </w:tcPr>
          <w:p>
            <w:r>
              <w:rPr>
                <w:rFonts w:ascii="Consolas" w:cs="Consolas" w:eastAsia="Consolas" w:hAnsi="Consolas"/>
                <w:sz w:val="18"/>
                <w:szCs w:val="18"/>
              </w:rPr>
              <w:t xml:space="preserve">services_subtitle</w:t>
            </w:r>
          </w:p>
        </w:tc>
        <w:tc>
          <w:tcPr>
            <w:shd w:color="F5E6C8" w:val="solid"/>
          </w:tcPr>
          <w:p>
            <w:r>
              <w:t xml:space="preserve">Text</w:t>
            </w:r>
          </w:p>
        </w:tc>
        <w:tc>
          <w:tcPr>
            <w:shd w:color="F5E6C8" w:val="solid"/>
          </w:tcPr>
          <w:p>
            <w:r>
              <w:t xml:space="preserve">ACF Text</w:t>
            </w:r>
          </w:p>
        </w:tc>
        <w:tc>
          <w:tcPr>
            <w:shd w:color="F5E6C8" w:val="solid"/>
          </w:tcPr>
          <w:p>
            <w:r>
              <w:t xml:space="preserve">Intro paragraph under the heading</w:t>
            </w:r>
          </w:p>
        </w:tc>
      </w:tr>
      <w:tr>
        <w:tc>
          <w:p>
            <w:r>
              <w:rPr>
                <w:rFonts w:ascii="Consolas" w:cs="Consolas" w:eastAsia="Consolas" w:hAnsi="Consolas"/>
                <w:sz w:val="18"/>
                <w:szCs w:val="18"/>
              </w:rPr>
              <w:t xml:space="preserve">services_background_videos</w:t>
            </w:r>
          </w:p>
        </w:tc>
        <w:tc>
          <w:p>
            <w:r>
              <w:t xml:space="preserve">3× Video/File fields (or a Repeater of one)</w:t>
            </w:r>
          </w:p>
        </w:tc>
        <w:tc>
          <w:p>
            <w:r>
              <w:t xml:space="preserve">ACF File/Video fields — treat as a site-level asset, not per-item content</w:t>
            </w:r>
          </w:p>
        </w:tc>
        <w:tc>
          <w:p>
            <w:r>
              <w:t xml:space="preserve">Muted, looped background videos with generated poster images; not tied to individual service items</w:t>
            </w:r>
          </w:p>
        </w:tc>
      </w:tr>
      <w:tr>
        <w:tc>
          <w:tcPr>
            <w:shd w:color="F5E6C8" w:val="solid"/>
          </w:tcPr>
          <w:p>
            <w:r>
              <w:rPr>
                <w:rFonts w:ascii="Consolas" w:cs="Consolas" w:eastAsia="Consolas" w:hAnsi="Consolas"/>
                <w:sz w:val="18"/>
                <w:szCs w:val="18"/>
              </w:rPr>
              <w:t xml:space="preserve">services_items</w:t>
            </w:r>
          </w:p>
        </w:tc>
        <w:tc>
          <w:tcPr>
            <w:shd w:color="F5E6C8" w:val="solid"/>
          </w:tcPr>
          <w:p>
            <w:r>
              <w:t xml:space="preserve">Repeater</w:t>
            </w:r>
          </w:p>
        </w:tc>
        <w:tc>
          <w:tcPr>
            <w:shd w:color="F5E6C8" w:val="solid"/>
          </w:tcPr>
          <w:p>
            <w:r>
              <w:t xml:space="preserve">ACF Repeater — sub-fields: label (Text), image (Image)</w:t>
            </w:r>
          </w:p>
        </w:tc>
        <w:tc>
          <w:tcPr>
            <w:shd w:color="F5E6C8" w:val="solid"/>
          </w:tcPr>
          <w:p>
            <w:r>
              <w:t xml:space="preserve">7 items today (Menu, Cakes, Designs, Weddings, Showmen, Feedback, Band). 5 of the 7 currently use a hardcoded icon instead of an uploaded image — recommend standardizing ALL 7 on the image sub-field for CMS editability (see note below)</w:t>
            </w:r>
          </w:p>
        </w:tc>
      </w:tr>
    </w:tbl>
    <w:p>
      <w:pPr>
        <w:spacing w:after="150"/>
      </w:pPr>
      <w:r>
        <w:rPr>
          <w:i/>
          <w:iCs/>
        </w:rPr>
        <w:t xml:space="preserve">Migration note: “Designs” and “Weddings” already use real uploaded artwork; “Menu”, “Cakes”, “Showmen”, “Feedback”, and “Band” currently render a generic icon in code because no matching artwork existed yet. For a CMS-editable model, every item should have a real image field (a non-technical editor cannot practically pick an “icon name”) — plan to supply artwork for the remaining 5 when populating WordPress.</w:t>
      </w:r>
    </w:p>
    <w:p>
      <w:pPr>
        <w:spacing w:after="200"/>
      </w:pPr>
    </w:p>
    <w:p>
      <w:pPr>
        <w:pStyle w:val="Heading1"/>
        <w:spacing w:after="200" w:before="400"/>
      </w:pPr>
      <w:r>
        <w:t xml:space="preserve">4. Packages — data model deep dive</w:t>
      </w:r>
    </w:p>
    <w:p>
      <w:pPr>
        <w:spacing w:after="150"/>
      </w:pPr>
      <w:r>
        <w:t xml:space="preserve">The most structurally complex content on the site. Each package (Standard / Premium / Royal today) has a name, price, description, a single “most popular” flag, and a list of menu items — where each item is either a single fixed dish, or a choice group the guest picks one option from (e.g. “Choose your salad”).</w:t>
      </w:r>
    </w:p>
    <w:p>
      <w:pPr>
        <w:pStyle w:val="Heading2"/>
        <w:spacing w:after="150" w:before="300"/>
      </w:pPr>
      <w:r>
        <w:t xml:space="preserve">4.1 Recommended WordPress modeling</w:t>
      </w:r>
    </w:p>
    <w:p>
      <w:pPr>
        <w:spacing w:after="150"/>
      </w:pPr>
      <w:r>
        <w:t xml:space="preserve">Model “Package” as its own Custom Post Type (post_type = package), so each package is independently editable and orderable in wp-admin, with an ACF field group attached: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4%"/>
            <w:shd w:color="B8860B" w:val="solid"/>
          </w:tcPr>
          <w:p>
            <w:r>
              <w:rPr>
                <w:b/>
                <w:bCs/>
                <w:color w:val="FFFFFF"/>
              </w:rPr>
              <w:t xml:space="preserve">Field name</w:t>
            </w:r>
          </w:p>
        </w:tc>
        <w:tc>
          <w:tcPr>
            <w:tcW w:type="pct" w:w="14%"/>
            <w:shd w:color="B8860B" w:val="solid"/>
          </w:tcPr>
          <w:p>
            <w:r>
              <w:rPr>
                <w:b/>
                <w:bCs/>
                <w:color w:val="FFFFFF"/>
              </w:rPr>
              <w:t xml:space="preserve">Type</w:t>
            </w:r>
          </w:p>
        </w:tc>
        <w:tc>
          <w:tcPr>
            <w:tcW w:type="pct" w:w="30%"/>
            <w:shd w:color="B8860B" w:val="solid"/>
          </w:tcPr>
          <w:p>
            <w:r>
              <w:rPr>
                <w:b/>
                <w:bCs/>
                <w:color w:val="FFFFFF"/>
              </w:rPr>
              <w:t xml:space="preserve">WordPress modeling</w:t>
            </w:r>
          </w:p>
        </w:tc>
        <w:tc>
          <w:tcPr>
            <w:tcW w:type="pct" w:w="32%"/>
            <w:shd w:color="B8860B" w:val="solid"/>
          </w:tcPr>
          <w:p>
            <w:r>
              <w:rPr>
                <w:b/>
                <w:bCs/>
                <w:color w:val="FFFFFF"/>
              </w:rPr>
              <w:t xml:space="preserve">Notes / current source</w:t>
            </w:r>
          </w:p>
        </w:tc>
      </w:tr>
      <w:tr>
        <w:tc>
          <w:p>
            <w:r>
              <w:rPr>
                <w:rFonts w:ascii="Consolas" w:cs="Consolas" w:eastAsia="Consolas" w:hAnsi="Consolas"/>
                <w:sz w:val="18"/>
                <w:szCs w:val="18"/>
              </w:rPr>
              <w:t xml:space="preserve">package_name</w:t>
            </w:r>
          </w:p>
        </w:tc>
        <w:tc>
          <w:p>
            <w:r>
              <w:t xml:space="preserve">Text (or use the Post Title)</w:t>
            </w:r>
          </w:p>
        </w:tc>
        <w:tc>
          <w:p>
            <w:r>
              <w:t xml:space="preserve">CPT field / post_title</w:t>
            </w:r>
          </w:p>
        </w:tc>
        <w:tc>
          <w:p>
            <w:r>
              <w:t xml:space="preserve">“Ստանդարտ”, “Պրեմիում”, “Արքայական”</w:t>
            </w:r>
          </w:p>
        </w:tc>
      </w:tr>
      <w:tr>
        <w:tc>
          <w:tcPr>
            <w:shd w:color="F5E6C8" w:val="solid"/>
          </w:tcPr>
          <w:p>
            <w:r>
              <w:rPr>
                <w:rFonts w:ascii="Consolas" w:cs="Consolas" w:eastAsia="Consolas" w:hAnsi="Consolas"/>
                <w:sz w:val="18"/>
                <w:szCs w:val="18"/>
              </w:rPr>
              <w:t xml:space="preserve">package_price</w:t>
            </w:r>
          </w:p>
        </w:tc>
        <w:tc>
          <w:tcPr>
            <w:shd w:color="F5E6C8" w:val="solid"/>
          </w:tcPr>
          <w:p>
            <w:r>
              <w:t xml:space="preserve">Number</w:t>
            </w:r>
          </w:p>
        </w:tc>
        <w:tc>
          <w:tcPr>
            <w:shd w:color="F5E6C8" w:val="solid"/>
          </w:tcPr>
          <w:p>
            <w:r>
              <w:t xml:space="preserve">ACF Number field</w:t>
            </w:r>
          </w:p>
        </w:tc>
        <w:tc>
          <w:tcPr>
            <w:shd w:color="F5E6C8" w:val="solid"/>
          </w:tcPr>
          <w:p>
            <w:r>
              <w:t xml:space="preserve">Price per person in AMD, e.g. 12000, 18000, 25000</w:t>
            </w:r>
          </w:p>
        </w:tc>
      </w:tr>
      <w:tr>
        <w:tc>
          <w:p>
            <w:r>
              <w:rPr>
                <w:rFonts w:ascii="Consolas" w:cs="Consolas" w:eastAsia="Consolas" w:hAnsi="Consolas"/>
                <w:sz w:val="18"/>
                <w:szCs w:val="18"/>
              </w:rPr>
              <w:t xml:space="preserve">package_description</w:t>
            </w:r>
          </w:p>
        </w:tc>
        <w:tc>
          <w:p>
            <w:r>
              <w:t xml:space="preserve">Textarea</w:t>
            </w:r>
          </w:p>
        </w:tc>
        <w:tc>
          <w:p>
            <w:r>
              <w:t xml:space="preserve">ACF Textarea</w:t>
            </w:r>
          </w:p>
        </w:tc>
        <w:tc>
          <w:p>
            <w:r>
              <w:t xml:space="preserve">One-line description shown under the package name</w:t>
            </w:r>
          </w:p>
        </w:tc>
      </w:tr>
      <w:tr>
        <w:tc>
          <w:tcPr>
            <w:shd w:color="F5E6C8" w:val="solid"/>
          </w:tcPr>
          <w:p>
            <w:r>
              <w:rPr>
                <w:rFonts w:ascii="Consolas" w:cs="Consolas" w:eastAsia="Consolas" w:hAnsi="Consolas"/>
                <w:sz w:val="18"/>
                <w:szCs w:val="18"/>
              </w:rPr>
              <w:t xml:space="preserve">package_highlighted</w:t>
            </w:r>
          </w:p>
        </w:tc>
        <w:tc>
          <w:tcPr>
            <w:shd w:color="F5E6C8" w:val="solid"/>
          </w:tcPr>
          <w:p>
            <w:r>
              <w:t xml:space="preserve">True / False</w:t>
            </w:r>
          </w:p>
        </w:tc>
        <w:tc>
          <w:tcPr>
            <w:shd w:color="F5E6C8" w:val="solid"/>
          </w:tcPr>
          <w:p>
            <w:r>
              <w:t xml:space="preserve">ACF True/False toggle</w:t>
            </w:r>
          </w:p>
        </w:tc>
        <w:tc>
          <w:tcPr>
            <w:shd w:color="F5E6C8" w:val="solid"/>
          </w:tcPr>
          <w:p>
            <w:r>
              <w:t xml:space="preserve">Marks the “Ամենաշատ ընտրվածը” (Most Popular) badge. Only one package should have this enabled at a time — enforce as an editorial convention or a frontend safeguard, not a hard DB constraint</w:t>
            </w:r>
          </w:p>
        </w:tc>
      </w:tr>
      <w:tr>
        <w:tc>
          <w:p>
            <w:r>
              <w:rPr>
                <w:rFonts w:ascii="Consolas" w:cs="Consolas" w:eastAsia="Consolas" w:hAnsi="Consolas"/>
                <w:sz w:val="18"/>
                <w:szCs w:val="18"/>
              </w:rPr>
              <w:t xml:space="preserve">package_items</w:t>
            </w:r>
          </w:p>
        </w:tc>
        <w:tc>
          <w:p>
            <w:r>
              <w:t xml:space="preserve">Flexible Content</w:t>
            </w:r>
          </w:p>
        </w:tc>
        <w:tc>
          <w:p>
            <w:r>
              <w:t xml:space="preserve">ACF Flexible Content — see 4.2 below</w:t>
            </w:r>
          </w:p>
        </w:tc>
        <w:tc>
          <w:p>
            <w:r>
              <w:t xml:space="preserve">Ordered list of menu items; each entry is one of two layouts</w:t>
            </w:r>
          </w:p>
        </w:tc>
      </w:tr>
    </w:tbl>
    <w:p>
      <w:pPr>
        <w:pStyle w:val="Heading2"/>
        <w:spacing w:after="150" w:before="300"/>
      </w:pPr>
      <w:r>
        <w:t xml:space="preserve">4.2 The items Flexible Content field — two layouts</w:t>
      </w:r>
    </w:p>
    <w:p>
      <w:pPr>
        <w:spacing w:after="150"/>
      </w:pPr>
      <w:r>
        <w:t xml:space="preserve">Each entry in package_items is one of exactly two layouts. This maps directly onto the current frontend's “fixed” vs “choice” item types:</w:t>
      </w:r>
    </w:p>
    <w:p>
      <w:pPr>
        <w:pStyle w:val="Heading3"/>
        <w:spacing w:after="100" w:before="200"/>
      </w:pPr>
      <w:r>
        <w:t xml:space="preserve">Layout A — “Fixed Dish”</w:t>
      </w:r>
    </w:p>
    <w:p>
      <w:pPr>
        <w:spacing w:after="150"/>
      </w:pPr>
      <w:r>
        <w:t xml:space="preserve">A single included dish with no guest choice involved.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4%"/>
            <w:shd w:color="B8860B" w:val="solid"/>
          </w:tcPr>
          <w:p>
            <w:r>
              <w:rPr>
                <w:b/>
                <w:bCs/>
                <w:color w:val="FFFFFF"/>
              </w:rPr>
              <w:t xml:space="preserve">Field name</w:t>
            </w:r>
          </w:p>
        </w:tc>
        <w:tc>
          <w:tcPr>
            <w:tcW w:type="pct" w:w="14%"/>
            <w:shd w:color="B8860B" w:val="solid"/>
          </w:tcPr>
          <w:p>
            <w:r>
              <w:rPr>
                <w:b/>
                <w:bCs/>
                <w:color w:val="FFFFFF"/>
              </w:rPr>
              <w:t xml:space="preserve">Type</w:t>
            </w:r>
          </w:p>
        </w:tc>
        <w:tc>
          <w:tcPr>
            <w:tcW w:type="pct" w:w="30%"/>
            <w:shd w:color="B8860B" w:val="solid"/>
          </w:tcPr>
          <w:p>
            <w:r>
              <w:rPr>
                <w:b/>
                <w:bCs/>
                <w:color w:val="FFFFFF"/>
              </w:rPr>
              <w:t xml:space="preserve">WordPress modeling</w:t>
            </w:r>
          </w:p>
        </w:tc>
        <w:tc>
          <w:tcPr>
            <w:tcW w:type="pct" w:w="32%"/>
            <w:shd w:color="B8860B" w:val="solid"/>
          </w:tcPr>
          <w:p>
            <w:r>
              <w:rPr>
                <w:b/>
                <w:bCs/>
                <w:color w:val="FFFFFF"/>
              </w:rPr>
              <w:t xml:space="preserve">Notes / current source</w:t>
            </w:r>
          </w:p>
        </w:tc>
      </w:tr>
      <w:tr>
        <w:tc>
          <w:p>
            <w:r>
              <w:rPr>
                <w:rFonts w:ascii="Consolas" w:cs="Consolas" w:eastAsia="Consolas" w:hAnsi="Consolas"/>
                <w:sz w:val="18"/>
                <w:szCs w:val="18"/>
              </w:rPr>
              <w:t xml:space="preserve">dish_name</w:t>
            </w:r>
          </w:p>
        </w:tc>
        <w:tc>
          <w:p>
            <w:r>
              <w:t xml:space="preserve">Text</w:t>
            </w:r>
          </w:p>
        </w:tc>
        <w:tc>
          <w:p>
            <w:r>
              <w:t xml:space="preserve">ACF Text (sub-field)</w:t>
            </w:r>
          </w:p>
        </w:tc>
        <w:tc>
          <w:p>
            <w:r>
              <w:t xml:space="preserve">e.g. “Հաց և լավաշ”</w:t>
            </w:r>
          </w:p>
        </w:tc>
      </w:tr>
      <w:tr>
        <w:tc>
          <w:tcPr>
            <w:shd w:color="F5E6C8" w:val="solid"/>
          </w:tcPr>
          <w:p>
            <w:r>
              <w:rPr>
                <w:rFonts w:ascii="Consolas" w:cs="Consolas" w:eastAsia="Consolas" w:hAnsi="Consolas"/>
                <w:sz w:val="18"/>
                <w:szCs w:val="18"/>
              </w:rPr>
              <w:t xml:space="preserve">dish_image</w:t>
            </w:r>
          </w:p>
        </w:tc>
        <w:tc>
          <w:tcPr>
            <w:shd w:color="F5E6C8" w:val="solid"/>
          </w:tcPr>
          <w:p>
            <w:r>
              <w:t xml:space="preserve">Image</w:t>
            </w:r>
          </w:p>
        </w:tc>
        <w:tc>
          <w:tcPr>
            <w:shd w:color="F5E6C8" w:val="solid"/>
          </w:tcPr>
          <w:p>
            <w:r>
              <w:t xml:space="preserve">ACF Image (sub-field)</w:t>
            </w:r>
          </w:p>
        </w:tc>
        <w:tc>
          <w:tcPr>
            <w:shd w:color="F5E6C8" w:val="solid"/>
          </w:tcPr>
          <w:p>
            <w:r>
              <w:t xml:space="preserve">Small dish photo, ~150×150px</w:t>
            </w:r>
          </w:p>
        </w:tc>
      </w:tr>
    </w:tbl>
    <w:p>
      <w:pPr>
        <w:pStyle w:val="Heading3"/>
        <w:spacing w:after="100" w:before="200"/>
      </w:pPr>
      <w:r>
        <w:t xml:space="preserve">Layout B — “Choice Group”</w:t>
      </w:r>
    </w:p>
    <w:p>
      <w:pPr>
        <w:spacing w:after="150"/>
      </w:pPr>
      <w:r>
        <w:t xml:space="preserve">A labeled group the guest picks exactly one option from.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4%"/>
            <w:shd w:color="B8860B" w:val="solid"/>
          </w:tcPr>
          <w:p>
            <w:r>
              <w:rPr>
                <w:b/>
                <w:bCs/>
                <w:color w:val="FFFFFF"/>
              </w:rPr>
              <w:t xml:space="preserve">Field name</w:t>
            </w:r>
          </w:p>
        </w:tc>
        <w:tc>
          <w:tcPr>
            <w:tcW w:type="pct" w:w="14%"/>
            <w:shd w:color="B8860B" w:val="solid"/>
          </w:tcPr>
          <w:p>
            <w:r>
              <w:rPr>
                <w:b/>
                <w:bCs/>
                <w:color w:val="FFFFFF"/>
              </w:rPr>
              <w:t xml:space="preserve">Type</w:t>
            </w:r>
          </w:p>
        </w:tc>
        <w:tc>
          <w:tcPr>
            <w:tcW w:type="pct" w:w="30%"/>
            <w:shd w:color="B8860B" w:val="solid"/>
          </w:tcPr>
          <w:p>
            <w:r>
              <w:rPr>
                <w:b/>
                <w:bCs/>
                <w:color w:val="FFFFFF"/>
              </w:rPr>
              <w:t xml:space="preserve">WordPress modeling</w:t>
            </w:r>
          </w:p>
        </w:tc>
        <w:tc>
          <w:tcPr>
            <w:tcW w:type="pct" w:w="32%"/>
            <w:shd w:color="B8860B" w:val="solid"/>
          </w:tcPr>
          <w:p>
            <w:r>
              <w:rPr>
                <w:b/>
                <w:bCs/>
                <w:color w:val="FFFFFF"/>
              </w:rPr>
              <w:t xml:space="preserve">Notes / current source</w:t>
            </w:r>
          </w:p>
        </w:tc>
      </w:tr>
      <w:tr>
        <w:tc>
          <w:p>
            <w:r>
              <w:rPr>
                <w:rFonts w:ascii="Consolas" w:cs="Consolas" w:eastAsia="Consolas" w:hAnsi="Consolas"/>
                <w:sz w:val="18"/>
                <w:szCs w:val="18"/>
              </w:rPr>
              <w:t xml:space="preserve">group_label</w:t>
            </w:r>
          </w:p>
        </w:tc>
        <w:tc>
          <w:p>
            <w:r>
              <w:t xml:space="preserve">Text</w:t>
            </w:r>
          </w:p>
        </w:tc>
        <w:tc>
          <w:p>
            <w:r>
              <w:t xml:space="preserve">ACF Text (sub-field)</w:t>
            </w:r>
          </w:p>
        </w:tc>
        <w:tc>
          <w:p>
            <w:r>
              <w:t xml:space="preserve">e.g. “Ընտրեք աղցան” (“Choose your salad”)</w:t>
            </w:r>
          </w:p>
        </w:tc>
      </w:tr>
      <w:tr>
        <w:tc>
          <w:tcPr>
            <w:shd w:color="F5E6C8" w:val="solid"/>
          </w:tcPr>
          <w:p>
            <w:r>
              <w:rPr>
                <w:rFonts w:ascii="Consolas" w:cs="Consolas" w:eastAsia="Consolas" w:hAnsi="Consolas"/>
                <w:sz w:val="18"/>
                <w:szCs w:val="18"/>
              </w:rPr>
              <w:t xml:space="preserve">options</w:t>
            </w:r>
          </w:p>
        </w:tc>
        <w:tc>
          <w:tcPr>
            <w:shd w:color="F5E6C8" w:val="solid"/>
          </w:tcPr>
          <w:p>
            <w:r>
              <w:t xml:space="preserve">Repeater (nested)</w:t>
            </w:r>
          </w:p>
        </w:tc>
        <w:tc>
          <w:tcPr>
            <w:shd w:color="F5E6C8" w:val="solid"/>
          </w:tcPr>
          <w:p>
            <w:r>
              <w:t xml:space="preserve">ACF Repeater (sub-field of the Flexible Content layout) — sub-fields: dish_name (Text), dish_image (Image)</w:t>
            </w:r>
          </w:p>
        </w:tc>
        <w:tc>
          <w:tcPr>
            <w:shd w:color="F5E6C8" w:val="solid"/>
          </w:tcPr>
          <w:p>
            <w:r>
              <w:t xml:space="preserve">2–3 selectable dishes per group in current data (e.g. Armenian Salad / Olivier / Crab Salad)</w:t>
            </w:r>
          </w:p>
        </w:tc>
      </w:tr>
    </w:tbl>
    <w:p>
      <w:pPr>
        <w:pStyle w:val="Heading2"/>
        <w:spacing w:after="150" w:before="300"/>
      </w:pPr>
      <w:r>
        <w:t xml:space="preserve">4.3 Example GraphQL shape</w:t>
      </w:r>
    </w:p>
    <w:p>
      <w:pPr>
        <w:spacing w:after="150"/>
      </w:pPr>
      <w:r>
        <w:rPr>
          <w:i/>
          <w:iCs/>
        </w:rPr>
        <w:t xml:space="preserve">Illustrative only — exact type names depend on the ACF field group name and the WPGraphQL for ACF plugin's naming convention, but this is the general shape to expect:</w:t>
      </w:r>
    </w:p>
    <w:p>
      <w:pPr>
        <w:shd w:color="F2F2F2" w:val="solid"/>
        <w:spacing w:after="40"/>
      </w:pPr>
      <w:r>
        <w:rPr>
          <w:rFonts w:ascii="Consolas" w:cs="Consolas" w:eastAsia="Consolas" w:hAnsi="Consolas"/>
          <w:sz w:val="18"/>
          <w:szCs w:val="18"/>
        </w:rPr>
        <w:t xml:space="preserve">query GetPackages {</w:t>
      </w:r>
    </w:p>
    <w:p>
      <w:pPr>
        <w:shd w:color="F2F2F2" w:val="solid"/>
        <w:spacing w:after="40"/>
      </w:pPr>
      <w:r>
        <w:rPr>
          <w:rFonts w:ascii="Consolas" w:cs="Consolas" w:eastAsia="Consolas" w:hAnsi="Consolas"/>
          <w:sz w:val="18"/>
          <w:szCs w:val="18"/>
        </w:rPr>
        <w:t xml:space="preserve">  packages {</w:t>
      </w:r>
    </w:p>
    <w:p>
      <w:pPr>
        <w:shd w:color="F2F2F2" w:val="solid"/>
        <w:spacing w:after="40"/>
      </w:pPr>
      <w:r>
        <w:rPr>
          <w:rFonts w:ascii="Consolas" w:cs="Consolas" w:eastAsia="Consolas" w:hAnsi="Consolas"/>
          <w:sz w:val="18"/>
          <w:szCs w:val="18"/>
        </w:rPr>
        <w:t xml:space="preserve">    nodes {</w:t>
      </w:r>
    </w:p>
    <w:p>
      <w:pPr>
        <w:shd w:color="F2F2F2" w:val="solid"/>
        <w:spacing w:after="40"/>
      </w:pPr>
      <w:r>
        <w:rPr>
          <w:rFonts w:ascii="Consolas" w:cs="Consolas" w:eastAsia="Consolas" w:hAnsi="Consolas"/>
          <w:sz w:val="18"/>
          <w:szCs w:val="18"/>
        </w:rPr>
        <w:t xml:space="preserve">      title</w:t>
      </w:r>
    </w:p>
    <w:p>
      <w:pPr>
        <w:shd w:color="F2F2F2" w:val="solid"/>
        <w:spacing w:after="40"/>
      </w:pPr>
      <w:r>
        <w:rPr>
          <w:rFonts w:ascii="Consolas" w:cs="Consolas" w:eastAsia="Consolas" w:hAnsi="Consolas"/>
          <w:sz w:val="18"/>
          <w:szCs w:val="18"/>
        </w:rPr>
        <w:t xml:space="preserve">      packageFields {</w:t>
      </w:r>
    </w:p>
    <w:p>
      <w:pPr>
        <w:shd w:color="F2F2F2" w:val="solid"/>
        <w:spacing w:after="40"/>
      </w:pPr>
      <w:r>
        <w:rPr>
          <w:rFonts w:ascii="Consolas" w:cs="Consolas" w:eastAsia="Consolas" w:hAnsi="Consolas"/>
          <w:sz w:val="18"/>
          <w:szCs w:val="18"/>
        </w:rPr>
        <w:t xml:space="preserve">        price</w:t>
      </w:r>
    </w:p>
    <w:p>
      <w:pPr>
        <w:shd w:color="F2F2F2" w:val="solid"/>
        <w:spacing w:after="40"/>
      </w:pPr>
      <w:r>
        <w:rPr>
          <w:rFonts w:ascii="Consolas" w:cs="Consolas" w:eastAsia="Consolas" w:hAnsi="Consolas"/>
          <w:sz w:val="18"/>
          <w:szCs w:val="18"/>
        </w:rPr>
        <w:t xml:space="preserve">        description</w:t>
      </w:r>
    </w:p>
    <w:p>
      <w:pPr>
        <w:shd w:color="F2F2F2" w:val="solid"/>
        <w:spacing w:after="40"/>
      </w:pPr>
      <w:r>
        <w:rPr>
          <w:rFonts w:ascii="Consolas" w:cs="Consolas" w:eastAsia="Consolas" w:hAnsi="Consolas"/>
          <w:sz w:val="18"/>
          <w:szCs w:val="18"/>
        </w:rPr>
        <w:t xml:space="preserve">        highlighted</w:t>
      </w:r>
    </w:p>
    <w:p>
      <w:pPr>
        <w:shd w:color="F2F2F2" w:val="solid"/>
        <w:spacing w:after="40"/>
      </w:pPr>
      <w:r>
        <w:rPr>
          <w:rFonts w:ascii="Consolas" w:cs="Consolas" w:eastAsia="Consolas" w:hAnsi="Consolas"/>
          <w:sz w:val="18"/>
          <w:szCs w:val="18"/>
        </w:rPr>
        <w:t xml:space="preserve">        items {</w:t>
      </w:r>
    </w:p>
    <w:p>
      <w:pPr>
        <w:shd w:color="F2F2F2" w:val="solid"/>
        <w:spacing w:after="40"/>
      </w:pPr>
      <w:r>
        <w:rPr>
          <w:rFonts w:ascii="Consolas" w:cs="Consolas" w:eastAsia="Consolas" w:hAnsi="Consolas"/>
          <w:sz w:val="18"/>
          <w:szCs w:val="18"/>
        </w:rPr>
        <w:t xml:space="preserve">          ... on PackageFields_Items_FixedDish {</w:t>
      </w:r>
    </w:p>
    <w:p>
      <w:pPr>
        <w:shd w:color="F2F2F2" w:val="solid"/>
        <w:spacing w:after="40"/>
      </w:pPr>
      <w:r>
        <w:rPr>
          <w:rFonts w:ascii="Consolas" w:cs="Consolas" w:eastAsia="Consolas" w:hAnsi="Consolas"/>
          <w:sz w:val="18"/>
          <w:szCs w:val="18"/>
        </w:rPr>
        <w:t xml:space="preserve">            dishName</w:t>
      </w:r>
    </w:p>
    <w:p>
      <w:pPr>
        <w:shd w:color="F2F2F2" w:val="solid"/>
        <w:spacing w:after="40"/>
      </w:pPr>
      <w:r>
        <w:rPr>
          <w:rFonts w:ascii="Consolas" w:cs="Consolas" w:eastAsia="Consolas" w:hAnsi="Consolas"/>
          <w:sz w:val="18"/>
          <w:szCs w:val="18"/>
        </w:rPr>
        <w:t xml:space="preserve">            dishImage { sourceUrl altText }</w:t>
      </w:r>
    </w:p>
    <w:p>
      <w:pPr>
        <w:shd w:color="F2F2F2" w:val="solid"/>
        <w:spacing w:after="40"/>
      </w:pPr>
      <w:r>
        <w:rPr>
          <w:rFonts w:ascii="Consolas" w:cs="Consolas" w:eastAsia="Consolas" w:hAnsi="Consolas"/>
          <w:sz w:val="18"/>
          <w:szCs w:val="18"/>
        </w:rPr>
        <w:t xml:space="preserve">          }</w:t>
      </w:r>
    </w:p>
    <w:p>
      <w:pPr>
        <w:shd w:color="F2F2F2" w:val="solid"/>
        <w:spacing w:after="40"/>
      </w:pPr>
      <w:r>
        <w:rPr>
          <w:rFonts w:ascii="Consolas" w:cs="Consolas" w:eastAsia="Consolas" w:hAnsi="Consolas"/>
          <w:sz w:val="18"/>
          <w:szCs w:val="18"/>
        </w:rPr>
        <w:t xml:space="preserve">          ... on PackageFields_Items_ChoiceGroup {</w:t>
      </w:r>
    </w:p>
    <w:p>
      <w:pPr>
        <w:shd w:color="F2F2F2" w:val="solid"/>
        <w:spacing w:after="40"/>
      </w:pPr>
      <w:r>
        <w:rPr>
          <w:rFonts w:ascii="Consolas" w:cs="Consolas" w:eastAsia="Consolas" w:hAnsi="Consolas"/>
          <w:sz w:val="18"/>
          <w:szCs w:val="18"/>
        </w:rPr>
        <w:t xml:space="preserve">            groupLabel</w:t>
      </w:r>
    </w:p>
    <w:p>
      <w:pPr>
        <w:shd w:color="F2F2F2" w:val="solid"/>
        <w:spacing w:after="40"/>
      </w:pPr>
      <w:r>
        <w:rPr>
          <w:rFonts w:ascii="Consolas" w:cs="Consolas" w:eastAsia="Consolas" w:hAnsi="Consolas"/>
          <w:sz w:val="18"/>
          <w:szCs w:val="18"/>
        </w:rPr>
        <w:t xml:space="preserve">            options {</w:t>
      </w:r>
    </w:p>
    <w:p>
      <w:pPr>
        <w:shd w:color="F2F2F2" w:val="solid"/>
        <w:spacing w:after="40"/>
      </w:pPr>
      <w:r>
        <w:rPr>
          <w:rFonts w:ascii="Consolas" w:cs="Consolas" w:eastAsia="Consolas" w:hAnsi="Consolas"/>
          <w:sz w:val="18"/>
          <w:szCs w:val="18"/>
        </w:rPr>
        <w:t xml:space="preserve">              dishName</w:t>
      </w:r>
    </w:p>
    <w:p>
      <w:pPr>
        <w:shd w:color="F2F2F2" w:val="solid"/>
        <w:spacing w:after="40"/>
      </w:pPr>
      <w:r>
        <w:rPr>
          <w:rFonts w:ascii="Consolas" w:cs="Consolas" w:eastAsia="Consolas" w:hAnsi="Consolas"/>
          <w:sz w:val="18"/>
          <w:szCs w:val="18"/>
        </w:rPr>
        <w:t xml:space="preserve">              dishImage { sourceUrl altText }</w:t>
      </w:r>
    </w:p>
    <w:p>
      <w:pPr>
        <w:shd w:color="F2F2F2" w:val="solid"/>
        <w:spacing w:after="40"/>
      </w:pPr>
      <w:r>
        <w:rPr>
          <w:rFonts w:ascii="Consolas" w:cs="Consolas" w:eastAsia="Consolas" w:hAnsi="Consolas"/>
          <w:sz w:val="18"/>
          <w:szCs w:val="18"/>
        </w:rPr>
        <w:t xml:space="preserve">            }</w:t>
      </w:r>
    </w:p>
    <w:p>
      <w:pPr>
        <w:shd w:color="F2F2F2" w:val="solid"/>
        <w:spacing w:after="40"/>
      </w:pPr>
      <w:r>
        <w:rPr>
          <w:rFonts w:ascii="Consolas" w:cs="Consolas" w:eastAsia="Consolas" w:hAnsi="Consolas"/>
          <w:sz w:val="18"/>
          <w:szCs w:val="18"/>
        </w:rPr>
        <w:t xml:space="preserve">          }</w:t>
      </w:r>
    </w:p>
    <w:p>
      <w:pPr>
        <w:shd w:color="F2F2F2" w:val="solid"/>
        <w:spacing w:after="40"/>
      </w:pPr>
      <w:r>
        <w:rPr>
          <w:rFonts w:ascii="Consolas" w:cs="Consolas" w:eastAsia="Consolas" w:hAnsi="Consolas"/>
          <w:sz w:val="18"/>
          <w:szCs w:val="18"/>
        </w:rPr>
        <w:t xml:space="preserve">        }</w:t>
      </w:r>
    </w:p>
    <w:p>
      <w:pPr>
        <w:shd w:color="F2F2F2" w:val="solid"/>
        <w:spacing w:after="40"/>
      </w:pPr>
      <w:r>
        <w:rPr>
          <w:rFonts w:ascii="Consolas" w:cs="Consolas" w:eastAsia="Consolas" w:hAnsi="Consolas"/>
          <w:sz w:val="18"/>
          <w:szCs w:val="18"/>
        </w:rPr>
        <w:t xml:space="preserve">      }</w:t>
      </w:r>
    </w:p>
    <w:p>
      <w:pPr>
        <w:shd w:color="F2F2F2" w:val="solid"/>
        <w:spacing w:after="40"/>
      </w:pPr>
      <w:r>
        <w:rPr>
          <w:rFonts w:ascii="Consolas" w:cs="Consolas" w:eastAsia="Consolas" w:hAnsi="Consolas"/>
          <w:sz w:val="18"/>
          <w:szCs w:val="18"/>
        </w:rPr>
        <w:t xml:space="preserve">    }</w:t>
      </w:r>
    </w:p>
    <w:p>
      <w:pPr>
        <w:shd w:color="F2F2F2" w:val="solid"/>
        <w:spacing w:after="40"/>
      </w:pPr>
      <w:r>
        <w:rPr>
          <w:rFonts w:ascii="Consolas" w:cs="Consolas" w:eastAsia="Consolas" w:hAnsi="Consolas"/>
          <w:sz w:val="18"/>
          <w:szCs w:val="18"/>
        </w:rPr>
        <w:t xml:space="preserve">  }</w:t>
      </w:r>
    </w:p>
    <w:p>
      <w:pPr>
        <w:shd w:color="F2F2F2" w:val="solid"/>
        <w:spacing w:after="40"/>
      </w:pPr>
      <w:r>
        <w:rPr>
          <w:rFonts w:ascii="Consolas" w:cs="Consolas" w:eastAsia="Consolas" w:hAnsi="Consolas"/>
          <w:sz w:val="18"/>
          <w:szCs w:val="18"/>
        </w:rPr>
        <w:t xml:space="preserve">}</w:t>
      </w:r>
    </w:p>
    <w:p>
      <w:pPr>
        <w:spacing w:after="200"/>
      </w:pPr>
    </w:p>
    <w:p>
      <w:pPr>
        <w:pStyle w:val="Heading1"/>
        <w:spacing w:after="200" w:before="400"/>
      </w:pPr>
      <w:r>
        <w:t xml:space="preserve">5. Gallery section</w:t>
      </w:r>
    </w:p>
    <w:p>
      <w:pPr>
        <w:spacing w:after="150"/>
      </w:pPr>
      <w:r>
        <w:t xml:space="preserve">A photo gallery of the venue, food, and past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4%"/>
            <w:shd w:color="B8860B" w:val="solid"/>
          </w:tcPr>
          <w:p>
            <w:r>
              <w:rPr>
                <w:b/>
                <w:bCs/>
                <w:color w:val="FFFFFF"/>
              </w:rPr>
              <w:t xml:space="preserve">Field name</w:t>
            </w:r>
          </w:p>
        </w:tc>
        <w:tc>
          <w:tcPr>
            <w:tcW w:type="pct" w:w="14%"/>
            <w:shd w:color="B8860B" w:val="solid"/>
          </w:tcPr>
          <w:p>
            <w:r>
              <w:rPr>
                <w:b/>
                <w:bCs/>
                <w:color w:val="FFFFFF"/>
              </w:rPr>
              <w:t xml:space="preserve">Type</w:t>
            </w:r>
          </w:p>
        </w:tc>
        <w:tc>
          <w:tcPr>
            <w:tcW w:type="pct" w:w="30%"/>
            <w:shd w:color="B8860B" w:val="solid"/>
          </w:tcPr>
          <w:p>
            <w:r>
              <w:rPr>
                <w:b/>
                <w:bCs/>
                <w:color w:val="FFFFFF"/>
              </w:rPr>
              <w:t xml:space="preserve">WordPress modeling</w:t>
            </w:r>
          </w:p>
        </w:tc>
        <w:tc>
          <w:tcPr>
            <w:tcW w:type="pct" w:w="32%"/>
            <w:shd w:color="B8860B" w:val="solid"/>
          </w:tcPr>
          <w:p>
            <w:r>
              <w:rPr>
                <w:b/>
                <w:bCs/>
                <w:color w:val="FFFFFF"/>
              </w:rPr>
              <w:t xml:space="preserve">Notes / current source</w:t>
            </w:r>
          </w:p>
        </w:tc>
      </w:tr>
      <w:tr>
        <w:tc>
          <w:p>
            <w:r>
              <w:rPr>
                <w:rFonts w:ascii="Consolas" w:cs="Consolas" w:eastAsia="Consolas" w:hAnsi="Consolas"/>
                <w:sz w:val="18"/>
                <w:szCs w:val="18"/>
              </w:rPr>
              <w:t xml:space="preserve">gallery_heading</w:t>
            </w:r>
          </w:p>
        </w:tc>
        <w:tc>
          <w:p>
            <w:r>
              <w:t xml:space="preserve">Text</w:t>
            </w:r>
          </w:p>
        </w:tc>
        <w:tc>
          <w:p>
            <w:r>
              <w:t xml:space="preserve">ACF Text</w:t>
            </w:r>
          </w:p>
        </w:tc>
        <w:tc>
          <w:p>
            <w:r>
              <w:t xml:space="preserve">“Պատկերասրահ”</w:t>
            </w:r>
          </w:p>
        </w:tc>
      </w:tr>
      <w:tr>
        <w:tc>
          <w:tcPr>
            <w:shd w:color="F5E6C8" w:val="solid"/>
          </w:tcPr>
          <w:p>
            <w:r>
              <w:rPr>
                <w:rFonts w:ascii="Consolas" w:cs="Consolas" w:eastAsia="Consolas" w:hAnsi="Consolas"/>
                <w:sz w:val="18"/>
                <w:szCs w:val="18"/>
              </w:rPr>
              <w:t xml:space="preserve">gallery_subtitle</w:t>
            </w:r>
          </w:p>
        </w:tc>
        <w:tc>
          <w:tcPr>
            <w:shd w:color="F5E6C8" w:val="solid"/>
          </w:tcPr>
          <w:p>
            <w:r>
              <w:t xml:space="preserve">Text</w:t>
            </w:r>
          </w:p>
        </w:tc>
        <w:tc>
          <w:tcPr>
            <w:shd w:color="F5E6C8" w:val="solid"/>
          </w:tcPr>
          <w:p>
            <w:r>
              <w:t xml:space="preserve">ACF Text</w:t>
            </w:r>
          </w:p>
        </w:tc>
        <w:tc>
          <w:tcPr>
            <w:shd w:color="F5E6C8" w:val="solid"/>
          </w:tcPr>
          <w:p>
            <w:r>
              <w:t xml:space="preserve">Intro paragraph under the heading</w:t>
            </w:r>
          </w:p>
        </w:tc>
      </w:tr>
      <w:tr>
        <w:tc>
          <w:p>
            <w:r>
              <w:rPr>
                <w:rFonts w:ascii="Consolas" w:cs="Consolas" w:eastAsia="Consolas" w:hAnsi="Consolas"/>
                <w:sz w:val="18"/>
                <w:szCs w:val="18"/>
              </w:rPr>
              <w:t xml:space="preserve">gallery_images</w:t>
            </w:r>
          </w:p>
        </w:tc>
        <w:tc>
          <w:p>
            <w:r>
              <w:t xml:space="preserve">Gallery field (or Repeater)</w:t>
            </w:r>
          </w:p>
        </w:tc>
        <w:tc>
          <w:p>
            <w:r>
              <w:t xml:space="preserve">ACF Gallery field is simplest; a Repeater with image + alt_text sub-fields gives more control over per-image alt text</w:t>
            </w:r>
          </w:p>
        </w:tc>
        <w:tc>
          <w:p>
            <w:r>
              <w:t xml:space="preserve">16 images today, spanning venue exterior/interior, food, and event moments</w:t>
            </w:r>
          </w:p>
        </w:tc>
      </w:tr>
    </w:tbl>
    <w:p>
      <w:pPr>
        <w:spacing w:after="200"/>
      </w:pPr>
    </w:p>
    <w:p>
      <w:pPr>
        <w:pStyle w:val="Heading1"/>
        <w:spacing w:after="200" w:before="400"/>
      </w:pPr>
      <w:r>
        <w:t xml:space="preserve">6. Contact section</w:t>
      </w:r>
    </w:p>
    <w:p>
      <w:pPr>
        <w:spacing w:after="150"/>
      </w:pPr>
      <w:r>
        <w:t xml:space="preserve">The address, phone, and capacity fields are already covered under Section 1 (Site-wide settings) since they're venue-level information reused conceptually, not gallery-style repeated content. This section only needs its own heading/subtitle 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4%"/>
            <w:shd w:color="B8860B" w:val="solid"/>
          </w:tcPr>
          <w:p>
            <w:r>
              <w:rPr>
                <w:b/>
                <w:bCs/>
                <w:color w:val="FFFFFF"/>
              </w:rPr>
              <w:t xml:space="preserve">Field name</w:t>
            </w:r>
          </w:p>
        </w:tc>
        <w:tc>
          <w:tcPr>
            <w:tcW w:type="pct" w:w="14%"/>
            <w:shd w:color="B8860B" w:val="solid"/>
          </w:tcPr>
          <w:p>
            <w:r>
              <w:rPr>
                <w:b/>
                <w:bCs/>
                <w:color w:val="FFFFFF"/>
              </w:rPr>
              <w:t xml:space="preserve">Type</w:t>
            </w:r>
          </w:p>
        </w:tc>
        <w:tc>
          <w:tcPr>
            <w:tcW w:type="pct" w:w="30%"/>
            <w:shd w:color="B8860B" w:val="solid"/>
          </w:tcPr>
          <w:p>
            <w:r>
              <w:rPr>
                <w:b/>
                <w:bCs/>
                <w:color w:val="FFFFFF"/>
              </w:rPr>
              <w:t xml:space="preserve">WordPress modeling</w:t>
            </w:r>
          </w:p>
        </w:tc>
        <w:tc>
          <w:tcPr>
            <w:tcW w:type="pct" w:w="32%"/>
            <w:shd w:color="B8860B" w:val="solid"/>
          </w:tcPr>
          <w:p>
            <w:r>
              <w:rPr>
                <w:b/>
                <w:bCs/>
                <w:color w:val="FFFFFF"/>
              </w:rPr>
              <w:t xml:space="preserve">Notes / current source</w:t>
            </w:r>
          </w:p>
        </w:tc>
      </w:tr>
      <w:tr>
        <w:tc>
          <w:p>
            <w:r>
              <w:rPr>
                <w:rFonts w:ascii="Consolas" w:cs="Consolas" w:eastAsia="Consolas" w:hAnsi="Consolas"/>
                <w:sz w:val="18"/>
                <w:szCs w:val="18"/>
              </w:rPr>
              <w:t xml:space="preserve">contact_heading</w:t>
            </w:r>
          </w:p>
        </w:tc>
        <w:tc>
          <w:p>
            <w:r>
              <w:t xml:space="preserve">Text</w:t>
            </w:r>
          </w:p>
        </w:tc>
        <w:tc>
          <w:p>
            <w:r>
              <w:t xml:space="preserve">ACF Text</w:t>
            </w:r>
          </w:p>
        </w:tc>
        <w:tc>
          <w:p>
            <w:r>
              <w:t xml:space="preserve">“Կապ”</w:t>
            </w:r>
          </w:p>
        </w:tc>
      </w:tr>
      <w:tr>
        <w:tc>
          <w:tcPr>
            <w:shd w:color="F5E6C8" w:val="solid"/>
          </w:tcPr>
          <w:p>
            <w:r>
              <w:rPr>
                <w:rFonts w:ascii="Consolas" w:cs="Consolas" w:eastAsia="Consolas" w:hAnsi="Consolas"/>
                <w:sz w:val="18"/>
                <w:szCs w:val="18"/>
              </w:rPr>
              <w:t xml:space="preserve">contact_subtitle</w:t>
            </w:r>
          </w:p>
        </w:tc>
        <w:tc>
          <w:tcPr>
            <w:shd w:color="F5E6C8" w:val="solid"/>
          </w:tcPr>
          <w:p>
            <w:r>
              <w:t xml:space="preserve">Text</w:t>
            </w:r>
          </w:p>
        </w:tc>
        <w:tc>
          <w:tcPr>
            <w:shd w:color="F5E6C8" w:val="solid"/>
          </w:tcPr>
          <w:p>
            <w:r>
              <w:t xml:space="preserve">ACF Text</w:t>
            </w:r>
          </w:p>
        </w:tc>
        <w:tc>
          <w:tcPr>
            <w:shd w:color="F5E6C8" w:val="solid"/>
          </w:tcPr>
          <w:p>
            <w:r>
              <w:t xml:space="preserve">Intro paragraph under the heading</w:t>
            </w:r>
          </w:p>
        </w:tc>
      </w:tr>
    </w:tbl>
    <w:p>
      <w:pPr>
        <w:spacing w:after="200"/>
      </w:pPr>
    </w:p>
    <w:p>
      <w:pPr>
        <w:pStyle w:val="Heading1"/>
        <w:spacing w:after="200" w:before="400"/>
      </w:pPr>
      <w:r>
        <w:t xml:space="preserve">7. Out of scope</w:t>
      </w:r>
    </w:p>
    <w:p>
      <w:pPr>
        <w:spacing w:after="150"/>
      </w:pPr>
      <w:r>
        <w:t xml:space="preserve">The following are deliberately NOT part of this backend content schema, per the confirmed project scope:</w:t>
      </w:r>
    </w:p>
    <w:p>
      <w:pPr>
        <w:pStyle w:val="ListParagraph"/>
        <w:numPr>
          <w:ilvl w:val="0"/>
          <w:numId w:val="1"/>
        </w:numPr>
        <w:spacing w:after="60"/>
      </w:pPr>
      <w:r>
        <w:t xml:space="preserve">UI microcopy — button labels (“Մանրամասն”, “Ուղարկել”), navigation item labels, ARIA labels, form field labels/placeholders, and form validation messages all stay hardcoded in the Next.js codebase. Keeping these out of WordPress keeps the admin focused on real content rather than being cluttered with dozens of one-off UI strings that rarely change.</w:t>
      </w:r>
    </w:p>
    <w:p>
      <w:pPr>
        <w:pStyle w:val="ListParagraph"/>
        <w:numPr>
          <w:ilvl w:val="0"/>
          <w:numId w:val="1"/>
        </w:numPr>
        <w:spacing w:after="60"/>
      </w:pPr>
      <w:r>
        <w:t xml:space="preserve">Contact form submission handling — the existing POST /api/contact Next.js Route Handler (validation + server-side logging, email delivery not yet wired up) is a separate concern from this content schema. It is not being routed through WordPress.</w:t>
      </w:r>
    </w:p>
    <w:p>
      <w:pPr>
        <w:pStyle w:val="ListParagraph"/>
        <w:numPr>
          <w:ilvl w:val="0"/>
          <w:numId w:val="1"/>
        </w:numPr>
        <w:spacing w:after="60"/>
      </w:pPr>
      <w:r>
        <w:t xml:space="preserve">Theme (dark/light) toggle — a frontend technical/UI feature, not CMS content.</w:t>
      </w:r>
    </w:p>
    <w:p>
      <w:pPr>
        <w:pStyle w:val="ListParagraph"/>
        <w:numPr>
          <w:ilvl w:val="0"/>
          <w:numId w:val="1"/>
        </w:numPr>
        <w:spacing w:after="60"/>
      </w:pPr>
      <w:r>
        <w:t xml:space="preserve">Navigation link targets (the #services / #packages / #gallery / #contact anchors) — these are tied to the page's actual section structure, not freely editable content; only the visible label text would be a reasonable CMS field if ever needed, and per the confirmed scope even that stays hardcoded for now.</w:t>
      </w:r>
    </w:p>
    <w:p>
      <w:pPr>
        <w:spacing w:after="200"/>
      </w:pPr>
    </w:p>
    <w:p>
      <w:pPr>
        <w:pStyle w:val="Heading1"/>
        <w:spacing w:after="200" w:before="400"/>
      </w:pPr>
      <w:r>
        <w:t xml:space="preserve">Appendix — current placeholder values (for 1:1 migration reference)</w:t>
      </w:r>
    </w:p>
    <w:p>
      <w:pPr>
        <w:spacing w:after="150"/>
      </w:pPr>
      <w:r>
        <w:t xml:space="preserve">Snapshot of what's currently hardcoded in the Next.js source, so this can be entered into WordPress as the starting content.</w:t>
      </w:r>
    </w:p>
    <w:p>
      <w:pPr>
        <w:pStyle w:val="Heading2"/>
        <w:spacing w:after="150" w:before="300"/>
      </w:pPr>
      <w:r>
        <w:t xml:space="preserve">A.1 Packages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4%"/>
            <w:shd w:color="B8860B" w:val="solid"/>
          </w:tcPr>
          <w:p>
            <w:r>
              <w:rPr>
                <w:b/>
                <w:bCs/>
                <w:color w:val="FFFFFF"/>
              </w:rPr>
              <w:t xml:space="preserve">Field name</w:t>
            </w:r>
          </w:p>
        </w:tc>
        <w:tc>
          <w:tcPr>
            <w:tcW w:type="pct" w:w="14%"/>
            <w:shd w:color="B8860B" w:val="solid"/>
          </w:tcPr>
          <w:p>
            <w:r>
              <w:rPr>
                <w:b/>
                <w:bCs/>
                <w:color w:val="FFFFFF"/>
              </w:rPr>
              <w:t xml:space="preserve">Type</w:t>
            </w:r>
          </w:p>
        </w:tc>
        <w:tc>
          <w:tcPr>
            <w:tcW w:type="pct" w:w="30%"/>
            <w:shd w:color="B8860B" w:val="solid"/>
          </w:tcPr>
          <w:p>
            <w:r>
              <w:rPr>
                <w:b/>
                <w:bCs/>
                <w:color w:val="FFFFFF"/>
              </w:rPr>
              <w:t xml:space="preserve">WordPress modeling</w:t>
            </w:r>
          </w:p>
        </w:tc>
        <w:tc>
          <w:tcPr>
            <w:tcW w:type="pct" w:w="32%"/>
            <w:shd w:color="B8860B" w:val="solid"/>
          </w:tcPr>
          <w:p>
            <w:r>
              <w:rPr>
                <w:b/>
                <w:bCs/>
                <w:color w:val="FFFFFF"/>
              </w:rPr>
              <w:t xml:space="preserve">Notes / current source</w:t>
            </w:r>
          </w:p>
        </w:tc>
      </w:tr>
      <w:tr>
        <w:tc>
          <w:p>
            <w:r>
              <w:rPr>
                <w:rFonts w:ascii="Consolas" w:cs="Consolas" w:eastAsia="Consolas" w:hAnsi="Consolas"/>
                <w:sz w:val="18"/>
                <w:szCs w:val="18"/>
              </w:rPr>
              <w:t xml:space="preserve">Standard</w:t>
            </w:r>
          </w:p>
        </w:tc>
        <w:tc>
          <w:p>
            <w:r>
              <w:t xml:space="preserve">12,000 ֏ / person</w:t>
            </w:r>
          </w:p>
        </w:tc>
        <w:tc>
          <w:p>
            <w:r>
              <w:t xml:space="preserve">Քանոնավոր միջոցառումների համար</w:t>
            </w:r>
          </w:p>
        </w:tc>
        <w:tc>
          <w:p>
            <w:r>
              <w:t xml:space="preserve">5 items: 2 choice groups (salad, main), 3 fixed dishes</w:t>
            </w:r>
          </w:p>
        </w:tc>
      </w:tr>
      <w:tr>
        <w:tc>
          <w:tcPr>
            <w:shd w:color="F5E6C8" w:val="solid"/>
          </w:tcPr>
          <w:p>
            <w:r>
              <w:rPr>
                <w:rFonts w:ascii="Consolas" w:cs="Consolas" w:eastAsia="Consolas" w:hAnsi="Consolas"/>
                <w:sz w:val="18"/>
                <w:szCs w:val="18"/>
              </w:rPr>
              <w:t xml:space="preserve">Premium</w:t>
            </w:r>
          </w:p>
        </w:tc>
        <w:tc>
          <w:tcPr>
            <w:shd w:color="F5E6C8" w:val="solid"/>
          </w:tcPr>
          <w:p>
            <w:r>
              <w:t xml:space="preserve">18,000 ֏ / person</w:t>
            </w:r>
          </w:p>
        </w:tc>
        <w:tc>
          <w:tcPr>
            <w:shd w:color="F5E6C8" w:val="solid"/>
          </w:tcPr>
          <w:p>
            <w:r>
              <w:t xml:space="preserve">Հարուստ ընտրանի հատուկ առիթների համար</w:t>
            </w:r>
          </w:p>
        </w:tc>
        <w:tc>
          <w:tcPr>
            <w:shd w:color="F5E6C8" w:val="solid"/>
          </w:tcPr>
          <w:p>
            <w:r>
              <w:t xml:space="preserve">7 items: 2 choice groups (salad, main), 5 fixed dishes — marked “Most Popular”</w:t>
            </w:r>
          </w:p>
        </w:tc>
      </w:tr>
      <w:tr>
        <w:tc>
          <w:p>
            <w:r>
              <w:rPr>
                <w:rFonts w:ascii="Consolas" w:cs="Consolas" w:eastAsia="Consolas" w:hAnsi="Consolas"/>
                <w:sz w:val="18"/>
                <w:szCs w:val="18"/>
              </w:rPr>
              <w:t xml:space="preserve">Royal</w:t>
            </w:r>
          </w:p>
        </w:tc>
        <w:tc>
          <w:p>
            <w:r>
              <w:t xml:space="preserve">25,000 ֏ / person</w:t>
            </w:r>
          </w:p>
        </w:tc>
        <w:tc>
          <w:p>
            <w:r>
              <w:t xml:space="preserve">Լիարժեք շքեղ փաթեթ։ ձեր հատուկ օրվա համար</w:t>
            </w:r>
          </w:p>
        </w:tc>
        <w:tc>
          <w:p>
            <w:r>
              <w:t xml:space="preserve">10 items: 2 choice groups (salad, main), 8 fixed dishes (incl. caviar, fireworks, live DJ)</w:t>
            </w:r>
          </w:p>
        </w:tc>
      </w:tr>
    </w:tbl>
    <w:p>
      <w:pPr>
        <w:pStyle w:val="Heading2"/>
        <w:spacing w:after="150" w:before="300"/>
      </w:pPr>
      <w:r>
        <w:t xml:space="preserve">A.2 Social links (placeholders — need real URLs)</w:t>
      </w:r>
    </w:p>
    <w:p>
      <w:pPr>
        <w:pStyle w:val="ListParagraph"/>
        <w:numPr>
          <w:ilvl w:val="0"/>
          <w:numId w:val="1"/>
        </w:numPr>
        <w:spacing w:after="60"/>
      </w:pPr>
      <w:r>
        <w:t xml:space="preserve">Instagram: instagram.com/ (placeholder)</w:t>
      </w:r>
    </w:p>
    <w:p>
      <w:pPr>
        <w:pStyle w:val="ListParagraph"/>
        <w:numPr>
          <w:ilvl w:val="0"/>
          <w:numId w:val="1"/>
        </w:numPr>
        <w:spacing w:after="60"/>
      </w:pPr>
      <w:r>
        <w:t xml:space="preserve">Facebook: facebook.com/ (placeholder)</w:t>
      </w:r>
    </w:p>
    <w:p>
      <w:pPr>
        <w:pStyle w:val="ListParagraph"/>
        <w:numPr>
          <w:ilvl w:val="0"/>
          <w:numId w:val="1"/>
        </w:numPr>
        <w:spacing w:after="60"/>
      </w:pPr>
      <w:r>
        <w:t xml:space="preserve">WhatsApp: wa.me/ (placeholder)</w:t>
      </w:r>
    </w:p>
    <w:p>
      <w:pPr>
        <w:pStyle w:val="Heading2"/>
        <w:spacing w:after="150" w:before="300"/>
      </w:pPr>
      <w:r>
        <w:t xml:space="preserve">A.3 Contact info</w:t>
      </w:r>
    </w:p>
    <w:p>
      <w:pPr>
        <w:pStyle w:val="ListParagraph"/>
        <w:numPr>
          <w:ilvl w:val="0"/>
          <w:numId w:val="1"/>
        </w:numPr>
        <w:spacing w:after="60"/>
      </w:pPr>
      <w:r>
        <w:t xml:space="preserve">Address: Գավառ, Սայադյան 112/2</w:t>
      </w:r>
    </w:p>
    <w:p>
      <w:pPr>
        <w:pStyle w:val="ListParagraph"/>
        <w:numPr>
          <w:ilvl w:val="0"/>
          <w:numId w:val="1"/>
        </w:numPr>
        <w:spacing w:after="60"/>
      </w:pPr>
      <w:r>
        <w:t xml:space="preserve">Phone: +374 91 774 774</w:t>
      </w:r>
    </w:p>
    <w:p>
      <w:pPr>
        <w:pStyle w:val="ListParagraph"/>
        <w:numPr>
          <w:ilvl w:val="0"/>
          <w:numId w:val="1"/>
        </w:numPr>
        <w:spacing w:after="60"/>
      </w:pPr>
      <w:r>
        <w:t xml:space="preserve">Capacity: Նախատեսված է մինչև 600 անձի համար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2026-08-03T07:48:27.418Z</dcterms:created>
  <dcterms:modified xsi:type="dcterms:W3CDTF">2026-08-03T07:48:27.419Z</dcterms:modified>
</cp:coreProperties>
</file>

<file path=docProps/custom.xml><?xml version="1.0" encoding="utf-8"?>
<Properties xmlns="http://schemas.openxmlformats.org/officeDocument/2006/custom-properties" xmlns:vt="http://schemas.openxmlformats.org/officeDocument/2006/docPropsVTypes"/>
</file>