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7 -->
  <w:body>
    <w:p w:rsidR="00A77B3E">
      <w:pPr>
        <w:jc w:val="left"/>
        <w:rPr>
          <w:spacing w:val="100"/>
          <w:sz w:val="80"/>
        </w:rPr>
      </w:pPr>
      <w:r>
        <w:rPr>
          <w:spacing w:val="100"/>
          <w:sz w:val="80"/>
        </w:rPr>
        <w:drawing>
          <wp:anchor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8830310" cy="10692130"/>
            <wp:wrapNone/>
            <wp:docPr id="100002" name="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38930" name=""/>
                    <pic:cNvPicPr>
                      <a:picLocks noChangeAspect="0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3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b/>
          <w:sz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76.24pt;height:22pt;margin-top:627.9pt;margin-left:59.53pt;mso-position-horizontal-relative:page;position:absolute;z-index:251659264" filled="f" stroked="f">
            <v:stroke linestyle="single"/>
            <v:path strokeok="f" textboxrect="0,0,21600,21600"/>
            <v:textpath fitpath="f"/>
            <o:lock v:ext="edit" aspectratio="f"/>
            <v:textbox>
              <w:txbxContent>
                <w:p>
                  <w:r>
                    <w:t xml:space="preserve">                                 TTA standardization office【TTA 5AB- TTAK 08- TTA 2C】</w:t>
                  </w:r>
                </w:p>
              </w:txbxContent>
            </v:textbox>
          </v:shape>
        </w:pict>
      </w:r>
    </w:p>
    <w:p w:rsidR="00A77B3E">
      <w:pPr>
        <w:rPr>
          <w:spacing w:val="100"/>
          <w:sz w:val="80"/>
        </w:rPr>
      </w:pPr>
    </w:p>
    <w:p w:rsidR="00A77B3E">
      <w:pPr>
        <w:rPr>
          <w:spacing w:val="100"/>
          <w:sz w:val="80"/>
        </w:rPr>
      </w:pPr>
    </w:p>
    <w:p w:rsidR="00A77B3E">
      <w:pPr>
        <w:rPr>
          <w:spacing w:val="100"/>
          <w:sz w:val="80"/>
        </w:rPr>
      </w:pPr>
    </w:p>
    <w:p w:rsidR="00A77B3E">
      <w:pPr>
        <w:jc w:val="center"/>
        <w:rPr>
          <w:rFonts w:ascii="黑体" w:eastAsia="黑体" w:hAnsi="黑体" w:cs="黑体"/>
          <w:b/>
          <w:i w:val="0"/>
          <w:color w:val="000000"/>
          <w:spacing w:val="100"/>
          <w:sz w:val="72"/>
          <w:u w:val="none"/>
        </w:rPr>
      </w:pPr>
      <w:r>
        <w:rPr>
          <w:rFonts w:ascii="黑体" w:eastAsia="黑体" w:hAnsi="黑体" w:cs="黑体"/>
          <w:b/>
          <w:i w:val="0"/>
          <w:color w:val="000000"/>
          <w:spacing w:val="100"/>
          <w:sz w:val="72"/>
          <w:u w:val="none"/>
        </w:rPr>
        <w:t>销售提成方案</w:t>
      </w:r>
    </w:p>
    <w:p w:rsidR="00A77B3E">
      <w:pPr>
        <w:jc w:val="center"/>
        <w:rPr>
          <w:rFonts w:ascii="黑体" w:eastAsia="黑体" w:hAnsi="黑体" w:cs="黑体"/>
          <w:b/>
          <w:i w:val="0"/>
          <w:color w:val="000000"/>
          <w:spacing w:val="100"/>
          <w:sz w:val="72"/>
          <w:u w:val="none"/>
        </w:rPr>
        <w:sectPr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销 售 提 成 方 案</w:t>
      </w:r>
    </w:p>
    <w:p>
      <w:pPr>
        <w:jc w:val="left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一、目的</w:t>
      </w:r>
    </w:p>
    <w:p>
      <w:pPr>
        <w:ind w:firstLine="440" w:firstLineChars="200"/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  <w:t>结合公司目前业务发展趋势，为建立完善的销售管理机制，规范营销人员薪酬标准，提高营销人员工作激情、发挥团队协作精神，进而有效提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eastAsia="zh-CN"/>
        </w:rPr>
        <w:t>升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  <w:t>销售业绩，为公司整体营销工作打下坚实基础，特拟本方案。</w:t>
      </w:r>
    </w:p>
    <w:p>
      <w:pPr>
        <w:numPr>
          <w:ilvl w:val="0"/>
          <w:numId w:val="1"/>
        </w:numPr>
        <w:rPr>
          <w:rFonts w:ascii="宋体" w:hAnsi="宋体" w:cs="宋体" w:hint="eastAsia"/>
          <w:b/>
          <w:bCs/>
          <w:i w:val="0"/>
          <w:iCs w:val="0"/>
          <w:caps w:val="0"/>
          <w:color w:val="333333"/>
          <w:spacing w:val="0"/>
          <w:szCs w:val="21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实行方案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 xml:space="preserve"> 产品分类销售提成方案</w:t>
      </w:r>
    </w:p>
    <w:p>
      <w:pPr>
        <w:numPr>
          <w:ilvl w:val="0"/>
          <w:numId w:val="2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 xml:space="preserve">主推产品（如新产品、高利润产品）   </w:t>
      </w:r>
    </w:p>
    <w:p>
      <w:pPr>
        <w:numPr>
          <w:ilvl w:val="0"/>
          <w:numId w:val="2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副产品（如库存产品、利润低成本高产品）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三、适用范围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外贸业务+国内业务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四、销售价格的管理</w:t>
      </w:r>
    </w:p>
    <w:p>
      <w:pPr>
        <w:numPr>
          <w:ilvl w:val="0"/>
          <w:numId w:val="3"/>
        </w:numPr>
        <w:rPr>
          <w:rFonts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产品价格由公司统一制定。（如有特殊情况，可向上级申请调整产品销售价格）</w:t>
      </w:r>
    </w:p>
    <w:p>
      <w:pPr>
        <w:numPr>
          <w:ilvl w:val="0"/>
          <w:numId w:val="3"/>
        </w:numPr>
        <w:rPr>
          <w:rFonts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公司产品根据市场情况执行价格调整机制。</w:t>
      </w:r>
    </w:p>
    <w:p>
      <w:pPr>
        <w:numPr>
          <w:ilvl w:val="0"/>
          <w:numId w:val="3"/>
        </w:numPr>
        <w:rPr>
          <w:rFonts w:hint="eastAsia"/>
          <w:sz w:val="22"/>
          <w:szCs w:val="22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指导价格：产品销售价格不得低于公司指导价格。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五、具体内容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（1）业务员收入的基本构成：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业务</w:t>
      </w:r>
      <w:r>
        <w:rPr>
          <w:rFonts w:ascii="微软雅黑" w:eastAsia="微软雅黑" w:hAnsi="微软雅黑" w:cs="微软雅黑" w:hint="default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人员薪资结构分底薪、销售提成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+绩效奖（达到业绩要求情况下）+奖励四</w:t>
      </w:r>
      <w:r>
        <w:rPr>
          <w:rFonts w:ascii="微软雅黑" w:eastAsia="微软雅黑" w:hAnsi="微软雅黑" w:cs="微软雅黑" w:hint="default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个部分（福利待遇根据公司福利计划另外发放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default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（2）</w:t>
      </w:r>
      <w:r>
        <w:rPr>
          <w:rFonts w:ascii="微软雅黑" w:eastAsia="微软雅黑" w:hAnsi="微软雅黑" w:cs="微软雅黑" w:hint="default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底薪按公司薪酬制度执行。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六、提成计算维度：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（1）回款率：100%，方可提成。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（2）销售量：按产品划分，根据公司下达基数计算。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（3）价格：执行公司定价销售，为了追求公司利益最大化，销售价格超出公司定价可按一定比例提成。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七、提成奖金发放审批流程：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按工资发放流程及财务相关规定执行。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八、提成标准：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 xml:space="preserve">（1）销售量提成： 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外贸业务 主产品：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>平衡车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：基数为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元/月，销售额在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元内，不予提成；销售额在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副产品：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  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基数为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元/月，销售额在</w:t>
      </w:r>
      <w:r>
        <w:rPr>
          <w:rFonts w:ascii="微软雅黑" w:eastAsia="微软雅黑" w:hAnsi="微软雅黑" w:cs="微软雅黑" w:hint="eastAsia"/>
          <w:b w:val="0"/>
          <w:i/>
          <w:iCs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元内，不予提成；销售额在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国内业务 主产品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：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：基数为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元/月，销售额在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元内，不予提成；销售额在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/>
          <w:bCs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副产品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：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  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基数为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 xml:space="preserve">元/月，销售额在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元内，不予提成；销售额在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元奖励。销售额在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元之间，超出销售额部分按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%计提。给予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元绩效奖，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元奖励。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（2）价格提成：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销售价格高出公司制定价格的按高出部分的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u w:val="single"/>
          <w:shd w:val="clear" w:color="auto" w:fill="FFFFFF"/>
          <w:lang w:val="en-US" w:eastAsia="zh-CN"/>
        </w:rPr>
        <w:t xml:space="preserve">         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%计提。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九、特别规定：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公司可根据市场行情变化和公司战略调整，制定有别于本提成制的、新的销售人员工资支付制度。</w:t>
      </w:r>
    </w:p>
    <w:p>
      <w:pPr>
        <w:numPr>
          <w:ilvl w:val="0"/>
          <w:numId w:val="0"/>
        </w:numPr>
        <w:rPr>
          <w:rFonts w:ascii="宋体" w:hAnsi="宋体" w:cs="宋体" w:hint="eastAsia"/>
          <w:b/>
          <w:bCs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十、附则：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（1）本方案自    年    月    日起实施。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2"/>
          <w:szCs w:val="22"/>
          <w:shd w:val="clear" w:color="auto" w:fill="FFFFFF"/>
          <w:lang w:val="en-US" w:eastAsia="zh-CN"/>
        </w:rPr>
        <w:t>（2）本方案由公司管理部门负责解释</w:t>
      </w:r>
      <w: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ascii="微软雅黑" w:eastAsia="微软雅黑" w:hAnsi="微软雅黑" w:cs="微软雅黑" w:hint="eastAsia"/>
          <w:b w:val="0"/>
          <w:i w:val="0"/>
          <w:caps w:val="0"/>
          <w:color w:val="333333"/>
          <w:spacing w:val="0"/>
          <w:sz w:val="24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708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70BB77"/>
    <w:multiLevelType w:val="singleLevel"/>
    <w:tmpl w:val="5670BB77"/>
    <w:lvl w:ilvl="0">
      <w:start w:val="1"/>
      <w:numFmt w:val="decimal"/>
      <w:suff w:val="nothing"/>
      <w:lvlText w:val="（%1）"/>
      <w:lvlJc w:val="left"/>
    </w:lvl>
  </w:abstractNum>
  <w:abstractNum w:abstractNumId="1">
    <w:nsid w:val="5670C73C"/>
    <w:multiLevelType w:val="singleLevel"/>
    <w:tmpl w:val="5670C73C"/>
    <w:lvl w:ilvl="0">
      <w:start w:val="2"/>
      <w:numFmt w:val="chineseCounting"/>
      <w:suff w:val="nothing"/>
      <w:lvlText w:val="%1、"/>
      <w:lvlJc w:val="left"/>
    </w:lvl>
  </w:abstractNum>
  <w:abstractNum w:abstractNumId="2">
    <w:nsid w:val="567101A2"/>
    <w:multiLevelType w:val="singleLevel"/>
    <w:tmpl w:val="567101A2"/>
    <w:lvl w:ilvl="0">
      <w:start w:val="1"/>
      <w:numFmt w:val="decimal"/>
      <w:suff w:val="nothing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