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before="71" w:line="184" w:lineRule="auto"/>
        <w:ind w:left="3873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656565"/>
          <w:spacing w:val="-1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银行业金融机</w:t>
      </w:r>
      <w:r>
        <w:rPr>
          <w:rFonts w:ascii="Microsoft YaHei" w:eastAsia="Microsoft YaHei" w:hAnsi="Microsoft YaHei" w:cs="Microsoft YaHei"/>
          <w:color w:val="656565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构全面风险</w:t>
      </w:r>
      <w:r>
        <w:rPr>
          <w:rFonts w:ascii="Microsoft YaHei" w:eastAsia="Microsoft YaHei" w:hAnsi="Microsoft YaHei" w:cs="Microsoft YaHei"/>
          <w:color w:val="656565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管理</w:t>
      </w:r>
      <w:r>
        <w:rPr>
          <w:rFonts w:ascii="Microsoft YaHei" w:eastAsia="Microsoft YaHei" w:hAnsi="Microsoft YaHei" w:cs="Microsoft YaHei"/>
          <w:color w:val="656565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指引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155" w:line="184" w:lineRule="auto"/>
        <w:ind w:left="653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656565"/>
          <w:spacing w:val="-1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第一</w:t>
      </w:r>
      <w:r>
        <w:rPr>
          <w:rFonts w:ascii="Microsoft YaHei" w:eastAsia="Microsoft YaHei" w:hAnsi="Microsoft YaHei" w:cs="Microsoft YaHei"/>
          <w:color w:val="656565"/>
          <w:sz w:val="36"/>
          <w:szCs w:val="36"/>
          <w14:textOutline w14:w="7620">
            <w14:solidFill>
              <w14:srgbClr w14:val="656565"/>
            </w14:solidFill>
            <w14:prstDash w14:val="solid"/>
            <w14:miter w14:lim="10"/>
          </w14:textOutline>
        </w:rPr>
        <w:t>章总则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55" w:line="364" w:lineRule="auto"/>
        <w:ind w:left="26" w:right="140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第一条为提高银行业金融机构全面风险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水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平，促进银行业体系安全稳健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运行，根据《中华人民共和国银行业监督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法》、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《中华人民共和国商业银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法》等法律法规，制定本指引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。</w:t>
      </w:r>
    </w:p>
    <w:p>
      <w:pPr>
        <w:spacing w:before="2" w:line="186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第二条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本指引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合用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于在中华人民共和国境内依法设立的银行业金融机构。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55" w:line="364" w:lineRule="auto"/>
        <w:ind w:left="24" w:right="161" w:firstLine="633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本指引所称银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行业金融机构，是指在中华人民共和国境内设立的商业银行、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农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村信用合作社等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吸收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公众存款的金融机构、政策性银行以及国家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开辟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银行。</w:t>
      </w:r>
    </w:p>
    <w:p>
      <w:pPr>
        <w:spacing w:before="3" w:line="363" w:lineRule="auto"/>
        <w:ind w:left="42" w:right="140" w:firstLine="612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第三条银行业金融机构应当建立全面风险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体系，采取定性和定量相结合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的方法，识别、计量、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评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估、监测、报告、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缓释所承担的各类风险。</w:t>
      </w:r>
    </w:p>
    <w:p>
      <w:pPr>
        <w:spacing w:before="4" w:line="363" w:lineRule="auto"/>
        <w:ind w:left="27" w:right="90" w:firstLine="625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各类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风险包括信用风险、市场风险、流动性风险、操作风险、国别风险、银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行账户利率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风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险、声誉风险、战略风险、信息科技风险以及其他风险。</w:t>
      </w:r>
    </w:p>
    <w:p>
      <w:pPr>
        <w:spacing w:before="3" w:line="363" w:lineRule="auto"/>
        <w:ind w:left="23" w:right="140" w:firstLine="63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银行业金融机构的全面风险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体系应当考虑风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险之间的关联性，审慎评估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各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类风险之间的相互影响，防范跨境、跨业风险。</w:t>
      </w:r>
    </w:p>
    <w:p>
      <w:pPr>
        <w:spacing w:before="1" w:line="18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第四条银行业金融机构全面风险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应当遵循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以下基本原则：</w:t>
      </w:r>
    </w:p>
    <w:p>
      <w:pPr>
        <w:spacing w:line="293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364" w:lineRule="auto"/>
        <w:ind w:left="23" w:right="96" w:firstLine="593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(一)匹配性原则。全面风险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体系应当与风险状况和系统重要性等相</w:t>
      </w:r>
      <w:r>
        <w:rPr>
          <w:rFonts w:ascii="Microsoft YaHei" w:eastAsia="Microsoft YaHei" w:hAnsi="Microsoft YaHei" w:cs="Microsoft YaHei"/>
          <w:color w:val="545454"/>
          <w:spacing w:val="8"/>
          <w:sz w:val="36"/>
          <w:szCs w:val="36"/>
        </w:rPr>
        <w:t>适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应，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根据环境变化进行调整。</w:t>
      </w:r>
    </w:p>
    <w:p>
      <w:pPr>
        <w:tabs>
          <w:tab w:val="left" w:pos="795"/>
        </w:tabs>
        <w:spacing w:before="6" w:line="371" w:lineRule="auto"/>
        <w:ind w:left="25" w:firstLine="59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(二)全覆盖原则。全面风险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应当覆盖各个业务条线，包括本外币、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内外、境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内外业务；覆盖所有分支机构、附属机构，部门、岗位和人员；覆盖所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有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风险种类和不同风险之间的相互影响；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贯通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决策、执行和监督全部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环节。</w:t>
      </w:r>
    </w:p>
    <w:p>
      <w:pPr>
        <w:sectPr>
          <w:pgSz w:w="17860" w:h="25258"/>
          <w:pgMar w:top="2011" w:right="2558" w:bottom="0" w:left="2678" w:header="0" w:footer="0" w:gutter="0"/>
          <w:cols w:space="708"/>
        </w:sectPr>
      </w:pPr>
    </w:p>
    <w:p>
      <w:pPr>
        <w:tabs>
          <w:tab w:val="left" w:pos="795"/>
        </w:tabs>
        <w:spacing w:before="76" w:line="363" w:lineRule="auto"/>
        <w:ind w:left="26" w:firstLine="58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(三)独立性原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则。银行业金融机构应当建立独立的全面风险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组织架构，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赋予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条线足够的授权、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人力资源及其他资源配置，建立科学合理的报告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渠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道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，与业务条线之间形成相互制衡的运行机制。</w:t>
      </w:r>
    </w:p>
    <w:p>
      <w:pPr>
        <w:tabs>
          <w:tab w:val="left" w:pos="795"/>
        </w:tabs>
        <w:spacing w:line="364" w:lineRule="auto"/>
        <w:ind w:left="26" w:right="155" w:firstLine="58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(四)有效性原则。银行业金融机构应当将全面风险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的结果应用于经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7"/>
          <w:sz w:val="36"/>
          <w:szCs w:val="36"/>
        </w:rPr>
        <w:t>，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根据风险状况、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市场和宏观经济情况评估资本和流动性的充足性，有效抵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御所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承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担的总体风险和各类风险。</w:t>
      </w:r>
    </w:p>
    <w:p>
      <w:pPr>
        <w:spacing w:line="18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第五条银行业金融机构全面风险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体系应当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包括但不限于以下要素：</w:t>
      </w:r>
    </w:p>
    <w:p>
      <w:pPr>
        <w:spacing w:line="29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(一)风险</w:t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架构</w:t>
      </w:r>
      <w:r>
        <w:rPr>
          <w:rFonts w:ascii="Microsoft YaHei" w:eastAsia="Microsoft YaHei" w:hAnsi="Microsoft YaHei" w:cs="Microsoft YaHei"/>
          <w:color w:val="545454"/>
          <w:spacing w:val="34"/>
          <w:sz w:val="36"/>
          <w:szCs w:val="36"/>
        </w:rPr>
        <w:t>；</w:t>
      </w:r>
    </w:p>
    <w:p>
      <w:pPr>
        <w:spacing w:line="308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(二)风险</w:t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策略、风险偏好和风险限额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4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7"/>
          <w:sz w:val="36"/>
          <w:szCs w:val="36"/>
        </w:rPr>
        <w:t>三)风险</w:t>
      </w:r>
      <w:r>
        <w:rPr>
          <w:rFonts w:ascii="Microsoft YaHei" w:eastAsia="Microsoft YaHei" w:hAnsi="Microsoft YaHei" w:cs="Microsoft YaHei"/>
          <w:color w:val="545454"/>
          <w:spacing w:val="2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7"/>
          <w:sz w:val="36"/>
          <w:szCs w:val="36"/>
        </w:rPr>
        <w:t>政策和程序；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(四)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信息系统和数据质量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机制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6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五)内部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和审计体系。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155" w:line="364" w:lineRule="auto"/>
        <w:ind w:left="27" w:right="58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第六条银行业金融机构应当推行稳健的风险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文化，形成与本机构相适应的风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理念、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价值准则、职业操守，建立培训、传达和监督机制，推动全体工作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人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员理解和执行。</w:t>
      </w:r>
    </w:p>
    <w:p>
      <w:pPr>
        <w:spacing w:before="4" w:line="363" w:lineRule="auto"/>
        <w:ind w:left="24" w:right="90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第七条银行业金融机构应当承担全面风险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的主体责任，建立全面风险管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理制度，保障制度执行，对全面风险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体系进行自我评估，健全自我约束机制。</w:t>
      </w:r>
    </w:p>
    <w:p>
      <w:pPr>
        <w:spacing w:before="1" w:line="18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第八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条银行业监督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机构依法对银行业金融机构全面风险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实施监管。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154" w:line="363" w:lineRule="auto"/>
        <w:ind w:left="32" w:right="198" w:firstLine="62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第九条银行业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金融机构应当按照银行业监督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机构的规定，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向公众披露全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4"/>
          <w:sz w:val="36"/>
          <w:szCs w:val="36"/>
        </w:rPr>
        <w:t>面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情况。</w:t>
      </w:r>
    </w:p>
    <w:p>
      <w:pPr>
        <w:spacing w:before="1" w:line="19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第二章</w:t>
      </w:r>
      <w:r>
        <w:rPr>
          <w:rFonts w:ascii="Microsoft YaHei" w:eastAsia="Microsoft YaHei" w:hAnsi="Microsoft YaHei" w:cs="Microsoft YaHei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sz w:val="36"/>
          <w:szCs w:val="36"/>
        </w:rPr>
        <w:t>架构</w:t>
      </w:r>
    </w:p>
    <w:p>
      <w:pPr>
        <w:sectPr>
          <w:pgSz w:w="17860" w:h="25258"/>
          <w:pgMar w:top="2009" w:right="2500" w:bottom="0" w:left="2678" w:header="0" w:footer="0" w:gutter="0"/>
          <w:cols w:space="708"/>
        </w:sectPr>
      </w:pPr>
    </w:p>
    <w:p>
      <w:pPr>
        <w:spacing w:before="70" w:line="364" w:lineRule="auto"/>
        <w:ind w:left="26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第十条银行业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金融机构应当建立组织架构健全、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职责边界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清晰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的风险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架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构，明确董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事会、监事会、高级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层、业务部门、风险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部门和内审部门在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中的职责分工，建立多层次、相互衔接、有效制衡的运行机制。</w:t>
      </w:r>
    </w:p>
    <w:p>
      <w:pPr>
        <w:spacing w:before="4" w:line="362" w:lineRule="auto"/>
        <w:ind w:left="27" w:right="140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第十一条银行业金融机构董事会承担全面风险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的最终责任，履行以下职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责</w:t>
      </w:r>
      <w:r>
        <w:rPr>
          <w:rFonts w:ascii="Microsoft YaHei" w:eastAsia="Microsoft YaHei" w:hAnsi="Microsoft YaHei" w:cs="Microsoft YaHei"/>
          <w:color w:val="545454"/>
          <w:spacing w:val="8"/>
          <w:sz w:val="36"/>
          <w:szCs w:val="36"/>
        </w:rPr>
        <w:t>：</w:t>
      </w:r>
    </w:p>
    <w:p>
      <w:pPr>
        <w:tabs>
          <w:tab w:val="left" w:pos="795"/>
        </w:tabs>
        <w:spacing w:before="2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(一)建立风险文化</w:t>
      </w:r>
      <w:r>
        <w:rPr>
          <w:rFonts w:ascii="Microsoft YaHei" w:eastAsia="Microsoft YaHei" w:hAnsi="Microsoft YaHei" w:cs="Microsoft YaHei"/>
          <w:color w:val="545454"/>
          <w:spacing w:val="34"/>
          <w:sz w:val="36"/>
          <w:szCs w:val="36"/>
        </w:rPr>
        <w:t>；</w:t>
      </w: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0"/>
          <w:sz w:val="36"/>
          <w:szCs w:val="36"/>
        </w:rPr>
        <w:t>(二)制定风险</w:t>
      </w:r>
      <w:r>
        <w:rPr>
          <w:rFonts w:ascii="Microsoft YaHei" w:eastAsia="Microsoft YaHei" w:hAnsi="Microsoft YaHei" w:cs="Microsoft YaHei"/>
          <w:color w:val="545454"/>
          <w:spacing w:val="3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30"/>
          <w:sz w:val="36"/>
          <w:szCs w:val="36"/>
        </w:rPr>
        <w:t>策略</w:t>
      </w:r>
      <w:r>
        <w:rPr>
          <w:rFonts w:ascii="Microsoft YaHei" w:eastAsia="Microsoft YaHei" w:hAnsi="Microsoft YaHei" w:cs="Microsoft YaHei"/>
          <w:color w:val="545454"/>
          <w:spacing w:val="28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(三)设定风险偏好和确保风险限额的设立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1"/>
          <w:sz w:val="36"/>
          <w:szCs w:val="36"/>
        </w:rPr>
        <w:t>四)审批重大风险</w:t>
      </w:r>
      <w:r>
        <w:rPr>
          <w:rFonts w:ascii="Microsoft YaHei" w:eastAsia="Microsoft YaHei" w:hAnsi="Microsoft YaHei" w:cs="Microsoft YaHei"/>
          <w:color w:val="545454"/>
          <w:spacing w:val="2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1"/>
          <w:sz w:val="36"/>
          <w:szCs w:val="36"/>
        </w:rPr>
        <w:t>政策和程序；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(五)监督高级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层开展全面风险</w:t>
      </w:r>
      <w:r>
        <w:rPr>
          <w:rFonts w:ascii="Microsoft YaHei" w:eastAsia="Microsoft YaHei" w:hAnsi="Microsoft YaHei" w:cs="Microsoft YaHei"/>
          <w:color w:val="545454"/>
          <w:spacing w:val="1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3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5"/>
          <w:sz w:val="36"/>
          <w:szCs w:val="36"/>
        </w:rPr>
        <w:t>六)审议全面风险</w:t>
      </w:r>
      <w:r>
        <w:rPr>
          <w:rFonts w:ascii="Microsoft YaHei" w:eastAsia="Microsoft YaHei" w:hAnsi="Microsoft YaHei" w:cs="Microsoft YaHei"/>
          <w:color w:val="545454"/>
          <w:spacing w:val="25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5"/>
          <w:sz w:val="36"/>
          <w:szCs w:val="36"/>
        </w:rPr>
        <w:t>报告；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七)审批全面风险和各类重要风险的信息披露；</w:t>
      </w:r>
    </w:p>
    <w:p>
      <w:pPr>
        <w:spacing w:line="307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364" w:lineRule="auto"/>
        <w:ind w:left="44" w:right="94" w:firstLine="57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4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八)聘任风险总监(首席风险官)</w:t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其他高级</w:t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人员，牵头负责全面风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；</w:t>
      </w:r>
    </w:p>
    <w:p>
      <w:pPr>
        <w:tabs>
          <w:tab w:val="left" w:pos="795"/>
        </w:tabs>
        <w:spacing w:before="1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6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九)其他与风险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有关的职责。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155" w:line="186" w:lineRule="auto"/>
        <w:ind w:left="65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董事会可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以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授权其下设的风险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委员会履行其全面风险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的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部份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职责。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155" w:line="364" w:lineRule="auto"/>
        <w:ind w:left="28" w:right="140" w:firstLine="625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第十二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条银行业金融机构应当建立风险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委员会与董事会下设的战略委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23"/>
          <w:sz w:val="36"/>
          <w:szCs w:val="36"/>
        </w:rPr>
        <w:t>员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会、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审计委员会、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提名委员会等其他专门委员会的沟通机制，确保信息充分共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享并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能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够支持风险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相关决策。</w:t>
      </w:r>
    </w:p>
    <w:p>
      <w:pPr>
        <w:spacing w:before="1" w:line="371" w:lineRule="auto"/>
        <w:ind w:left="26" w:right="140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第十三条银行业金融机构监事会承担全面风险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的监督责任，负责监督检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查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董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事会和高级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层在风险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方面的履职尽责情况并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催促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整改。相关监督检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查情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况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应当纳入监事会工作报告。</w:t>
      </w:r>
    </w:p>
    <w:p>
      <w:pPr>
        <w:sectPr>
          <w:pgSz w:w="17860" w:h="25258"/>
          <w:pgMar w:top="2011" w:right="2558" w:bottom="0" w:left="2678" w:header="0" w:footer="0" w:gutter="0"/>
          <w:cols w:space="708"/>
        </w:sectPr>
      </w:pPr>
    </w:p>
    <w:p>
      <w:pPr>
        <w:spacing w:before="71" w:line="364" w:lineRule="auto"/>
        <w:ind w:left="29" w:right="108" w:firstLine="62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第十四条银行业金融机构高级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层承担全面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的实施责任，执行董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事会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的决议，履行以下职责：</w:t>
      </w:r>
    </w:p>
    <w:p>
      <w:pPr>
        <w:tabs>
          <w:tab w:val="left" w:pos="795"/>
        </w:tabs>
        <w:spacing w:before="3" w:line="363" w:lineRule="auto"/>
        <w:ind w:left="28" w:firstLine="58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(一)建立适应全面风险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的经营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架构，明确全面风险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职能部门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业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务部门以及其他部门在风险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中的职责分工，建立部门之间相互协调、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有效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制衡的运行机制；</w:t>
      </w:r>
    </w:p>
    <w:p>
      <w:pPr>
        <w:tabs>
          <w:tab w:val="left" w:pos="795"/>
        </w:tabs>
        <w:spacing w:before="4" w:line="363" w:lineRule="auto"/>
        <w:ind w:left="25" w:right="63" w:firstLine="59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(二)制定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清晰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的执行和问责机制，确保风险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策略、风险偏好和风险限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额得到充分传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达和有效实施；</w:t>
      </w:r>
    </w:p>
    <w:p>
      <w:pPr>
        <w:tabs>
          <w:tab w:val="left" w:pos="795"/>
        </w:tabs>
        <w:spacing w:before="1" w:line="363" w:lineRule="auto"/>
        <w:ind w:left="25" w:right="76" w:firstLine="59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(三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)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根据董事会设定的风险偏好，制定风险限额，包括但不限于行业、区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域、客户、产品等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维度；</w:t>
      </w:r>
    </w:p>
    <w:p>
      <w:pPr>
        <w:tabs>
          <w:tab w:val="left" w:pos="795"/>
        </w:tabs>
        <w:spacing w:before="1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四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)制定风险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政策和程序，定期评估，必要时予以调整；</w:t>
      </w:r>
    </w:p>
    <w:p>
      <w:pPr>
        <w:spacing w:line="308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4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五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)评估全面风险和各类重要风险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状况并向董事会报告；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(六)建立完备的</w:t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信息系统和数据质量</w:t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机制</w:t>
      </w:r>
      <w:r>
        <w:rPr>
          <w:rFonts w:ascii="Microsoft YaHei" w:eastAsia="Microsoft YaHei" w:hAnsi="Microsoft YaHei" w:cs="Microsoft YaHei"/>
          <w:color w:val="545454"/>
          <w:spacing w:val="13"/>
          <w:sz w:val="36"/>
          <w:szCs w:val="36"/>
        </w:rPr>
        <w:t>；</w:t>
      </w:r>
    </w:p>
    <w:p>
      <w:pPr>
        <w:spacing w:line="308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364" w:lineRule="auto"/>
        <w:ind w:left="29" w:right="63" w:firstLine="58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(七)对突破风险偏好、风险限额以及违反风险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政策和程序的情况进行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监督，根据董事会的授权进行处理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；</w:t>
      </w:r>
    </w:p>
    <w:p>
      <w:pPr>
        <w:tabs>
          <w:tab w:val="left" w:pos="795"/>
        </w:tabs>
        <w:spacing w:before="2" w:line="182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6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八)风险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的其他职责。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155" w:line="364" w:lineRule="auto"/>
        <w:ind w:left="23" w:right="113" w:firstLine="63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第十五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条</w:t>
      </w:r>
      <w:r>
        <w:rPr>
          <w:rFonts w:ascii="Microsoft YaHei" w:eastAsia="Microsoft YaHei" w:hAnsi="Microsoft YaHei" w:cs="Microsoft YaHei"/>
          <w:color w:val="545454"/>
          <w:spacing w:val="5"/>
          <w:sz w:val="36"/>
          <w:szCs w:val="36"/>
        </w:rPr>
        <w:t>规模较大</w:t>
      </w:r>
      <w:r>
        <w:rPr>
          <w:rFonts w:ascii="Microsoft YaHei" w:eastAsia="Microsoft YaHei" w:hAnsi="Microsoft YaHei" w:cs="Microsoft YaHei"/>
          <w:color w:val="545454"/>
          <w:spacing w:val="5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5"/>
          <w:sz w:val="36"/>
          <w:szCs w:val="36"/>
        </w:rPr>
        <w:t>业务复杂的银行业金融机构应当设立风险总监(首席风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11"/>
          <w:sz w:val="36"/>
          <w:szCs w:val="36"/>
        </w:rPr>
        <w:t>官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)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。董事会应当将风险总监(首席风险官)纳入高级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人员。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风险总监(首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席风险官)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其他牵头负责全面风险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的高级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人员应当保持充分的独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立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性，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独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立于操作和经营条线，可以直接向董事会报告全面风险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情况。</w:t>
      </w:r>
    </w:p>
    <w:p>
      <w:pPr>
        <w:spacing w:before="4" w:line="372" w:lineRule="auto"/>
        <w:ind w:left="28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25"/>
          <w:sz w:val="36"/>
          <w:szCs w:val="36"/>
        </w:rPr>
        <w:t>调</w:t>
      </w:r>
      <w:r>
        <w:rPr>
          <w:rFonts w:ascii="Microsoft YaHei" w:eastAsia="Microsoft YaHei" w:hAnsi="Microsoft YaHei" w:cs="Microsoft YaHei"/>
          <w:color w:val="545454"/>
          <w:spacing w:val="14"/>
          <w:sz w:val="36"/>
          <w:szCs w:val="36"/>
        </w:rPr>
        <w:t>整风险总监(首席风险官)应当事先得到董事会批准，并公开披露。银行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4"/>
          <w:sz w:val="36"/>
          <w:szCs w:val="36"/>
        </w:rPr>
        <w:t>业金融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机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构应当向银行业监督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机构报告调整风险总监(首席风险官)的原因。</w:t>
      </w:r>
    </w:p>
    <w:p>
      <w:pPr>
        <w:sectPr>
          <w:pgSz w:w="17860" w:h="25258"/>
          <w:pgMar w:top="2011" w:right="2590" w:bottom="0" w:left="2678" w:header="0" w:footer="0" w:gutter="0"/>
          <w:cols w:space="708"/>
        </w:sectPr>
      </w:pPr>
    </w:p>
    <w:p>
      <w:pPr>
        <w:spacing w:before="70" w:line="364" w:lineRule="auto"/>
        <w:ind w:left="26" w:right="44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第十六条银行业金融机构应当确定业务条线承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担风险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的直接责任；风险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条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线承担制定政策和流程，监测和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风险的责任；内审部门承担业务部门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部门履职情况的审计责任。</w:t>
      </w:r>
    </w:p>
    <w:p>
      <w:pPr>
        <w:spacing w:before="3" w:line="363" w:lineRule="auto"/>
        <w:ind w:left="27" w:right="44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第十七条银行业金融机构应当设立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指定部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门负责全面风险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，牵头履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行全面风险的日常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，包括但不限于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以下职责：</w:t>
      </w:r>
    </w:p>
    <w:p>
      <w:pPr>
        <w:tabs>
          <w:tab w:val="left" w:pos="795"/>
        </w:tabs>
        <w:spacing w:before="2" w:line="182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8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一)实施全面风险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体系建设；</w:t>
      </w:r>
    </w:p>
    <w:p>
      <w:pPr>
        <w:spacing w:line="311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363" w:lineRule="auto"/>
        <w:ind w:left="26" w:firstLine="59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(二)牵头协调识别、计量、评估、监测、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缓释全面风险和各类重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风险，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及时向高级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人员报告；</w:t>
      </w:r>
    </w:p>
    <w:p>
      <w:pPr>
        <w:tabs>
          <w:tab w:val="left" w:pos="795"/>
        </w:tabs>
        <w:spacing w:before="4" w:line="363" w:lineRule="auto"/>
        <w:ind w:left="41" w:right="2" w:firstLine="575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(三)持续监控风险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策略、风险偏好、风险限额及风险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政策和程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序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4"/>
          <w:sz w:val="36"/>
          <w:szCs w:val="36"/>
        </w:rPr>
        <w:t>的执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行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情况，对突破风险偏好、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风险限额以及违反风险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政策和程序的情况及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时预警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、报告并提出处理建议；</w:t>
      </w:r>
    </w:p>
    <w:p>
      <w:pPr>
        <w:tabs>
          <w:tab w:val="left" w:pos="795"/>
        </w:tabs>
        <w:spacing w:before="2" w:line="364" w:lineRule="auto"/>
        <w:ind w:left="24" w:firstLine="59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(四)组织开展风险评估，及时发现风险隐患和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漏洞，持续提高风险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理的有效性。</w:t>
      </w:r>
    </w:p>
    <w:p>
      <w:pPr>
        <w:spacing w:before="5" w:line="363" w:lineRule="auto"/>
        <w:ind w:left="24" w:right="44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第十八条银行业金融机构应当采取必要措施，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保证全面风险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的政策流程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在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基层分支机构得到理解与执行，建立与基层分支机构风险状况相匹配的风险管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理</w:t>
      </w:r>
      <w:r>
        <w:rPr>
          <w:rFonts w:ascii="Microsoft YaHei" w:eastAsia="Microsoft YaHei" w:hAnsi="Microsoft YaHei" w:cs="Microsoft YaHei"/>
          <w:color w:val="545454"/>
          <w:spacing w:val="-13"/>
          <w:sz w:val="36"/>
          <w:szCs w:val="36"/>
        </w:rPr>
        <w:t>架构。</w:t>
      </w:r>
    </w:p>
    <w:p>
      <w:pPr>
        <w:spacing w:before="5" w:line="363" w:lineRule="auto"/>
        <w:ind w:left="26" w:right="43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在境外设有机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构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的银行业金融机构应当建立适当的境外风险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框架、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政策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和</w:t>
      </w:r>
      <w:r>
        <w:rPr>
          <w:rFonts w:ascii="Microsoft YaHei" w:eastAsia="Microsoft YaHei" w:hAnsi="Microsoft YaHei" w:cs="Microsoft YaHei"/>
          <w:color w:val="545454"/>
          <w:spacing w:val="-13"/>
          <w:sz w:val="36"/>
          <w:szCs w:val="36"/>
        </w:rPr>
        <w:t>流程。</w:t>
      </w:r>
    </w:p>
    <w:p>
      <w:pPr>
        <w:spacing w:before="1" w:line="363" w:lineRule="auto"/>
        <w:ind w:left="25" w:right="44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第十九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条银行业金融机构应当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赋予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全面风险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职能部门和各类风险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部门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充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足的资源、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独立性、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授权，保证其能够及时获得风险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所需的数据和信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息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，满足履行风险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职责的需要。</w:t>
      </w:r>
    </w:p>
    <w:p>
      <w:pPr>
        <w:spacing w:line="196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第三章</w:t>
      </w:r>
      <w:r>
        <w:rPr>
          <w:rFonts w:ascii="Microsoft YaHei" w:eastAsia="Microsoft YaHei" w:hAnsi="Microsoft YaHei" w:cs="Microsoft YaHei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sz w:val="36"/>
          <w:szCs w:val="36"/>
        </w:rPr>
        <w:t>策略、风险偏好和风险限额</w:t>
      </w:r>
    </w:p>
    <w:p>
      <w:pPr>
        <w:sectPr>
          <w:pgSz w:w="17860" w:h="25258"/>
          <w:pgMar w:top="2009" w:right="2654" w:bottom="0" w:left="2678" w:header="0" w:footer="0" w:gutter="0"/>
          <w:cols w:space="708"/>
        </w:sectPr>
      </w:pPr>
    </w:p>
    <w:p>
      <w:pPr>
        <w:spacing w:before="70" w:line="364" w:lineRule="auto"/>
        <w:ind w:left="27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第二十条银行业金融机构应当制定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清晰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的风险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策略，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至少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每年评估一次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其有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效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性。风险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策略应当反映风险偏好、风险状况以及市场和宏观经济变化，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并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在银行内部得到充分传导。</w:t>
      </w:r>
    </w:p>
    <w:p>
      <w:pPr>
        <w:spacing w:before="6" w:line="363" w:lineRule="auto"/>
        <w:ind w:left="26" w:right="54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第二十一条银行业金融机构应当制定书面的风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险偏好，做到定性指标和定量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指标并重。风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险偏好的设定应当与战略目标、经营计划、资本规划、绩效考评和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薪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酬机制衔接，在机构内传达并执行。</w:t>
      </w:r>
    </w:p>
    <w:p>
      <w:pPr>
        <w:spacing w:before="1" w:line="18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银行业金融机构应当每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年对风险偏好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至少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进行一次评估。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55" w:line="18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第二十二条银行业金融机构制定的风险偏好，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应当包括但不限于以下内容：</w:t>
      </w:r>
    </w:p>
    <w:p>
      <w:pPr>
        <w:spacing w:line="298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363" w:lineRule="auto"/>
        <w:ind w:left="29" w:right="164" w:firstLine="58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(一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)</w:t>
      </w:r>
      <w:r>
        <w:rPr>
          <w:rFonts w:ascii="Microsoft YaHei" w:eastAsia="Microsoft YaHei" w:hAnsi="Microsoft YaHei" w:cs="Microsoft YaHei"/>
          <w:color w:val="545454"/>
          <w:spacing w:val="9"/>
          <w:sz w:val="36"/>
          <w:szCs w:val="36"/>
        </w:rPr>
        <w:t>战略目标和经营计划的制定依据，风险偏好与战略目标、经营计划的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4"/>
          <w:sz w:val="36"/>
          <w:szCs w:val="36"/>
        </w:rPr>
        <w:t>关联性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；</w:t>
      </w:r>
    </w:p>
    <w:p>
      <w:pPr>
        <w:tabs>
          <w:tab w:val="left" w:pos="795"/>
        </w:tabs>
        <w:spacing w:before="2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4"/>
          <w:sz w:val="36"/>
          <w:szCs w:val="36"/>
        </w:rPr>
        <w:t>二)为实现战略目标和经营计划</w:t>
      </w:r>
      <w:r>
        <w:rPr>
          <w:rFonts w:ascii="Microsoft YaHei" w:eastAsia="Microsoft YaHei" w:hAnsi="Microsoft YaHei" w:cs="Microsoft YaHei"/>
          <w:color w:val="545454"/>
          <w:spacing w:val="14"/>
          <w:sz w:val="36"/>
          <w:szCs w:val="36"/>
        </w:rPr>
        <w:t>愿意</w:t>
      </w:r>
      <w:r>
        <w:rPr>
          <w:rFonts w:ascii="Microsoft YaHei" w:eastAsia="Microsoft YaHei" w:hAnsi="Microsoft YaHei" w:cs="Microsoft YaHei"/>
          <w:color w:val="545454"/>
          <w:spacing w:val="14"/>
          <w:sz w:val="36"/>
          <w:szCs w:val="36"/>
        </w:rPr>
        <w:t>承担的风险总量；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(三)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愿意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承担的各类风险的最大水平</w:t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；</w:t>
      </w:r>
    </w:p>
    <w:p>
      <w:pPr>
        <w:spacing w:line="304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364" w:lineRule="auto"/>
        <w:ind w:left="25" w:right="151" w:firstLine="59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(四)风险偏好的定量指标，包括利润、风险、资本、流动性以及其他相</w:t>
      </w:r>
      <w:r>
        <w:rPr>
          <w:rFonts w:ascii="Microsoft YaHei" w:eastAsia="Microsoft YaHei" w:hAnsi="Microsoft YaHei" w:cs="Microsoft YaHei"/>
          <w:color w:val="545454"/>
          <w:spacing w:val="8"/>
          <w:sz w:val="36"/>
          <w:szCs w:val="36"/>
        </w:rPr>
        <w:t>关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0"/>
          <w:sz w:val="36"/>
          <w:szCs w:val="36"/>
        </w:rPr>
        <w:t>指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标的目标值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目标区间。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上述定量指标通过风险限额、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经营计划、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绩效考评等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方式传导至业务条线、分支机构、附属机构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的安排；</w:t>
      </w:r>
    </w:p>
    <w:p>
      <w:pPr>
        <w:tabs>
          <w:tab w:val="left" w:pos="795"/>
        </w:tabs>
        <w:spacing w:before="2" w:line="363" w:lineRule="auto"/>
        <w:ind w:left="42" w:right="149" w:firstLine="57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(五)对不能定量的风险偏好的定性描述，包括承担此类风险的原因、采取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的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措施；</w:t>
      </w:r>
    </w:p>
    <w:p>
      <w:pPr>
        <w:tabs>
          <w:tab w:val="left" w:pos="795"/>
        </w:tabs>
        <w:spacing w:before="2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5"/>
          <w:sz w:val="36"/>
          <w:szCs w:val="36"/>
        </w:rPr>
        <w:t>(六)资本、流动性抵御总体风险和各类风险的水平</w:t>
      </w:r>
      <w:r>
        <w:rPr>
          <w:rFonts w:ascii="Microsoft YaHei" w:eastAsia="Microsoft YaHei" w:hAnsi="Microsoft YaHei" w:cs="Microsoft YaHei"/>
          <w:color w:val="545454"/>
          <w:spacing w:val="13"/>
          <w:sz w:val="36"/>
          <w:szCs w:val="36"/>
        </w:rPr>
        <w:t>；</w:t>
      </w:r>
    </w:p>
    <w:p>
      <w:pPr>
        <w:spacing w:line="307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3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1"/>
          <w:sz w:val="36"/>
          <w:szCs w:val="36"/>
        </w:rPr>
        <w:t>七)可能</w:t>
      </w:r>
      <w:r>
        <w:rPr>
          <w:rFonts w:ascii="Microsoft YaHei" w:eastAsia="Microsoft YaHei" w:hAnsi="Microsoft YaHei" w:cs="Microsoft YaHei"/>
          <w:color w:val="545454"/>
          <w:spacing w:val="11"/>
          <w:sz w:val="36"/>
          <w:szCs w:val="36"/>
        </w:rPr>
        <w:t>导致</w:t>
      </w:r>
      <w:r>
        <w:rPr>
          <w:rFonts w:ascii="Microsoft YaHei" w:eastAsia="Microsoft YaHei" w:hAnsi="Microsoft YaHei" w:cs="Microsoft YaHei"/>
          <w:color w:val="545454"/>
          <w:spacing w:val="11"/>
          <w:sz w:val="36"/>
          <w:szCs w:val="36"/>
        </w:rPr>
        <w:t>偏离风险偏好目标的情形和处置方法。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55" w:line="375" w:lineRule="auto"/>
        <w:ind w:left="44" w:right="195" w:firstLine="61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银行业金融机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构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应当在书面的风险偏好中明确董事会、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高级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层和首席风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官、业务条线、风险部门在制定和实施风险偏好过程中的职责。</w:t>
      </w:r>
    </w:p>
    <w:p>
      <w:pPr>
        <w:sectPr>
          <w:pgSz w:w="17860" w:h="25258"/>
          <w:pgMar w:top="2009" w:right="2504" w:bottom="0" w:left="2678" w:header="0" w:footer="0" w:gutter="0"/>
          <w:cols w:space="708"/>
        </w:sectPr>
      </w:pPr>
    </w:p>
    <w:p>
      <w:pPr>
        <w:spacing w:before="71" w:line="364" w:lineRule="auto"/>
        <w:ind w:left="26" w:right="21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第二十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三条银行业金融机构应当建立监测分析各业务条线、分支机构、附属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机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构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执行风险偏好的机制。</w:t>
      </w:r>
    </w:p>
    <w:p>
      <w:pPr>
        <w:spacing w:line="187" w:lineRule="auto"/>
        <w:ind w:left="67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当风险偏好目标被突破时，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应当及时分析原因，制定解决方案并实施。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154" w:line="364" w:lineRule="auto"/>
        <w:ind w:left="26" w:right="92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第二十四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条银行业金融机构应当建立风险偏好的调整制度。根据业务规模、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复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杂程度、风险状况的变化，对风险偏好进行调整。</w:t>
      </w:r>
    </w:p>
    <w:p>
      <w:pPr>
        <w:spacing w:before="4" w:line="363" w:lineRule="auto"/>
        <w:ind w:left="44" w:right="71" w:firstLine="60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第二十五条银行业金融机构应当制定风险限额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的政策和程序，建立风险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限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额设定、限额调整、超限额报告和处理制度。</w:t>
      </w:r>
    </w:p>
    <w:p>
      <w:pPr>
        <w:spacing w:before="3" w:line="363" w:lineRule="auto"/>
        <w:ind w:left="26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银行业金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融机构应当根据风险偏好，按照客户、行业、区域、产品等维度设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定风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险限额。风险限额应当综合考虑资本、风险集中度、流动性、交易目的等。</w:t>
      </w:r>
    </w:p>
    <w:p>
      <w:pPr>
        <w:spacing w:before="4" w:line="363" w:lineRule="auto"/>
        <w:ind w:left="27" w:right="71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职能部门应当对风险限额进行监控，并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向董事会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高级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层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报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送风险限额使用情况。</w:t>
      </w:r>
    </w:p>
    <w:p>
      <w:pPr>
        <w:spacing w:before="5" w:line="362" w:lineRule="auto"/>
        <w:ind w:left="27" w:right="71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风险限额临近监管指标限额时，银行业金融机构应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当启动相应的纠正措施和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报告程序，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采取必要的风险分散措施，并向银行业监督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机构报告。</w:t>
      </w:r>
    </w:p>
    <w:p>
      <w:pPr>
        <w:spacing w:before="2" w:line="196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第四章</w:t>
      </w:r>
      <w:r>
        <w:rPr>
          <w:rFonts w:ascii="Microsoft YaHei" w:eastAsia="Microsoft YaHei" w:hAnsi="Microsoft YaHei" w:cs="Microsoft YaHei"/>
          <w:sz w:val="36"/>
          <w:szCs w:val="36"/>
        </w:rPr>
        <w:t>风险</w:t>
      </w:r>
      <w:r>
        <w:rPr>
          <w:rFonts w:ascii="Microsoft YaHei" w:eastAsia="Microsoft YaHei" w:hAnsi="Microsoft YaHei" w:cs="Microsoft YaHei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sz w:val="36"/>
          <w:szCs w:val="36"/>
        </w:rPr>
        <w:t>政策和程序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155" w:line="363" w:lineRule="auto"/>
        <w:ind w:left="30" w:right="71" w:firstLine="623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第二十六条银行业金融机构应当制定风险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政策和程序，包括但不限于以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5"/>
          <w:sz w:val="36"/>
          <w:szCs w:val="36"/>
        </w:rPr>
        <w:t>下</w:t>
      </w:r>
      <w:r>
        <w:rPr>
          <w:rFonts w:ascii="Microsoft YaHei" w:eastAsia="Microsoft YaHei" w:hAnsi="Microsoft YaHei" w:cs="Microsoft YaHei"/>
          <w:color w:val="545454"/>
          <w:spacing w:val="3"/>
          <w:sz w:val="36"/>
          <w:szCs w:val="36"/>
        </w:rPr>
        <w:t>内容：</w:t>
      </w:r>
    </w:p>
    <w:p>
      <w:pPr>
        <w:tabs>
          <w:tab w:val="left" w:pos="795"/>
        </w:tabs>
        <w:spacing w:line="364" w:lineRule="auto"/>
        <w:ind w:left="31" w:right="25" w:firstLine="58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(一)全面风险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的方法，包括各类风险的识别、计量、评估、监测、报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告、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缓释，风险加总的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方法和程序；</w:t>
      </w:r>
    </w:p>
    <w:p>
      <w:pPr>
        <w:tabs>
          <w:tab w:val="left" w:pos="795"/>
        </w:tabs>
        <w:spacing w:before="3" w:line="182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(二)风险定性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和定量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的方法</w:t>
      </w:r>
      <w:r>
        <w:rPr>
          <w:rFonts w:ascii="Microsoft YaHei" w:eastAsia="Microsoft YaHei" w:hAnsi="Microsoft YaHei" w:cs="Microsoft YaHei"/>
          <w:color w:val="545454"/>
          <w:spacing w:val="18"/>
          <w:sz w:val="36"/>
          <w:szCs w:val="36"/>
        </w:rPr>
        <w:t>；</w:t>
      </w:r>
    </w:p>
    <w:p>
      <w:pPr>
        <w:spacing w:line="308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(三)风险</w:t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报告</w:t>
      </w:r>
      <w:r>
        <w:rPr>
          <w:rFonts w:ascii="Microsoft YaHei" w:eastAsia="Microsoft YaHei" w:hAnsi="Microsoft YaHei" w:cs="Microsoft YaHei"/>
          <w:color w:val="545454"/>
          <w:spacing w:val="34"/>
          <w:sz w:val="36"/>
          <w:szCs w:val="36"/>
        </w:rPr>
        <w:t>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36"/>
          <w:sz w:val="36"/>
          <w:szCs w:val="36"/>
        </w:rPr>
        <w:t>(四)压力测试安排</w:t>
      </w:r>
      <w:r>
        <w:rPr>
          <w:rFonts w:ascii="Microsoft YaHei" w:eastAsia="Microsoft YaHei" w:hAnsi="Microsoft YaHei" w:cs="Microsoft YaHei"/>
          <w:color w:val="545454"/>
          <w:spacing w:val="34"/>
          <w:sz w:val="36"/>
          <w:szCs w:val="36"/>
        </w:rPr>
        <w:t>；</w:t>
      </w:r>
    </w:p>
    <w:p>
      <w:pPr>
        <w:spacing w:line="305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6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6"/>
          <w:sz w:val="36"/>
          <w:szCs w:val="36"/>
        </w:rPr>
        <w:t>五)新产品、重大业务和机构变更的风险评估；</w:t>
      </w:r>
    </w:p>
    <w:p>
      <w:pPr>
        <w:sectPr>
          <w:pgSz w:w="17860" w:h="25258"/>
          <w:pgMar w:top="2009" w:right="2627" w:bottom="0" w:left="2678" w:header="0" w:footer="0" w:gutter="0"/>
          <w:cols w:space="708"/>
        </w:sectPr>
      </w:pPr>
    </w:p>
    <w:p>
      <w:pPr>
        <w:tabs>
          <w:tab w:val="left" w:pos="795"/>
        </w:tabs>
        <w:spacing w:before="75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8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六)资本和流动性充足情况评估；</w:t>
      </w:r>
    </w:p>
    <w:p>
      <w:pPr>
        <w:spacing w:line="306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4" w:line="184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6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七)应急计划和恢复计划。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154" w:line="364" w:lineRule="auto"/>
        <w:ind w:left="26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第二十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七条银行业金融机构应当在集团和法人层面对各附属机构、分支机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构、业务条线，对表内和表外、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境内和境外、本币和外币业务涉及的各类风险，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进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行识别、计量、评估、监测、报告、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缓释。</w:t>
      </w:r>
    </w:p>
    <w:p>
      <w:pPr>
        <w:spacing w:before="4" w:line="363" w:lineRule="auto"/>
        <w:ind w:left="24" w:right="90" w:firstLine="63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银行业金融机构应当制定每项业务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对应的风险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政策和程序。未制定的，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不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得开展该项业务。</w:t>
      </w:r>
    </w:p>
    <w:p>
      <w:pPr>
        <w:spacing w:before="5" w:line="363" w:lineRule="auto"/>
        <w:ind w:left="28" w:right="18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银行业金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融机构应当有效评估和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各类风险。对能够量化的风险，应当通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过风险计量技术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，加强对相关风险的计量、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、缓释；对难以量化的风险，应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当建立风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识别、评估、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和报告机制，确保相关风险得到有效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。</w:t>
      </w:r>
    </w:p>
    <w:p>
      <w:pPr>
        <w:spacing w:before="6" w:line="363" w:lineRule="auto"/>
        <w:ind w:left="27" w:right="159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第二十八条银行业金融机构应当建立风险统一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集中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的制度，确保全面风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对各类风险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的统领性、各类风险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与全面风险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政策和程序的一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致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性。</w:t>
      </w:r>
    </w:p>
    <w:p>
      <w:pPr>
        <w:spacing w:before="5" w:line="363" w:lineRule="auto"/>
        <w:ind w:left="42" w:right="108" w:firstLine="612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第二十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九条银行业金融机构应当建立风险加总的政策、程序，选取合理可行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的加总方法，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充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分考虑集中度风险及风险之间的相互影响和相互传染，确保在不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同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层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次上和总体上及时识别风险。</w:t>
      </w:r>
    </w:p>
    <w:p>
      <w:pPr>
        <w:spacing w:before="6" w:line="363" w:lineRule="auto"/>
        <w:ind w:left="29" w:right="159" w:firstLine="62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第三十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条银行业金融机构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采用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内部模型计量风险的，应当遵守相关监管要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求，确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保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风险计量的一致性、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客观性和准确性。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董事会和高级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层应当理解模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型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结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果的局限性、不确定性和模型使用的固有风险。</w:t>
      </w:r>
    </w:p>
    <w:p>
      <w:pPr>
        <w:spacing w:before="4" w:line="374" w:lineRule="auto"/>
        <w:ind w:left="25" w:right="159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第三十一条银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行业金融机构应当建立全面风险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报告制度，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明确报告的内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容、频率和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路线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。</w:t>
      </w:r>
    </w:p>
    <w:p>
      <w:pPr>
        <w:sectPr>
          <w:pgSz w:w="17860" w:h="25258"/>
          <w:pgMar w:top="2004" w:right="2540" w:bottom="0" w:left="2678" w:header="0" w:footer="0" w:gutter="0"/>
          <w:cols w:space="708"/>
        </w:sectPr>
      </w:pPr>
    </w:p>
    <w:p>
      <w:pPr>
        <w:spacing w:before="70" w:line="364" w:lineRule="auto"/>
        <w:ind w:left="26" w:firstLine="63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报告内容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至少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包括总体风险和各类风险的整体状况；风险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策略、风险偏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好和风险限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额的执行情况；风险在行业、地区、客户、产品等维度的分布；资本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和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流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动性抵御风险的能力。</w:t>
      </w:r>
    </w:p>
    <w:p>
      <w:pPr>
        <w:spacing w:before="6" w:line="363" w:lineRule="auto"/>
        <w:ind w:left="26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第三十二条银行业金融机构应当建立压力测试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体系，明确压力测试的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结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构、政策文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档、方法流程、情景设计、保障支持、验证评估以及压力测试结果运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9"/>
          <w:sz w:val="36"/>
          <w:szCs w:val="36"/>
        </w:rPr>
        <w:t>用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。</w:t>
      </w:r>
    </w:p>
    <w:p>
      <w:pPr>
        <w:spacing w:before="3" w:line="363" w:lineRule="auto"/>
        <w:ind w:left="26" w:right="140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银行业金融机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构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应当定期开展压力测试。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压力测试的开展应当覆盖各类风险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和表内外主要业务领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域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，并考虑各类风险之间的相互影响。</w:t>
      </w:r>
    </w:p>
    <w:p>
      <w:pPr>
        <w:spacing w:before="3" w:line="363" w:lineRule="auto"/>
        <w:ind w:left="51" w:right="450" w:firstLine="60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压力测试结果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应当运用于银行业金融机构的风险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和各项经营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决策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6"/>
          <w:sz w:val="36"/>
          <w:szCs w:val="36"/>
        </w:rPr>
        <w:t>中</w:t>
      </w:r>
      <w:r>
        <w:rPr>
          <w:rFonts w:ascii="Microsoft YaHei" w:eastAsia="Microsoft YaHei" w:hAnsi="Microsoft YaHei" w:cs="Microsoft YaHei"/>
          <w:color w:val="545454"/>
          <w:spacing w:val="-24"/>
          <w:sz w:val="36"/>
          <w:szCs w:val="36"/>
        </w:rPr>
        <w:t>。</w:t>
      </w:r>
    </w:p>
    <w:p>
      <w:pPr>
        <w:spacing w:before="9" w:line="363" w:lineRule="auto"/>
        <w:ind w:left="24" w:right="139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第三十三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条银行业金融机构应当建立专门的政策和流程，评估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开辟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新产品、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9"/>
          <w:sz w:val="36"/>
          <w:szCs w:val="36"/>
        </w:rPr>
        <w:t>对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现有产品进行重大改动、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拓展新的业务领域、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设立新机构、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从事重大收购和投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资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等可能带来的风险，并建立内部审批流程和退出安排。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银行业金融机构开展上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述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活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动时，应当经风险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部门审查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允许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，并经董事会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董事会指定的专门委员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会</w:t>
      </w:r>
      <w:r>
        <w:rPr>
          <w:rFonts w:ascii="Microsoft YaHei" w:eastAsia="Microsoft YaHei" w:hAnsi="Microsoft YaHei" w:cs="Microsoft YaHei"/>
          <w:color w:val="545454"/>
          <w:spacing w:val="-13"/>
          <w:sz w:val="36"/>
          <w:szCs w:val="36"/>
        </w:rPr>
        <w:t>批准。</w:t>
      </w:r>
    </w:p>
    <w:p>
      <w:pPr>
        <w:spacing w:before="3" w:line="363" w:lineRule="auto"/>
        <w:ind w:left="26" w:right="450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第三十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四条银行业金融机构应当根据风险偏好和风险状况及时评估资本和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流动性的充足情况，确保资本、流动性能够抵御风险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。</w:t>
      </w:r>
    </w:p>
    <w:p>
      <w:pPr>
        <w:spacing w:before="4" w:line="368" w:lineRule="auto"/>
        <w:ind w:left="23" w:right="140" w:firstLine="63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第三十五条银行业金融机构应当制定应急计划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，确保能够及时应对和处理紧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急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危机情况。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应急计划应当说明可能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浮现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的风险以及在压力情况(包括会严重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威胁银行生存能力的压力情景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)下应当采取的措施。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银行业金融机构的应急计划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应当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涵盖对境外分支机构和附属机构的应急安排。银行业金融机构应当定期更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新、演练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或者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测试上述计划，确保其充分性和可行性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。</w:t>
      </w:r>
    </w:p>
    <w:p>
      <w:pPr>
        <w:sectPr>
          <w:pgSz w:w="17860" w:h="25258"/>
          <w:pgMar w:top="2009" w:right="2558" w:bottom="0" w:left="2678" w:header="0" w:footer="0" w:gutter="0"/>
          <w:cols w:space="708"/>
        </w:sectPr>
      </w:pPr>
    </w:p>
    <w:p>
      <w:pPr>
        <w:spacing w:before="68" w:line="364" w:lineRule="auto"/>
        <w:ind w:left="26" w:right="140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第三十六条银行业金融机构应当按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照像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关监管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要求，根据风险状况和系统重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要性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制定并定期更新完善本机构的恢复计划，明确本机构在压力情况下能够继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续提供持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续稳定运营的各项关键性金融服务并恢复正常运营的行动方案。</w:t>
      </w:r>
    </w:p>
    <w:p>
      <w:pPr>
        <w:spacing w:before="4" w:line="363" w:lineRule="auto"/>
        <w:ind w:left="24" w:right="140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第三十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七条银行业金融机构应当制定覆盖其附属机构的风险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政策和程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序，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保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持风险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的一致性、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有效性。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银行业金融机构应当要求并确保各附属机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构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在整体风险偏好和风险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政策框架下，建立自身的风险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组织架构、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政策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流程，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促进全面风险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的一致性和有效性。</w:t>
      </w:r>
    </w:p>
    <w:p>
      <w:pPr>
        <w:spacing w:before="1" w:line="184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银行业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金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融机构应当建立健全风险隔离制度，规范内部交易，防止风险传染。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before="154" w:line="364" w:lineRule="auto"/>
        <w:ind w:left="27" w:right="140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第三十八条银行业金融机构应当制定外包风险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制度，确定与其风险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水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平相适应的外包活动范围。</w:t>
      </w:r>
    </w:p>
    <w:p>
      <w:pPr>
        <w:spacing w:before="8" w:line="363" w:lineRule="auto"/>
        <w:ind w:left="26" w:right="35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第三十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九条银行业金融机构应当将风险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策略、风险偏好、风险限额、风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政策和程序等要素与资本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、业务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相结合，在战略和经营计划制定、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4"/>
          <w:sz w:val="36"/>
          <w:szCs w:val="36"/>
        </w:rPr>
        <w:t>新</w:t>
      </w:r>
      <w:r>
        <w:rPr>
          <w:rFonts w:ascii="Microsoft YaHei" w:eastAsia="Microsoft YaHei" w:hAnsi="Microsoft YaHei" w:cs="Microsoft YaHei"/>
          <w:color w:val="545454"/>
          <w:spacing w:val="-13"/>
          <w:sz w:val="36"/>
          <w:szCs w:val="36"/>
        </w:rPr>
        <w:t>产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品审批、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内部定价、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绩效考评和薪酬激励等日常经营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中充分应用并有效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实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施。</w:t>
      </w:r>
    </w:p>
    <w:p>
      <w:pPr>
        <w:spacing w:before="1" w:line="363" w:lineRule="auto"/>
        <w:ind w:left="27" w:right="90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条银行业金融机构应当对风险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策略、风险偏好、风险限额、风险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政策和程序建立规范的文档记录。</w:t>
      </w:r>
    </w:p>
    <w:p>
      <w:pPr>
        <w:spacing w:before="2" w:line="195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第五章</w:t>
      </w:r>
      <w:r>
        <w:rPr>
          <w:rFonts w:ascii="Microsoft YaHei" w:eastAsia="Microsoft YaHei" w:hAnsi="Microsoft YaHei" w:cs="Microsoft YaHei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sz w:val="36"/>
          <w:szCs w:val="36"/>
        </w:rPr>
        <w:t>信息系统和数据质量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155" w:line="364" w:lineRule="auto"/>
        <w:ind w:left="26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第四十一条银行业金融机构应当具备完善的风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信息系统，能够在集团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和法人层面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计量、评估、展示、报告所有风险类别、产品和交易对手风险暴露的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规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模和构成。</w:t>
      </w:r>
    </w:p>
    <w:p>
      <w:pPr>
        <w:spacing w:before="5" w:line="375" w:lineRule="auto"/>
        <w:ind w:left="29" w:right="71" w:firstLine="62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第四十二条银行业金融机构相关风险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信息系统应当具备以下主要功能，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支持风险报告和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决策的需要：</w:t>
      </w:r>
    </w:p>
    <w:p>
      <w:pPr>
        <w:sectPr>
          <w:pgSz w:w="17860" w:h="25258"/>
          <w:pgMar w:top="2011" w:right="2558" w:bottom="0" w:left="2678" w:header="0" w:footer="0" w:gutter="0"/>
          <w:cols w:space="708"/>
        </w:sectPr>
      </w:pPr>
    </w:p>
    <w:p>
      <w:pPr>
        <w:tabs>
          <w:tab w:val="left" w:pos="795"/>
        </w:tabs>
        <w:spacing w:before="73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2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2"/>
          <w:sz w:val="36"/>
          <w:szCs w:val="36"/>
        </w:rPr>
        <w:t>一)支持识别、计量、评估、监测和报告所有类别的重要风险；</w:t>
      </w: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363" w:lineRule="auto"/>
        <w:ind w:left="28" w:right="116" w:firstLine="58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(二)支持风险限额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，对超出风险限额的情况进行实时监测、预警和</w:t>
      </w:r>
      <w:r>
        <w:rPr>
          <w:rFonts w:ascii="Microsoft YaHei" w:eastAsia="Microsoft YaHei" w:hAnsi="Microsoft YaHei" w:cs="Microsoft YaHei"/>
          <w:color w:val="545454"/>
          <w:spacing w:val="7"/>
          <w:sz w:val="36"/>
          <w:szCs w:val="36"/>
        </w:rPr>
        <w:t>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8"/>
          <w:sz w:val="36"/>
          <w:szCs w:val="36"/>
        </w:rPr>
        <w:t>制；</w:t>
      </w:r>
    </w:p>
    <w:p>
      <w:pPr>
        <w:tabs>
          <w:tab w:val="left" w:pos="795"/>
        </w:tabs>
        <w:spacing w:before="3" w:line="363" w:lineRule="auto"/>
        <w:ind w:left="24" w:right="90" w:firstLine="591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20"/>
          <w:sz w:val="36"/>
          <w:szCs w:val="36"/>
        </w:rPr>
        <w:t>(三</w:t>
      </w:r>
      <w:r>
        <w:rPr>
          <w:rFonts w:ascii="Microsoft YaHei" w:eastAsia="Microsoft YaHei" w:hAnsi="Microsoft YaHei" w:cs="Microsoft YaHei"/>
          <w:color w:val="545454"/>
          <w:spacing w:val="13"/>
          <w:sz w:val="36"/>
          <w:szCs w:val="36"/>
        </w:rPr>
        <w:t>)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能够计量、评估和报告所有风险类别、产品和交易对手的风险状况，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满足全面风险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需要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；</w:t>
      </w:r>
    </w:p>
    <w:p>
      <w:pPr>
        <w:tabs>
          <w:tab w:val="left" w:pos="795"/>
        </w:tabs>
        <w:spacing w:line="364" w:lineRule="auto"/>
        <w:ind w:left="24" w:right="117" w:firstLine="592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(四)支持按照业务条线、机构、资产类型、行业、地区、集中度等多个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维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2"/>
          <w:sz w:val="36"/>
          <w:szCs w:val="36"/>
        </w:rPr>
        <w:t>度展示和报告风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险暴露情况；</w:t>
      </w:r>
    </w:p>
    <w:p>
      <w:pPr>
        <w:tabs>
          <w:tab w:val="left" w:pos="795"/>
        </w:tabs>
        <w:spacing w:before="1" w:line="183" w:lineRule="auto"/>
        <w:ind w:left="61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1"/>
          <w:sz w:val="36"/>
          <w:szCs w:val="36"/>
        </w:rPr>
        <w:t>(五)支持不同频率的定期报告和压力情况下的数据加工和风险加总需求</w:t>
      </w:r>
      <w:r>
        <w:rPr>
          <w:rFonts w:ascii="Microsoft YaHei" w:eastAsia="Microsoft YaHei" w:hAnsi="Microsoft YaHei" w:cs="Microsoft YaHei"/>
          <w:color w:val="545454"/>
          <w:spacing w:val="6"/>
          <w:sz w:val="36"/>
          <w:szCs w:val="36"/>
        </w:rPr>
        <w:t>；</w:t>
      </w:r>
    </w:p>
    <w:p>
      <w:pPr>
        <w:spacing w:line="307" w:lineRule="auto"/>
        <w:rPr>
          <w:rFonts w:ascii="Arial"/>
          <w:sz w:val="21"/>
        </w:rPr>
      </w:pPr>
    </w:p>
    <w:p>
      <w:pPr>
        <w:tabs>
          <w:tab w:val="left" w:pos="795"/>
        </w:tabs>
        <w:spacing w:before="155" w:line="364" w:lineRule="auto"/>
        <w:ind w:left="26" w:right="110" w:firstLine="58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ab/>
      </w:r>
      <w:r>
        <w:rPr>
          <w:rFonts w:ascii="Microsoft YaHei" w:eastAsia="Microsoft YaHei" w:hAnsi="Microsoft YaHei" w:cs="Microsoft YaHei"/>
          <w:color w:val="545454"/>
          <w:spacing w:val="13"/>
          <w:sz w:val="36"/>
          <w:szCs w:val="36"/>
        </w:rPr>
        <w:t>(</w:t>
      </w:r>
      <w:r>
        <w:rPr>
          <w:rFonts w:ascii="Microsoft YaHei" w:eastAsia="Microsoft YaHei" w:hAnsi="Microsoft YaHei" w:cs="Microsoft YaHei"/>
          <w:color w:val="545454"/>
          <w:spacing w:val="10"/>
          <w:sz w:val="36"/>
          <w:szCs w:val="36"/>
        </w:rPr>
        <w:t>六)支持压力测试工作，评估各种不利情景对银行业金融机构及主要业务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条</w:t>
      </w:r>
      <w:r>
        <w:rPr>
          <w:rFonts w:ascii="Microsoft YaHei" w:eastAsia="Microsoft YaHei" w:hAnsi="Microsoft YaHei" w:cs="Microsoft YaHei"/>
          <w:color w:val="545454"/>
          <w:spacing w:val="-10"/>
          <w:sz w:val="36"/>
          <w:szCs w:val="36"/>
        </w:rPr>
        <w:t>线的影响。</w:t>
      </w:r>
    </w:p>
    <w:p>
      <w:pPr>
        <w:spacing w:before="4" w:line="363" w:lineRule="auto"/>
        <w:ind w:left="26" w:right="159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第四十三条银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行业金融机构应当建立与业务规模、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风险状况等相匹配的信息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科技基础设施。</w:t>
      </w:r>
    </w:p>
    <w:p>
      <w:pPr>
        <w:spacing w:before="1" w:line="363" w:lineRule="auto"/>
        <w:ind w:left="23" w:firstLine="630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四条银行业金融机构应当建立健全数据质量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机制，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积累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真实、准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1"/>
          <w:sz w:val="36"/>
          <w:szCs w:val="36"/>
        </w:rPr>
        <w:t>确、连续、完整的内部和外部数据，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用于风险识别、计量、评估、监测、报告，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以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及资本和流动性充足情况的评估。</w:t>
      </w:r>
    </w:p>
    <w:p>
      <w:pPr>
        <w:spacing w:line="19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第六章</w:t>
      </w:r>
      <w:r>
        <w:rPr>
          <w:rFonts w:ascii="Microsoft YaHei" w:eastAsia="Microsoft YaHei" w:hAnsi="Microsoft YaHei" w:cs="Microsoft YaHei"/>
          <w:sz w:val="36"/>
          <w:szCs w:val="36"/>
        </w:rPr>
        <w:t>内部</w:t>
      </w:r>
      <w:r>
        <w:rPr>
          <w:rFonts w:ascii="Microsoft YaHei" w:eastAsia="Microsoft YaHei" w:hAnsi="Microsoft YaHei" w:cs="Microsoft YaHei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sz w:val="36"/>
          <w:szCs w:val="36"/>
        </w:rPr>
        <w:t>和审计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155" w:line="364" w:lineRule="auto"/>
        <w:ind w:left="26" w:right="159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五条银行业金融机构应当合理确定各项业务活动和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活动的风险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点，采取适当的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控制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措施，执行标准统一的业务流程和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流程，确保规范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运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作。</w:t>
      </w:r>
    </w:p>
    <w:p>
      <w:pPr>
        <w:spacing w:line="375" w:lineRule="auto"/>
        <w:ind w:left="26" w:right="156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第四十六条银行业金融机构应当将全面风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险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纳入内部审计范畴，定期审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查和评价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全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面风险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的充分性和有效性。</w:t>
      </w:r>
    </w:p>
    <w:p>
      <w:pPr>
        <w:sectPr>
          <w:pgSz w:w="17860" w:h="25258"/>
          <w:pgMar w:top="2008" w:right="2540" w:bottom="0" w:left="2678" w:header="0" w:footer="0" w:gutter="0"/>
          <w:cols w:space="708"/>
        </w:sectPr>
      </w:pPr>
    </w:p>
    <w:p>
      <w:pPr>
        <w:spacing w:before="70" w:line="364" w:lineRule="auto"/>
        <w:ind w:left="26" w:right="21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银行业金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融机构内部审计活动应独立于业务经营、风险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和合规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，遵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循独立性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、客观性原则，不断提升内部审计人员的专业能力和职业操守。</w:t>
      </w:r>
    </w:p>
    <w:p>
      <w:pPr>
        <w:spacing w:before="4" w:line="363" w:lineRule="auto"/>
        <w:ind w:left="26" w:right="71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全面风险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的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内部审计报告应当直接提交董事会和监事会。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董事会应当针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1"/>
          <w:sz w:val="36"/>
          <w:szCs w:val="36"/>
        </w:rPr>
        <w:t>对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内部审计发现的问题，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催促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高级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层及时采取整改措施。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内部审计部门应当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跟踪检查整改措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施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的实施情况，并及时向董事会提交有关报告。</w:t>
      </w:r>
    </w:p>
    <w:p>
      <w:pPr>
        <w:spacing w:line="197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spacing w:val="-1"/>
          <w:sz w:val="36"/>
          <w:szCs w:val="36"/>
        </w:rPr>
        <w:t>第七章</w:t>
      </w:r>
      <w:r>
        <w:rPr>
          <w:rFonts w:ascii="Microsoft YaHei" w:eastAsia="Microsoft YaHei" w:hAnsi="Microsoft YaHei" w:cs="Microsoft YaHei"/>
          <w:sz w:val="36"/>
          <w:szCs w:val="36"/>
        </w:rPr>
        <w:t>监督</w:t>
      </w:r>
      <w:r>
        <w:rPr>
          <w:rFonts w:ascii="Microsoft YaHei" w:eastAsia="Microsoft YaHei" w:hAnsi="Microsoft YaHei" w:cs="Microsoft YaHei"/>
          <w:sz w:val="36"/>
          <w:szCs w:val="36"/>
        </w:rPr>
        <w:t>管理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155" w:line="364" w:lineRule="auto"/>
        <w:ind w:left="26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七条银行业金融机构应当将风险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策略、风险偏好、重大风险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政策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和程序等报送银行业监督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机构，并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至少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按年度报送全面风险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报告。</w:t>
      </w:r>
    </w:p>
    <w:p>
      <w:pPr>
        <w:spacing w:line="364" w:lineRule="auto"/>
        <w:ind w:left="26" w:right="71" w:firstLine="628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八条银行业监督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机构应当将银行业金融机构全面风险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纳入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法</w:t>
      </w:r>
      <w:r>
        <w:rPr>
          <w:rFonts w:ascii="Microsoft YaHei" w:eastAsia="Microsoft YaHei" w:hAnsi="Microsoft YaHei" w:cs="Microsoft YaHei"/>
          <w:color w:val="545454"/>
          <w:spacing w:val="-5"/>
          <w:sz w:val="36"/>
          <w:szCs w:val="36"/>
        </w:rPr>
        <w:t>人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监管体系中，并根据本指引全面评估银行业金融机构风险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体系的健全性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和有效性，提出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监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管意见，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催促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银行业金融机构持续加以完善。</w:t>
      </w:r>
    </w:p>
    <w:p>
      <w:pPr>
        <w:spacing w:before="3" w:line="363" w:lineRule="auto"/>
        <w:ind w:left="27" w:right="75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第四十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九条银行业监督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机构通过非现场监管和现场检查等实施对银行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12"/>
          <w:sz w:val="36"/>
          <w:szCs w:val="36"/>
        </w:rPr>
        <w:t>业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金融机构全面风险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的持续监管，具体方式包括但不限于监管评级、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7"/>
          <w:sz w:val="36"/>
          <w:szCs w:val="36"/>
        </w:rPr>
        <w:t>风险提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示、现场检查、监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管通报、监管会谈、与内外部审计师会谈等。</w:t>
      </w:r>
    </w:p>
    <w:p>
      <w:pPr>
        <w:spacing w:before="4" w:line="363" w:lineRule="auto"/>
        <w:ind w:left="24" w:right="71" w:firstLine="629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第五十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条银行业监督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机构应当就全面风险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情况与银行业金融机构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董事</w:t>
      </w:r>
      <w:r>
        <w:rPr>
          <w:rFonts w:ascii="Microsoft YaHei" w:eastAsia="Microsoft YaHei" w:hAnsi="Microsoft YaHei" w:cs="Microsoft YaHei"/>
          <w:color w:val="545454"/>
          <w:spacing w:val="-15"/>
          <w:sz w:val="36"/>
          <w:szCs w:val="36"/>
        </w:rPr>
        <w:t>会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监事会、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高级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9"/>
          <w:sz w:val="36"/>
          <w:szCs w:val="36"/>
        </w:rPr>
        <w:t>层等进行充分沟通，并视情况在银行业金融机构董事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会、监事会会议上通报。</w:t>
      </w:r>
    </w:p>
    <w:p>
      <w:pPr>
        <w:spacing w:before="5" w:line="363" w:lineRule="auto"/>
        <w:ind w:left="26" w:right="75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第五十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一条对不能满足本指引及其他规范性文件中关于全面风险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要求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 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的银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业金融机构，银行业监督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机构可以要求其制定整改方案，责令限期改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8"/>
          <w:sz w:val="36"/>
          <w:szCs w:val="36"/>
        </w:rPr>
        <w:t>正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，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并视情况采取相应的监管措施。</w:t>
      </w:r>
    </w:p>
    <w:p>
      <w:pPr>
        <w:spacing w:line="184" w:lineRule="auto"/>
        <w:ind w:left="65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第八章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附则</w:t>
      </w:r>
    </w:p>
    <w:p>
      <w:pPr>
        <w:sectPr>
          <w:pgSz w:w="17860" w:h="25258"/>
          <w:pgMar w:top="2007" w:right="2627" w:bottom="0" w:left="2678" w:header="0" w:footer="0" w:gutter="0"/>
          <w:cols w:space="708"/>
        </w:sectPr>
      </w:pPr>
    </w:p>
    <w:p>
      <w:pPr>
        <w:spacing w:before="73" w:line="363" w:lineRule="auto"/>
        <w:ind w:left="26" w:right="330" w:firstLine="627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第五十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二条各类具体风险的监管要求按照银行业监督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机构的有关规定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执</w:t>
      </w:r>
      <w:r>
        <w:rPr>
          <w:rFonts w:ascii="Microsoft YaHei" w:eastAsia="Microsoft YaHei" w:hAnsi="Microsoft YaHei" w:cs="Microsoft YaHei"/>
          <w:color w:val="545454"/>
          <w:spacing w:val="-16"/>
          <w:sz w:val="36"/>
          <w:szCs w:val="36"/>
        </w:rPr>
        <w:t>行。</w:t>
      </w:r>
    </w:p>
    <w:p>
      <w:pPr>
        <w:spacing w:before="4" w:line="363" w:lineRule="auto"/>
        <w:ind w:left="27" w:right="330" w:firstLine="626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1"/>
          <w:sz w:val="36"/>
          <w:szCs w:val="36"/>
        </w:rPr>
        <w:t>第五十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三条经银行业监督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管理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>机构批准设立的其他金融机构参照本指引执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0"/>
          <w:sz w:val="36"/>
          <w:szCs w:val="36"/>
        </w:rPr>
        <w:t>行</w:t>
      </w:r>
      <w:r>
        <w:rPr>
          <w:rFonts w:ascii="Microsoft YaHei" w:eastAsia="Microsoft YaHei" w:hAnsi="Microsoft YaHei" w:cs="Microsoft YaHei"/>
          <w:color w:val="545454"/>
          <w:spacing w:val="-18"/>
          <w:sz w:val="36"/>
          <w:szCs w:val="36"/>
        </w:rPr>
        <w:t>。</w:t>
      </w:r>
    </w:p>
    <w:p>
      <w:pPr>
        <w:spacing w:before="4" w:line="374" w:lineRule="auto"/>
        <w:ind w:left="29" w:right="106" w:firstLine="624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第五十四条本指引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自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2022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年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11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月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1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2"/>
          <w:sz w:val="36"/>
          <w:szCs w:val="36"/>
        </w:rPr>
        <w:t>日起施行。本指引实施前已有规范性</w:t>
      </w:r>
      <w:r>
        <w:rPr>
          <w:rFonts w:ascii="Microsoft YaHei" w:eastAsia="Microsoft YaHei" w:hAnsi="Microsoft YaHei" w:cs="Microsoft YaHei"/>
          <w:color w:val="545454"/>
          <w:sz w:val="36"/>
          <w:szCs w:val="36"/>
        </w:rPr>
        <w:t xml:space="preserve"> </w:t>
      </w:r>
      <w:r>
        <w:rPr>
          <w:rFonts w:ascii="Microsoft YaHei" w:eastAsia="Microsoft YaHei" w:hAnsi="Microsoft YaHei" w:cs="Microsoft YaHei"/>
          <w:color w:val="545454"/>
          <w:spacing w:val="-6"/>
          <w:sz w:val="36"/>
          <w:szCs w:val="36"/>
        </w:rPr>
        <w:t>文件如与</w:t>
      </w:r>
      <w:r>
        <w:rPr>
          <w:rFonts w:ascii="Microsoft YaHei" w:eastAsia="Microsoft YaHei" w:hAnsi="Microsoft YaHei" w:cs="Microsoft YaHei"/>
          <w:color w:val="545454"/>
          <w:spacing w:val="-4"/>
          <w:sz w:val="36"/>
          <w:szCs w:val="36"/>
        </w:rPr>
        <w:t>本</w:t>
      </w:r>
      <w:r>
        <w:rPr>
          <w:rFonts w:ascii="Microsoft YaHei" w:eastAsia="Microsoft YaHei" w:hAnsi="Microsoft YaHei" w:cs="Microsoft YaHei"/>
          <w:color w:val="545454"/>
          <w:spacing w:val="-3"/>
          <w:sz w:val="36"/>
          <w:szCs w:val="36"/>
        </w:rPr>
        <w:t>指引不一致的，按照本指引执行。</w:t>
      </w:r>
    </w:p>
    <w:sectPr>
      <w:pgSz w:w="17860" w:h="25258"/>
      <w:pgMar w:top="2010" w:right="2678" w:bottom="0" w:left="267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4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spaceForUL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="Arial"/>
        <w:snapToGrid w:val="0"/>
        <w:color w:val="000000"/>
        <w:kern w:val="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noProof/>
      <w:snapToGrid w:val="0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2023-03-07T21:23:21Z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2023-03-12T22:53:21Z</vt:filetime>
  </property>
  <property fmtid="{D5CDD505-2E9C-101B-9397-08002B2CF9AE}" pid="3" name="CRO">
    <vt:lpwstr>wqlLaW5nc29mdCBQREYgdG8gV1BTIDgw</vt:lpwstr>
  </property>
  <property fmtid="{D5CDD505-2E9C-101B-9397-08002B2CF9AE}" pid="4" name="UsrData">
    <vt:lpwstr>640de7584e2c48c83f92a150</vt:lpwstr>
  </property>
</Properties>
</file>