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捐赠物资完整流程与追溯、推荐功能实现说明</w:t>
      </w:r>
    </w:p>
    <w:p>
      <w:r>
        <w:t xml:space="preserve">生成时间：2026-05-10 15:06:13</w:t>
      </w:r>
    </w:p>
    <w:p>
      <w:r>
        <w:t xml:space="preserve">本文结合当前项目代码、答辩/论文思路文档进行整理，重点说明公益捐赠物资管理系统中捐赠、验收、申领、出库、接收、使用/异议反馈的完整业务闭环，以及追溯查询和智能推荐功能的具体实现。</w:t>
      </w:r>
    </w:p>
    <w:p>
      <w:pPr>
        <w:pStyle w:val="Heading1"/>
      </w:pPr>
      <w:r>
        <w:t xml:space="preserve">一、系统业务主线</w:t>
      </w:r>
    </w:p>
    <w:p>
      <w:r>
        <w:t xml:space="preserve">系统围绕公益物资从捐赠人提交到接收机构使用反馈的全过程展开。核心数据链路为：捐赠物资 -&gt; 验收记录 -&gt; 物资信息库存 -&gt; 物资申领 -&gt; 出库分拨 -&gt; 接收信息 -&gt; 使用反馈/异议反馈。系统通过两个关键编号保持流程连续：捐赠编号 juanzengbianhao 用于串联捐赠、验收、库存和申领；申领编号 shenlingbianhao 用于串联申领、出库、接收和反馈。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  <w:shd w:fill="D9EAF7"/>
          </w:tcPr>
          <w:p>
            <w:r>
              <w:t xml:space="preserve">环节</w:t>
            </w:r>
          </w:p>
        </w:tc>
        <w:tc>
          <w:tcPr>
            <w:tcW w:w="3000" w:type="dxa"/>
            <w:shd w:fill="D9EAF7"/>
          </w:tcPr>
          <w:p>
            <w:r>
              <w:t xml:space="preserve">主要数据表/实体</w:t>
            </w:r>
          </w:p>
        </w:tc>
        <w:tc>
          <w:tcPr>
            <w:tcW w:w="3000" w:type="dxa"/>
            <w:shd w:fill="D9EAF7"/>
          </w:tcPr>
          <w:p>
            <w:r>
              <w:t xml:space="preserve">关键编号</w:t>
            </w:r>
          </w:p>
        </w:tc>
        <w:tc>
          <w:tcPr>
            <w:tcW w:w="3000" w:type="dxa"/>
            <w:shd w:fill="D9EAF7"/>
          </w:tcPr>
          <w:p>
            <w:r>
              <w:t xml:space="preserve">主要使用者</w:t>
            </w:r>
          </w:p>
        </w:tc>
      </w:tr>
      <w:tr>
        <w:tc>
          <w:tcPr>
            <w:tcW w:w="3000" w:type="dxa"/>
          </w:tcPr>
          <w:p>
            <w:r>
              <w:t xml:space="preserve">捐赠</w:t>
            </w:r>
          </w:p>
        </w:tc>
        <w:tc>
          <w:tcPr>
            <w:tcW w:w="3000" w:type="dxa"/>
          </w:tcPr>
          <w:p>
            <w:r>
              <w:t xml:space="preserve">JuanzengwuziEntity / juanzengwuzi</w:t>
            </w:r>
          </w:p>
        </w:tc>
        <w:tc>
          <w:tcPr>
            <w:tcW w:w="3000" w:type="dxa"/>
          </w:tcPr>
          <w:p>
            <w:r>
              <w:t xml:space="preserve">juanzengbianhao</w:t>
            </w:r>
          </w:p>
        </w:tc>
        <w:tc>
          <w:tcPr>
            <w:tcW w:w="3000" w:type="dxa"/>
          </w:tcPr>
          <w:p>
            <w:r>
              <w:t xml:space="preserve">捐赠人、管理员</w:t>
            </w:r>
          </w:p>
        </w:tc>
      </w:tr>
      <w:tr>
        <w:tc>
          <w:tcPr>
            <w:tcW w:w="3000" w:type="dxa"/>
          </w:tcPr>
          <w:p>
            <w:r>
              <w:t xml:space="preserve">验收</w:t>
            </w:r>
          </w:p>
        </w:tc>
        <w:tc>
          <w:tcPr>
            <w:tcW w:w="3000" w:type="dxa"/>
          </w:tcPr>
          <w:p>
            <w:r>
              <w:t xml:space="preserve">YanshoujiluEntity / yanshoujilu</w:t>
            </w:r>
          </w:p>
        </w:tc>
        <w:tc>
          <w:tcPr>
            <w:tcW w:w="3000" w:type="dxa"/>
          </w:tcPr>
          <w:p>
            <w:r>
              <w:t xml:space="preserve">juanzengbianhao</w:t>
            </w:r>
          </w:p>
        </w:tc>
        <w:tc>
          <w:tcPr>
            <w:tcW w:w="3000" w:type="dxa"/>
          </w:tcPr>
          <w:p>
            <w:r>
              <w:t xml:space="preserve">管理员</w:t>
            </w:r>
          </w:p>
        </w:tc>
      </w:tr>
      <w:tr>
        <w:tc>
          <w:tcPr>
            <w:tcW w:w="3000" w:type="dxa"/>
          </w:tcPr>
          <w:p>
            <w:r>
              <w:t xml:space="preserve">库存</w:t>
            </w:r>
          </w:p>
        </w:tc>
        <w:tc>
          <w:tcPr>
            <w:tcW w:w="3000" w:type="dxa"/>
          </w:tcPr>
          <w:p>
            <w:r>
              <w:t xml:space="preserve">WuzixinxiEntity / wuzixinxi</w:t>
            </w:r>
          </w:p>
        </w:tc>
        <w:tc>
          <w:tcPr>
            <w:tcW w:w="3000" w:type="dxa"/>
          </w:tcPr>
          <w:p>
            <w:r>
              <w:t xml:space="preserve">juanzengbianhao</w:t>
            </w:r>
          </w:p>
        </w:tc>
        <w:tc>
          <w:tcPr>
            <w:tcW w:w="3000" w:type="dxa"/>
          </w:tcPr>
          <w:p>
            <w:r>
              <w:t xml:space="preserve">管理员、接收机构</w:t>
            </w:r>
          </w:p>
        </w:tc>
      </w:tr>
      <w:tr>
        <w:tc>
          <w:tcPr>
            <w:tcW w:w="3000" w:type="dxa"/>
          </w:tcPr>
          <w:p>
            <w:r>
              <w:t xml:space="preserve">申领</w:t>
            </w:r>
          </w:p>
        </w:tc>
        <w:tc>
          <w:tcPr>
            <w:tcW w:w="3000" w:type="dxa"/>
          </w:tcPr>
          <w:p>
            <w:r>
              <w:t xml:space="preserve">WuzishenlingEntity / wuzishenling</w:t>
            </w:r>
          </w:p>
        </w:tc>
        <w:tc>
          <w:tcPr>
            <w:tcW w:w="3000" w:type="dxa"/>
          </w:tcPr>
          <w:p>
            <w:r>
              <w:t xml:space="preserve">juanzengbianhao、shenlingbianhao</w:t>
            </w:r>
          </w:p>
        </w:tc>
        <w:tc>
          <w:tcPr>
            <w:tcW w:w="3000" w:type="dxa"/>
          </w:tcPr>
          <w:p>
            <w:r>
              <w:t xml:space="preserve">接收机构、管理员</w:t>
            </w:r>
          </w:p>
        </w:tc>
      </w:tr>
      <w:tr>
        <w:tc>
          <w:tcPr>
            <w:tcW w:w="3000" w:type="dxa"/>
          </w:tcPr>
          <w:p>
            <w:r>
              <w:t xml:space="preserve">出库</w:t>
            </w:r>
          </w:p>
        </w:tc>
        <w:tc>
          <w:tcPr>
            <w:tcW w:w="3000" w:type="dxa"/>
          </w:tcPr>
          <w:p>
            <w:r>
              <w:t xml:space="preserve">ChukufenboEntity / chukufenbo</w:t>
            </w:r>
          </w:p>
        </w:tc>
        <w:tc>
          <w:tcPr>
            <w:tcW w:w="3000" w:type="dxa"/>
          </w:tcPr>
          <w:p>
            <w:r>
              <w:t xml:space="preserve">shenlingbianhao</w:t>
            </w:r>
          </w:p>
        </w:tc>
        <w:tc>
          <w:tcPr>
            <w:tcW w:w="3000" w:type="dxa"/>
          </w:tcPr>
          <w:p>
            <w:r>
              <w:t xml:space="preserve">管理员</w:t>
            </w:r>
          </w:p>
        </w:tc>
      </w:tr>
      <w:tr>
        <w:tc>
          <w:tcPr>
            <w:tcW w:w="3000" w:type="dxa"/>
          </w:tcPr>
          <w:p>
            <w:r>
              <w:t xml:space="preserve">接收</w:t>
            </w:r>
          </w:p>
        </w:tc>
        <w:tc>
          <w:tcPr>
            <w:tcW w:w="3000" w:type="dxa"/>
          </w:tcPr>
          <w:p>
            <w:r>
              <w:t xml:space="preserve">JieshouxinxiEntity / jieshouxinxi</w:t>
            </w:r>
          </w:p>
        </w:tc>
        <w:tc>
          <w:tcPr>
            <w:tcW w:w="3000" w:type="dxa"/>
          </w:tcPr>
          <w:p>
            <w:r>
              <w:t xml:space="preserve">shenlingbianhao</w:t>
            </w:r>
          </w:p>
        </w:tc>
        <w:tc>
          <w:tcPr>
            <w:tcW w:w="3000" w:type="dxa"/>
          </w:tcPr>
          <w:p>
            <w:r>
              <w:t xml:space="preserve">接收机构、管理员</w:t>
            </w:r>
          </w:p>
        </w:tc>
      </w:tr>
      <w:tr>
        <w:tc>
          <w:tcPr>
            <w:tcW w:w="3000" w:type="dxa"/>
          </w:tcPr>
          <w:p>
            <w:r>
              <w:t xml:space="preserve">反馈</w:t>
            </w:r>
          </w:p>
        </w:tc>
        <w:tc>
          <w:tcPr>
            <w:tcW w:w="3000" w:type="dxa"/>
          </w:tcPr>
          <w:p>
            <w:r>
              <w:t xml:space="preserve">ShiyongfankuiEntity、YiyifankuiEntity</w:t>
            </w:r>
          </w:p>
        </w:tc>
        <w:tc>
          <w:tcPr>
            <w:tcW w:w="3000" w:type="dxa"/>
          </w:tcPr>
          <w:p>
            <w:r>
              <w:t xml:space="preserve">shenlingbianhao</w:t>
            </w:r>
          </w:p>
        </w:tc>
        <w:tc>
          <w:tcPr>
            <w:tcW w:w="3000" w:type="dxa"/>
          </w:tcPr>
          <w:p>
            <w:r>
              <w:t xml:space="preserve">接收机构、管理员</w:t>
            </w:r>
          </w:p>
        </w:tc>
      </w:tr>
    </w:tbl>
    <w:p>
      <w:pPr>
        <w:pStyle w:val="Heading1"/>
      </w:pPr>
      <w:r>
        <w:t xml:space="preserve">二、完整流程如何实现</w:t>
      </w:r>
    </w:p>
    <w:p>
      <w:pPr>
        <w:pStyle w:val="Heading2"/>
      </w:pPr>
      <w:r>
        <w:t xml:space="preserve">1. 捐赠登记</w:t>
      </w:r>
    </w:p>
    <w:p>
      <w:r>
        <w:t xml:space="preserve">捐赠人登录后在前台捐赠物资页面填写物资名称、类型、规格、数量、图片、说明等信息。新增捐赠时前端在表单中生成或携带捐赠编号 juanzengbianhao，后端 JuanzengwuziController 的 save/add 方法保存捐赠记录。管理员端可以在捐赠物资管理列表中查看和审核，审核状态字段 sfsh 用于表示捐赠信息是否通过。</w:t>
      </w:r>
    </w:p>
    <w:p>
      <w:r>
        <w:t xml:space="preserve">· 前端位置：front/src/pages/juanzengwuzi，admin/src/views/modules/juanzengwuzi。</w:t>
      </w:r>
    </w:p>
    <w:p>
      <w:r>
        <w:t xml:space="preserve">· 后端位置：JuanzengwuziController、JuanzengwuziService、JuanzengwuziDao、JuanzengwuziDao.xml、JuanzengwuziEntity。</w:t>
      </w:r>
    </w:p>
    <w:p>
      <w:r>
        <w:t xml:space="preserve">· 关键方法：save、add、page、list、info、detail、update、shBatch、delete。</w:t>
      </w:r>
    </w:p>
    <w:p>
      <w:pPr>
        <w:pStyle w:val="Heading2"/>
      </w:pPr>
      <w:r>
        <w:t xml:space="preserve">2. 捐赠审核与验收</w:t>
      </w:r>
    </w:p>
    <w:p>
      <w:r>
        <w:t xml:space="preserve">管理员审核捐赠记录后，可对物资进行验收。验收环节保存验收记录，同时把验收合格的物资转换为库存物资信息。YanshoujiluController 中的 accept 方法接收 juanzengwuziId 和验收记录对象，先校验捐赠物资是否存在、是否已验收，再保存验收记录。随后调用 insertWuzixinxi 方法，根据验收记录生成 WuzixinxiEntity，把捐赠编号、物资名称、种类、规格、数量、图片、有效期等字段写入库存表，并把捐赠物资的 yanshouzhuangtai 更新为“已验收”。这样捐赠记录完成向库存记录的转换。</w:t>
      </w:r>
    </w:p>
    <w:p>
      <w:r>
        <w:t xml:space="preserve">· 前端位置：front/src/pages/yanshoujilu/add.vue，admin/src/views/modules/yanshoujilu/add-or-update.vue。</w:t>
      </w:r>
    </w:p>
    <w:p>
      <w:r>
        <w:t xml:space="preserve">· 后端位置：YanshoujiluController、YanshoujiluService、WuzixinxiService、JuanzengwuziService。</w:t>
      </w:r>
    </w:p>
    <w:p>
      <w:r>
        <w:t xml:space="preserve">· 关键方法：accept、insertWuzixinxi、save、add、page、list、info、detail。</w:t>
      </w:r>
    </w:p>
    <w:p>
      <w:pPr>
        <w:pStyle w:val="Heading2"/>
      </w:pPr>
      <w:r>
        <w:t xml:space="preserve">3. 物资库存形成</w:t>
      </w:r>
    </w:p>
    <w:p>
      <w:r>
        <w:t xml:space="preserve">验收通过后生成的物资信息进入 wuzixinxi 模块，作为接收机构可申领的库存来源。WuzixinxiController 提供普通分页 page/list，也提供接收机构专用的 page/jg。page/jg 只查询 wuzishuliang 大于 0 且 baozhiqi 未过期的记录，保证接收机构看到的是当前可申领、可使用的物资。</w:t>
      </w:r>
    </w:p>
    <w:p>
      <w:r>
        <w:t xml:space="preserve">· 前端位置：front/src/pages/wuzixinxi，admin/src/views/modules/wuzixinxi。</w:t>
      </w:r>
    </w:p>
    <w:p>
      <w:r>
        <w:t xml:space="preserve">· 后端位置：WuzixinxiController、WuzixinxiService、WuzixinxiDao、WuzixinxiDao.xml、WuzixinxiEntity。</w:t>
      </w:r>
    </w:p>
    <w:p>
      <w:r>
        <w:t xml:space="preserve">· 关键方法：page、pageJg、list、detail、intelligentRecommend。</w:t>
      </w:r>
    </w:p>
    <w:p>
      <w:pPr>
        <w:pStyle w:val="Heading2"/>
      </w:pPr>
      <w:r>
        <w:t xml:space="preserve">4. 接收机构申领</w:t>
      </w:r>
    </w:p>
    <w:p>
      <w:r>
        <w:t xml:space="preserve">接收机构在物资信息列表中选择物资进行申领。前端通过跨表操作把 wuzixinxi 当前物资对象写入 localStorage 的 crossTable/crossObj，再跳转到 wuzishenlingAdd 页面。后端 WuzishenlingController 的 save/add/update 会调用 prepareByDonationNo 统一校验申领数据：申领数量必须大于 0；必须能根据 wuzixinxiid、juanzengbianhao 或物资名称等信息找到有效库存；物资不能过期；库存数量必须满足申领数量。校验通过后，系统把库存中的捐赠编号、物资名称、种类、规格、图片等字段同步写入申领记录，并保存申领编号 shenlingbianhao。管理员可以通过 shBatch 审核申领记录。</w:t>
      </w:r>
    </w:p>
    <w:p>
      <w:r>
        <w:t xml:space="preserve">· 前端位置：front/src/pages/wuzixinxi/list.vue、front/src/pages/wuzishenling/add.vue，admin/src/views/modules/wuzishenling。</w:t>
      </w:r>
    </w:p>
    <w:p>
      <w:r>
        <w:t xml:space="preserve">· 后端位置：WuzishenlingController、WuzishenlingService、WuzixinxiService。</w:t>
      </w:r>
    </w:p>
    <w:p>
      <w:r>
        <w:t xml:space="preserve">· 关键方法：prepareByDonationNo、findWuzixinxi、findWuzixinxiByDonationNo、add、save、update、shBatch。</w:t>
      </w:r>
    </w:p>
    <w:p>
      <w:pPr>
        <w:pStyle w:val="Heading2"/>
      </w:pPr>
      <w:r>
        <w:t xml:space="preserve">5. 出库分拨</w:t>
      </w:r>
    </w:p>
    <w:p>
      <w:r>
        <w:t xml:space="preserve">管理员根据审核通过的申领记录进行出库分拨。出库页面通过申领编号 shenlingbianhao 选择或关联申领记录，并利用 follow/wuzishenling/shenlingbianhao 获取申领详情自动回填物资信息。出库保存后，前端会调用通用接口 updateColumn/wuzishenling/1，把对应申领记录的 chukuzhuangtai 更新为“已出库”。出库记录本身保存在 chukufenbo 表中，后续追溯时按照 shenlingbianhao 查询。</w:t>
      </w:r>
    </w:p>
    <w:p>
      <w:r>
        <w:t xml:space="preserve">· 前端位置：admin/src/views/modules/chukufenbo/add-or-update.vue，front/src/pages/chukufenbo。</w:t>
      </w:r>
    </w:p>
    <w:p>
      <w:r>
        <w:t xml:space="preserve">· 后端位置：ChukufenboController、ChukufenboService、CommonController。</w:t>
      </w:r>
    </w:p>
    <w:p>
      <w:r>
        <w:t xml:space="preserve">· 关键方法：save、add、update、delete、getOption、getFollowByOption、updateColumn。</w:t>
      </w:r>
    </w:p>
    <w:p>
      <w:pPr>
        <w:pStyle w:val="Heading2"/>
      </w:pPr>
      <w:r>
        <w:t xml:space="preserve">6. 接收确认</w:t>
      </w:r>
    </w:p>
    <w:p>
      <w:r>
        <w:t xml:space="preserve">接收机构收到物资后填写接收信息。接收信息同样以 shenlingbianhao 作为业务关联字段，记录签收时间、签收数量、出库单等内容。该模块保存后形成 jieshouxinxi 记录，追溯查询会根据申领编号查询对应接收记录，判断该申领分支是否已完成接收。</w:t>
      </w:r>
    </w:p>
    <w:p>
      <w:r>
        <w:t xml:space="preserve">· 前端位置：front/src/pages/jieshouxinxi，admin/src/views/modules/jieshouxinxi。</w:t>
      </w:r>
    </w:p>
    <w:p>
      <w:r>
        <w:t xml:space="preserve">· 后端位置：JieshouxinxiController、JieshouxinxiService、JieshouxinxiDao、JieshouxinxiDao.xml、JieshouxinxiEntity。</w:t>
      </w:r>
    </w:p>
    <w:p>
      <w:r>
        <w:t xml:space="preserve">· 关键方法：save、add、page、list、info、detail、update、delete。</w:t>
      </w:r>
    </w:p>
    <w:p>
      <w:pPr>
        <w:pStyle w:val="Heading2"/>
      </w:pPr>
      <w:r>
        <w:t xml:space="preserve">7. 使用反馈与异议反馈</w:t>
      </w:r>
    </w:p>
    <w:p>
      <w:r>
        <w:t xml:space="preserve">物资接收后，接收机构可以提交使用反馈，说明物资投入使用情况、使用人数、反馈时间等。若物资数量、质量、物流或使用结果存在问题，则可以提交异议反馈。使用反馈和异议反馈都以 shenlingbianhao 关联申领分支。管理员端可查看反馈记录，并对异议反馈通过 shBatch 进行审核和回复。</w:t>
      </w:r>
    </w:p>
    <w:p>
      <w:r>
        <w:t xml:space="preserve">· 前端位置：front/src/pages/shiyongfankui、front/src/pages/yiyifankui，admin/src/views/modules/shiyongfankui、admin/src/views/modules/yiyifankui。</w:t>
      </w:r>
    </w:p>
    <w:p>
      <w:r>
        <w:t xml:space="preserve">· 后端位置：ShiyongfankuiController、YiyifankuiController 及各自 Service/Dao/Mapper/Entity。</w:t>
      </w:r>
    </w:p>
    <w:p>
      <w:r>
        <w:t xml:space="preserve">· 关键方法：save、add、page、list、info、detail、update、delete；异议反馈额外包含 shBatch。</w:t>
      </w:r>
    </w:p>
    <w:p>
      <w:pPr>
        <w:pStyle w:val="Heading1"/>
      </w:pPr>
      <w:r>
        <w:t xml:space="preserve">三、追溯查询功能实现</w:t>
      </w:r>
    </w:p>
    <w:p>
      <w:r>
        <w:t xml:space="preserve">追溯查询是论文和答辩重点功能。它的目标是让管理员或捐赠人输入捐赠编号后，看到该批物资从捐赠、验收、申领、出库、接收，到使用反馈和异议反馈的完整链路。后端接口为 /zhuishuchaxun/trace，具体实现位于 ZhuishuchaxunController.trace。</w:t>
      </w:r>
    </w:p>
    <w:p>
      <w:pPr>
        <w:pStyle w:val="Heading2"/>
      </w:pPr>
      <w:r>
        <w:t xml:space="preserve">后端实现逻辑</w:t>
      </w:r>
    </w:p>
    <w:p>
      <w:r>
        <w:t xml:space="preserve">· 权限判断：从 session 中取 role、tableName、username。管理员可以查询全部；捐赠人只能查询自己账号 zhanghao 对应的捐赠物资；其他角色返回 403。</w:t>
      </w:r>
    </w:p>
    <w:p>
      <w:r>
        <w:t xml:space="preserve">· 主记录查询：使用 juanzengbianhao 在 juanzengwuzi 表查询捐赠记录，未找到则返回错误。</w:t>
      </w:r>
    </w:p>
    <w:p>
      <w:r>
        <w:t xml:space="preserve">· 主流程查询：使用 juanzengbianhao 查询 yanshoujilu 验收记录，并按 yanshoushijian 排序。</w:t>
      </w:r>
    </w:p>
    <w:p>
      <w:r>
        <w:t xml:space="preserve">· 申领分支查询：使用 juanzengbianhao 查询 wuzishenling 申领记录。每一条申领记录代表一个流转分支。</w:t>
      </w:r>
    </w:p>
    <w:p>
      <w:r>
        <w:t xml:space="preserve">· 分支明细查询：对每个申领分支取 shenlingbianhao，再查询 chukufenbo、jieshouxinxi、shiyongfankui、yiyifankui。</w:t>
      </w:r>
    </w:p>
    <w:p>
      <w:r>
        <w:t xml:space="preserve">· 结果封装：使用 ZhuishuchaxunVO 返回捐赠记录、验收记录列表、申领分支列表和提示信息；每个分支使用 ZhuishuchaxunFenZhiVO 封装申领、出库、接收、使用反馈、异议反馈。</w:t>
      </w:r>
    </w:p>
    <w:p>
      <w:pPr>
        <w:pStyle w:val="Heading2"/>
      </w:pPr>
      <w:r>
        <w:t xml:space="preserve">前端展示逻辑</w:t>
      </w:r>
    </w:p>
    <w:p>
      <w:r>
        <w:t xml:space="preserve">前端在捐赠物资列表或追溯查询页面调用 zhuishuchaxun/trace。以 front/src/pages/juanzengwuzi/list.vue 为例，页面把后端返回的 traceData 拆成主流程节点和分支节点。traceMainNodes 展示捐赠记录和验收记录；traceBranchNodes 按每条申领记录展示物资申领、出库记录、接收记录、使用反馈、异议反馈。页面通过 resolveStatus、resolveState、tagType 等函数判断每个节点是已完成、待处理、缺失还是异常，并以时间线/流程节点方式展示。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  <w:shd w:fill="D9EAF7"/>
          </w:tcPr>
          <w:p>
            <w:r>
              <w:t xml:space="preserve">追溯层级</w:t>
            </w:r>
          </w:p>
        </w:tc>
        <w:tc>
          <w:tcPr>
            <w:tcW w:w="3000" w:type="dxa"/>
            <w:shd w:fill="D9EAF7"/>
          </w:tcPr>
          <w:p>
            <w:r>
              <w:t xml:space="preserve">查询依据</w:t>
            </w:r>
          </w:p>
        </w:tc>
        <w:tc>
          <w:tcPr>
            <w:tcW w:w="3000" w:type="dxa"/>
            <w:shd w:fill="D9EAF7"/>
          </w:tcPr>
          <w:p>
            <w:r>
              <w:t xml:space="preserve">返回内容</w:t>
            </w:r>
          </w:p>
        </w:tc>
        <w:tc>
          <w:tcPr>
            <w:tcW w:w="3000" w:type="dxa"/>
            <w:shd w:fill="D9EAF7"/>
          </w:tcPr>
          <w:p>
            <w: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t xml:space="preserve">主流程</w:t>
            </w:r>
          </w:p>
        </w:tc>
        <w:tc>
          <w:tcPr>
            <w:tcW w:w="3000" w:type="dxa"/>
          </w:tcPr>
          <w:p>
            <w:r>
              <w:t xml:space="preserve">juanzengbianhao</w:t>
            </w:r>
          </w:p>
        </w:tc>
        <w:tc>
          <w:tcPr>
            <w:tcW w:w="3000" w:type="dxa"/>
          </w:tcPr>
          <w:p>
            <w:r>
              <w:t xml:space="preserve">捐赠记录、验收记录</w:t>
            </w:r>
          </w:p>
        </w:tc>
        <w:tc>
          <w:tcPr>
            <w:tcW w:w="3000" w:type="dxa"/>
          </w:tcPr>
          <w:p>
            <w:r>
              <w:t xml:space="preserve">表示物资来源和是否入库</w:t>
            </w:r>
          </w:p>
        </w:tc>
      </w:tr>
      <w:tr>
        <w:tc>
          <w:tcPr>
            <w:tcW w:w="3000" w:type="dxa"/>
          </w:tcPr>
          <w:p>
            <w:r>
              <w:t xml:space="preserve">申领分支</w:t>
            </w:r>
          </w:p>
        </w:tc>
        <w:tc>
          <w:tcPr>
            <w:tcW w:w="3000" w:type="dxa"/>
          </w:tcPr>
          <w:p>
            <w:r>
              <w:t xml:space="preserve">juanzengbianhao</w:t>
            </w:r>
          </w:p>
        </w:tc>
        <w:tc>
          <w:tcPr>
            <w:tcW w:w="3000" w:type="dxa"/>
          </w:tcPr>
          <w:p>
            <w:r>
              <w:t xml:space="preserve">所有申领记录</w:t>
            </w:r>
          </w:p>
        </w:tc>
        <w:tc>
          <w:tcPr>
            <w:tcW w:w="3000" w:type="dxa"/>
          </w:tcPr>
          <w:p>
            <w:r>
              <w:t xml:space="preserve">一批捐赠物资可能被多个机构或多次申领</w:t>
            </w:r>
          </w:p>
        </w:tc>
      </w:tr>
      <w:tr>
        <w:tc>
          <w:tcPr>
            <w:tcW w:w="3000" w:type="dxa"/>
          </w:tcPr>
          <w:p>
            <w:r>
              <w:t xml:space="preserve">分支后续</w:t>
            </w:r>
          </w:p>
        </w:tc>
        <w:tc>
          <w:tcPr>
            <w:tcW w:w="3000" w:type="dxa"/>
          </w:tcPr>
          <w:p>
            <w:r>
              <w:t xml:space="preserve">shenlingbianhao</w:t>
            </w:r>
          </w:p>
        </w:tc>
        <w:tc>
          <w:tcPr>
            <w:tcW w:w="3000" w:type="dxa"/>
          </w:tcPr>
          <w:p>
            <w:r>
              <w:t xml:space="preserve">出库、接收、使用反馈、异议反馈</w:t>
            </w:r>
          </w:p>
        </w:tc>
        <w:tc>
          <w:tcPr>
            <w:tcW w:w="3000" w:type="dxa"/>
          </w:tcPr>
          <w:p>
            <w:r>
              <w:t xml:space="preserve">表示每次申领后的实际流转和反馈</w:t>
            </w:r>
          </w:p>
        </w:tc>
      </w:tr>
    </w:tbl>
    <w:p>
      <w:pPr>
        <w:pStyle w:val="Heading1"/>
      </w:pPr>
      <w:r>
        <w:t xml:space="preserve">四、智能推荐功能实现</w:t>
      </w:r>
    </w:p>
    <w:p>
      <w:r>
        <w:t xml:space="preserve">智能推荐面向接收机构，用于在可申领物资较多时，根据机构历史申领偏好和当前库存自动推荐更适合的物资。入口位于物资信息列表页，前端函数 smartRecommend 调用 wuzixinxi/intelligentRecommend。后端 WuzixinxiController.intelligentRecommend 直接转交 WuziRecommendService.recommend 处理。</w:t>
      </w:r>
    </w:p>
    <w:p>
      <w:pPr>
        <w:pStyle w:val="Heading2"/>
      </w:pPr>
      <w:r>
        <w:t xml:space="preserve">推荐触发和权限</w:t>
      </w:r>
    </w:p>
    <w:p>
      <w:r>
        <w:t xml:space="preserve">· 前端要求用户已登录，否则提示先登录。</w:t>
      </w:r>
    </w:p>
    <w:p>
      <w:r>
        <w:t xml:space="preserve">· 后端要求 session 中 tableName 为 jieshoujigou，即只有接收机构能使用。</w:t>
      </w:r>
    </w:p>
    <w:p>
      <w:r>
        <w:t xml:space="preserve">· 系统查询接收机构账号对应的 JieshoujigouEntity，并要求 sfsh 为“是”，即机构审核通过后才能推荐。</w:t>
      </w:r>
    </w:p>
    <w:p>
      <w:pPr>
        <w:pStyle w:val="Heading2"/>
      </w:pPr>
      <w:r>
        <w:t xml:space="preserve">推荐数据来源</w:t>
      </w:r>
    </w:p>
    <w:p>
      <w:r>
        <w:t xml:space="preserve">· 历史偏好：查询当前机构的 wuzishenling 历史申领记录，统计申领次数、申领总数量、物资种类偏好、物资名称偏好。</w:t>
      </w:r>
    </w:p>
    <w:p>
      <w:r>
        <w:t xml:space="preserve">· 候选库存：查询 wuzixinxi 中 wuzishuliang &gt; 0 且 baozhiqi 不早于当天的可用物资。</w:t>
      </w:r>
    </w:p>
    <w:p>
      <w:r>
        <w:t xml:space="preserve">· 候选集排序：buildTopCandidates 对库存物资计算规则分数，取 Top10 作为候选物资。</w:t>
      </w:r>
    </w:p>
    <w:p>
      <w:pPr>
        <w:pStyle w:val="Heading2"/>
      </w:pPr>
      <w:r>
        <w:t xml:space="preserve">规则推荐算法</w:t>
      </w:r>
    </w:p>
    <w:p>
      <w:r>
        <w:t xml:space="preserve">calculateScore 从多个维度计算推荐分：基础分 10；历史申领过的物资种类加分；历史申领过的物资名称加分；该类别历史申领数量越多分数越高；当前库存越多分数越高；临近有效期的物资适当加分，过期物资扣分且候选查询本身已排除过期库存。buildRuleReason 根据是否同名、同类或仅库存可用生成推荐理由。</w:t>
      </w:r>
    </w:p>
    <w:p>
      <w:pPr>
        <w:pStyle w:val="Heading2"/>
      </w:pPr>
      <w:r>
        <w:t xml:space="preserve">DeepSeek增强推荐</w:t>
      </w:r>
    </w:p>
    <w:p>
      <w:r>
        <w:t xml:space="preserve">系统提供 DeepseekClient 作为智能增强。WuziRecommendService 会把机构信息、历史偏好和规则筛选出的 Top10 候选物资传给 DeepSeek。DeepseekClient 构造 chat/completions 请求，要求模型只能从候选物资中选择，最多返回 Top5，并且必须按 JSON 格式返回 id、rank、reason。系统随后通过 validateModelResult 校验模型返回的 id 必须在候选集中，并按 rank 排序。若 DeepSeek 未配置 API Key、调用失败、返回为空或结果不足，系统会自动使用规则推荐兜底，保证功能可用。</w:t>
      </w:r>
    </w:p>
    <w:p>
      <w:pPr>
        <w:pStyle w:val="Heading2"/>
      </w:pPr>
      <w:r>
        <w:t xml:space="preserve">前端结果使用</w:t>
      </w:r>
    </w:p>
    <w:p>
      <w:r>
        <w:t xml:space="preserve">前端收到推荐结果后打开推荐弹窗，展示物资图片、名称、类型、库存、推荐理由和推荐来源。用户可以查看推荐物资详情，也可以通过 goRecommendApply 把推荐物资写入 crossTable/crossObj 并跳转到 wuzishenlingAdd 页面，直接发起申领。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  <w:shd w:fill="D9EAF7"/>
          </w:tcPr>
          <w:p>
            <w:r>
              <w:t xml:space="preserve">推荐阶段</w:t>
            </w:r>
          </w:p>
        </w:tc>
        <w:tc>
          <w:tcPr>
            <w:tcW w:w="3000" w:type="dxa"/>
            <w:shd w:fill="D9EAF7"/>
          </w:tcPr>
          <w:p>
            <w:r>
              <w:t xml:space="preserve">关键代码</w:t>
            </w:r>
          </w:p>
        </w:tc>
        <w:tc>
          <w:tcPr>
            <w:tcW w:w="3000" w:type="dxa"/>
            <w:shd w:fill="D9EAF7"/>
          </w:tcPr>
          <w:p>
            <w:r>
              <w:t xml:space="preserve">作用</w:t>
            </w:r>
          </w:p>
        </w:tc>
      </w:tr>
      <w:tr>
        <w:tc>
          <w:tcPr>
            <w:tcW w:w="3000" w:type="dxa"/>
          </w:tcPr>
          <w:p>
            <w:r>
              <w:t xml:space="preserve">入口</w:t>
            </w:r>
          </w:p>
        </w:tc>
        <w:tc>
          <w:tcPr>
            <w:tcW w:w="3000" w:type="dxa"/>
          </w:tcPr>
          <w:p>
            <w:r>
              <w:t xml:space="preserve">WuzixinxiController.intelligentRecommend</w:t>
            </w:r>
          </w:p>
        </w:tc>
        <w:tc>
          <w:tcPr>
            <w:tcW w:w="3000" w:type="dxa"/>
          </w:tcPr>
          <w:p>
            <w:r>
              <w:t xml:space="preserve">提供 /wuzixinxi/intelligentRecommend 接口</w:t>
            </w:r>
          </w:p>
        </w:tc>
      </w:tr>
      <w:tr>
        <w:tc>
          <w:tcPr>
            <w:tcW w:w="3000" w:type="dxa"/>
          </w:tcPr>
          <w:p>
            <w:r>
              <w:t xml:space="preserve">服务</w:t>
            </w:r>
          </w:p>
        </w:tc>
        <w:tc>
          <w:tcPr>
            <w:tcW w:w="3000" w:type="dxa"/>
          </w:tcPr>
          <w:p>
            <w:r>
              <w:t xml:space="preserve">WuziRecommendService.recommend</w:t>
            </w:r>
          </w:p>
        </w:tc>
        <w:tc>
          <w:tcPr>
            <w:tcW w:w="3000" w:type="dxa"/>
          </w:tcPr>
          <w:p>
            <w:r>
              <w:t xml:space="preserve">完成权限校验、偏好统计、候选筛选、推荐输出</w:t>
            </w:r>
          </w:p>
        </w:tc>
      </w:tr>
      <w:tr>
        <w:tc>
          <w:tcPr>
            <w:tcW w:w="3000" w:type="dxa"/>
          </w:tcPr>
          <w:p>
            <w:r>
              <w:t xml:space="preserve">规则评分</w:t>
            </w:r>
          </w:p>
        </w:tc>
        <w:tc>
          <w:tcPr>
            <w:tcW w:w="3000" w:type="dxa"/>
          </w:tcPr>
          <w:p>
            <w:r>
              <w:t xml:space="preserve">buildPreference、buildTopCandidates、calculateScore、buildRuleReason</w:t>
            </w:r>
          </w:p>
        </w:tc>
        <w:tc>
          <w:tcPr>
            <w:tcW w:w="3000" w:type="dxa"/>
          </w:tcPr>
          <w:p>
            <w:r>
              <w:t xml:space="preserve">根据历史申领和库存情况生成基础推荐</w:t>
            </w:r>
          </w:p>
        </w:tc>
      </w:tr>
      <w:tr>
        <w:tc>
          <w:tcPr>
            <w:tcW w:w="3000" w:type="dxa"/>
          </w:tcPr>
          <w:p>
            <w:r>
              <w:t xml:space="preserve">模型增强</w:t>
            </w:r>
          </w:p>
        </w:tc>
        <w:tc>
          <w:tcPr>
            <w:tcW w:w="3000" w:type="dxa"/>
          </w:tcPr>
          <w:p>
            <w:r>
              <w:t xml:space="preserve">DeepseekClient.recommendMaterialsWithStatus</w:t>
            </w:r>
          </w:p>
        </w:tc>
        <w:tc>
          <w:tcPr>
            <w:tcW w:w="3000" w:type="dxa"/>
          </w:tcPr>
          <w:p>
            <w:r>
              <w:t xml:space="preserve">调用 DeepSeek 对候选物资重新排序并生成理由</w:t>
            </w:r>
          </w:p>
        </w:tc>
      </w:tr>
      <w:tr>
        <w:tc>
          <w:tcPr>
            <w:tcW w:w="3000" w:type="dxa"/>
          </w:tcPr>
          <w:p>
            <w:r>
              <w:t xml:space="preserve">兜底校验</w:t>
            </w:r>
          </w:p>
        </w:tc>
        <w:tc>
          <w:tcPr>
            <w:tcW w:w="3000" w:type="dxa"/>
          </w:tcPr>
          <w:p>
            <w:r>
              <w:t xml:space="preserve">validateModelResult、applyModelOrRuleFallback</w:t>
            </w:r>
          </w:p>
        </w:tc>
        <w:tc>
          <w:tcPr>
            <w:tcW w:w="3000" w:type="dxa"/>
          </w:tcPr>
          <w:p>
            <w:r>
              <w:t xml:space="preserve">过滤非法模型结果，不足时补充规则推荐</w:t>
            </w:r>
          </w:p>
        </w:tc>
      </w:tr>
      <w:tr>
        <w:tc>
          <w:tcPr>
            <w:tcW w:w="3000" w:type="dxa"/>
          </w:tcPr>
          <w:p>
            <w:r>
              <w:t xml:space="preserve">前端交互</w:t>
            </w:r>
          </w:p>
        </w:tc>
        <w:tc>
          <w:tcPr>
            <w:tcW w:w="3000" w:type="dxa"/>
          </w:tcPr>
          <w:p>
            <w:r>
              <w:t xml:space="preserve">smartRecommend、goRecommendApply</w:t>
            </w:r>
          </w:p>
        </w:tc>
        <w:tc>
          <w:tcPr>
            <w:tcW w:w="3000" w:type="dxa"/>
          </w:tcPr>
          <w:p>
            <w:r>
              <w:t xml:space="preserve">展示推荐并跳转申领</w:t>
            </w:r>
          </w:p>
        </w:tc>
      </w:tr>
    </w:tbl>
    <w:p>
      <w:pPr>
        <w:pStyle w:val="Heading1"/>
      </w:pPr>
      <w:r>
        <w:t xml:space="preserve">五、流程实现总结</w:t>
      </w:r>
    </w:p>
    <w:p>
      <w:r>
        <w:t xml:space="preserve">本系统的实现重点是通过编号把多角色、多模块、多阶段的数据连成闭环。捐赠编号 juanzengbianhao 保证物资来源、验收和库存之间可追踪；申领编号 shenlingbianhao 保证出库、接收和反馈可追踪。追溯查询在后端统一聚合各模块数据，前端以流程节点展示，使捐赠人和管理员能直观看到物资流向。智能推荐则面向接收机构，通过历史申领偏好和当前库存计算推荐结果，并在可用时引入 DeepSeek 进行排序增强，提高公益物资分配的精准性和系统智能化程度。</w:t>
      </w:r>
    </w:p>
    <w:sectPr>
      <w:pgSz w:w="11906" w:h="16838"/>
      <w:pgMar w:top="900" w:right="900" w:bottom="900" w:left="9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2"/>
    </w:rPr>
  </w:style>
  <w:style w:type="paragraph" w:styleId="Title">
    <w:name w:val="Title"/>
    <w:pPr>
      <w:jc w:val="center"/>
    </w:pPr>
    <w:rPr>
      <w:rFonts w:ascii="Microsoft YaHei" w:eastAsia="Microsoft YaHei" w:hAnsi="Microsoft YaHei"/>
      <w:b/>
      <w:sz w:val="34"/>
    </w:rPr>
  </w:style>
  <w:style w:type="paragraph" w:styleId="Heading1">
    <w:name w:val="heading 1"/>
    <w:basedOn w:val="Normal"/>
    <w:rPr>
      <w:rFonts w:ascii="Microsoft YaHei" w:eastAsia="Microsoft YaHei" w:hAnsi="Microsoft YaHei"/>
      <w:b/>
      <w:sz w:val="28"/>
    </w:rPr>
  </w:style>
  <w:style w:type="paragraph" w:styleId="Heading2">
    <w:name w:val="heading 2"/>
    <w:basedOn w:val="Normal"/>
    <w:rPr>
      <w:rFonts w:ascii="Microsoft YaHei" w:eastAsia="Microsoft YaHei" w:hAnsi="Microsoft YaHei"/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