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Fishing</w:t>
      </w:r>
      <w:r>
        <w:t xml:space="preserve"> </w:t>
      </w:r>
      <w:r>
        <w:t xml:space="preserve">for</w:t>
      </w:r>
      <w:r>
        <w:t xml:space="preserve"> </w:t>
      </w:r>
      <w:r>
        <w:t xml:space="preserve">Spam</w:t>
      </w:r>
    </w:p>
    <w:p>
      <w:pPr>
        <w:pStyle w:val="Subtitle"/>
      </w:pPr>
      <w:r>
        <w:t xml:space="preserve">Part</w:t>
      </w:r>
      <w:r>
        <w:t xml:space="preserve"> </w:t>
      </w:r>
      <w:r>
        <w:t xml:space="preserve">1:</w:t>
      </w:r>
      <w:r>
        <w:t xml:space="preserve"> </w:t>
      </w:r>
      <w:r>
        <w:t xml:space="preserve">Project</w:t>
      </w:r>
      <w:r>
        <w:t xml:space="preserve"> </w:t>
      </w:r>
      <w:r>
        <w:t xml:space="preserve">Proposal</w:t>
      </w:r>
    </w:p>
    <w:p>
      <w:pPr>
        <w:pStyle w:val="Author"/>
      </w:pPr>
      <w:r>
        <w:t xml:space="preserve">Sean</w:t>
      </w:r>
      <w:r>
        <w:t xml:space="preserve"> </w:t>
      </w:r>
      <w:r>
        <w:t xml:space="preserve">O’Sullivan</w:t>
      </w:r>
    </w:p>
    <w:p>
      <w:pPr>
        <w:pStyle w:val="Date"/>
      </w:pPr>
      <w:r>
        <w:t xml:space="preserve">2024-06-15</w:t>
      </w:r>
    </w:p>
    <w:bookmarkStart w:id="20" w:name="summaryabstract"/>
    <w:p>
      <w:pPr>
        <w:pStyle w:val="Heading1"/>
      </w:pPr>
      <w:r>
        <w:t xml:space="preserve">1. Summary/Abstract</w:t>
      </w:r>
    </w:p>
    <w:p>
      <w:pPr>
        <w:pStyle w:val="FirstParagraph"/>
      </w:pPr>
      <w:r>
        <w:rPr>
          <w:iCs/>
          <w:i/>
        </w:rPr>
        <w:t xml:space="preserve">Write a summary of your project.</w:t>
      </w:r>
    </w:p>
    <w:p>
      <w:r>
        <w:br w:type="page"/>
      </w:r>
    </w:p>
    <w:bookmarkEnd w:id="20"/>
    <w:bookmarkStart w:id="40"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1"/>
    <w:bookmarkStart w:id="23" w:name="description-of-data-and-data-source"/>
    <w:p>
      <w:pPr>
        <w:pStyle w:val="Heading2"/>
      </w:pPr>
      <w:r>
        <w:t xml:space="preserve">2.2 Description of data and data source</w:t>
      </w:r>
    </w:p>
    <w:p>
      <w:pPr>
        <w:pStyle w:val="FirstParagraph"/>
      </w:pPr>
      <w:r>
        <w:t xml:space="preserve">The data set(s) that I’d liked to examine are a handful of annotated data sets pertaining to fraudulent (spam) emails. They come from a handful of sources, te largest of the bunch is from the Conference on Email and Anti-Spam. That data set and a pair of others found on</w:t>
      </w:r>
      <w:r>
        <w:t xml:space="preserve"> </w:t>
      </w:r>
      <w:hyperlink r:id="rId22">
        <w:r>
          <w:rPr>
            <w:rStyle w:val="Hyperlink"/>
          </w:rPr>
          <w:t xml:space="preserve">Kaggle</w:t>
        </w:r>
      </w:hyperlink>
      <w:r>
        <w:t xml:space="preserve"> </w:t>
      </w:r>
      <w:r>
        <w:t xml:space="preserve">contain text information from the subjects and bodies of the emails as well as the senders, receivers, timestamps, and whether or not URLs are contained within.</w:t>
      </w:r>
    </w:p>
    <w:bookmarkEnd w:id="23"/>
    <w:bookmarkStart w:id="24" w:name="questionshypotheses-to-be-addressed"/>
    <w:p>
      <w:pPr>
        <w:pStyle w:val="Heading2"/>
      </w:pPr>
      <w:r>
        <w:t xml:space="preserve">2.3 Questions/Hypotheses to be addressed</w:t>
      </w:r>
    </w:p>
    <w:p>
      <w:pPr>
        <w:pStyle w:val="FirstParagraph"/>
      </w:pPr>
      <w:r>
        <w:t xml:space="preserve">I’d like to explore the features that are prevalent in the identification of spam emails. Utilizing text analysis in addition to the other email attributes supplied my end goal would be to model a classifier that has a high rate of efficacy in identifying spam emails for automated detection as used by some popular email providers and large internal IT departments across the corporate landscape.</w:t>
      </w:r>
    </w:p>
    <w:p>
      <w:pPr>
        <w:pStyle w:val="BodyText"/>
      </w:pPr>
      <w:r>
        <w:t xml:space="preserve">I expect that a number of keywords common in spam emails will be relevant, but it’s also likely that potential sender domains, whether the sender and receiver domain are the same, and what day of week or time of day the emails are sent are also highly correlated with intentionally spammy behavior.</w:t>
      </w:r>
    </w:p>
    <w:p>
      <w:pPr>
        <w:pStyle w:val="BodyText"/>
      </w:pPr>
      <w:r>
        <w:t xml:space="preserve">While there may be some models better suited for this than others I intend to attempt a handful of classifiers and parameter hyper-tuning in order to compare and determine the best overall predictor of spam emails.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bookmarkEnd w:id="24"/>
    <w:bookmarkStart w:id="25" w:name="data-import-and-cleaning"/>
    <w:p>
      <w:pPr>
        <w:pStyle w:val="Heading2"/>
      </w:pPr>
      <w:r>
        <w:t xml:space="preserve">2.4 Data import and cleaning</w:t>
      </w:r>
    </w:p>
    <w:p>
      <w:pPr>
        <w:pStyle w:val="FirstParagraph"/>
      </w:pPr>
      <w:r>
        <w:t xml:space="preserve">To begin we start by downloading our data files of interest from</w:t>
      </w:r>
      <w:r>
        <w:t xml:space="preserve"> </w:t>
      </w:r>
      <w:hyperlink r:id="rId22">
        <w:r>
          <w:rPr>
            <w:rStyle w:val="Hyperlink"/>
          </w:rPr>
          <w:t xml:space="preserve">Kaggle</w:t>
        </w:r>
      </w:hyperlink>
      <w:r>
        <w:t xml:space="preserve">. While there are a handful provided at the prior link we’re mostly interested in the 3 CSV files that contain 6 features in addition to the spam annotation labels. Next we’ll load the data into R with the</w:t>
      </w:r>
      <w:r>
        <w:t xml:space="preserve"> </w:t>
      </w:r>
      <w:r>
        <w:rPr>
          <w:rStyle w:val="VerbatimChar"/>
        </w:rPr>
        <w:t xml:space="preserve">read_csv</w:t>
      </w:r>
      <w:r>
        <w:t xml:space="preserve"> </w:t>
      </w:r>
      <w:r>
        <w:t xml:space="preserve">and</w:t>
      </w:r>
      <w:r>
        <w:t xml:space="preserve"> </w:t>
      </w:r>
      <w:r>
        <w:rPr>
          <w:rStyle w:val="VerbatimChar"/>
        </w:rPr>
        <w:t xml:space="preserve">here</w:t>
      </w:r>
      <w:r>
        <w:t xml:space="preserve"> </w:t>
      </w:r>
      <w:r>
        <w:t xml:space="preserve">functions. Once each of the 3 files is individually loaded into R we append the separate dataframes to one another by way of the</w:t>
      </w:r>
      <w:r>
        <w:t xml:space="preserve"> </w:t>
      </w:r>
      <w:r>
        <w:rPr>
          <w:rStyle w:val="VerbatimChar"/>
        </w:rPr>
        <w:t xml:space="preserve">dplyr::bind_rows</w:t>
      </w:r>
      <w:r>
        <w:t xml:space="preserve"> </w:t>
      </w:r>
      <w:r>
        <w:t xml:space="preserve">function and start to summarize our cumulative data so that we can assess what data cleaning steps and feature generation is necessary.</w:t>
      </w:r>
    </w:p>
    <w:p>
      <w:pPr>
        <w:pStyle w:val="BodyText"/>
      </w:pPr>
      <w:r>
        <w:t xml:space="preserve">Our first step in cleaning the data centers around data type conversions, namely changing the</w:t>
      </w:r>
      <w:r>
        <w:t xml:space="preserve"> </w:t>
      </w:r>
      <w:r>
        <w:rPr>
          <w:rStyle w:val="VerbatimChar"/>
        </w:rPr>
        <w:t xml:space="preserve">urls</w:t>
      </w:r>
      <w:r>
        <w:t xml:space="preserve"> </w:t>
      </w:r>
      <w:r>
        <w:t xml:space="preserve">and</w:t>
      </w:r>
      <w:r>
        <w:t xml:space="preserve"> </w:t>
      </w:r>
      <w:r>
        <w:rPr>
          <w:rStyle w:val="VerbatimChar"/>
        </w:rPr>
        <w:t xml:space="preserve">label</w:t>
      </w:r>
      <w:r>
        <w:t xml:space="preserve"> </w:t>
      </w:r>
      <w:r>
        <w:t xml:space="preserve">variables to be factors rather than character data types. Next, we proceeded with cleaning and extricating sender and receiver emails from their contact names where appropriate. In order to achieve this we utilized the</w:t>
      </w:r>
      <w:r>
        <w:t xml:space="preserve"> </w:t>
      </w:r>
      <w:r>
        <w:rPr>
          <w:rStyle w:val="VerbatimChar"/>
        </w:rPr>
        <w:t xml:space="preserve">stringr</w:t>
      </w:r>
      <w:r>
        <w:t xml:space="preserve"> </w:t>
      </w:r>
      <w:r>
        <w:t xml:space="preserve">package and regular expressions to isolate the email addresses from the contact and mutate the original columns accordingly. We’ll employee a similar technique shortly to isolate just the domain names for both sender and receiver emails.</w:t>
      </w:r>
    </w:p>
    <w:p>
      <w:pPr>
        <w:pStyle w:val="BodyText"/>
      </w:pPr>
      <w:r>
        <w:t xml:space="preserve">In addition to cleaning some of the existing features we also sought to generate a few simple features that we believe may be of use in our analysis and modeling stages further down the line. Specifically, we created features that measure the character length of both the subject line and email bodies as well as a boolean features that assesses whether or not the sender and receiver email were the same.</w:t>
      </w:r>
    </w:p>
    <w:p>
      <w:pPr>
        <w:pStyle w:val="BodyText"/>
      </w:pPr>
      <w:r>
        <w:t xml:space="preserve">By the end of our data loading and processing we arrived at a dataset that contains 7 character columns, 2 numeric columns, 2 factor columns, and a single boolean column – taking care to ensure that our steps prevented generating any missing values where there hadn’t previously been any. Ultimately this makes for a dataset with 48,295 rows across 11 features and our variable of interest. Complete steps and code can be located in the</w:t>
      </w:r>
      <w:r>
        <w:t xml:space="preserve"> </w:t>
      </w:r>
      <w:r>
        <w:rPr>
          <w:rStyle w:val="VerbatimChar"/>
        </w:rPr>
        <w:t xml:space="preserve">.../code/processingprocessingcode.R</w:t>
      </w:r>
      <w:r>
        <w:t xml:space="preserve"> </w:t>
      </w:r>
      <w:r>
        <w:t xml:space="preserve">file found within the project.</w:t>
      </w:r>
    </w:p>
    <w:bookmarkEnd w:id="25"/>
    <w:bookmarkStart w:id="38" w:name="exploratorydescriptive-analysis"/>
    <w:p>
      <w:pPr>
        <w:pStyle w:val="Heading2"/>
      </w:pPr>
      <w:r>
        <w:t xml:space="preserve">2.5 Exploratory/Descriptive analysis</w:t>
      </w:r>
    </w:p>
    <w:p>
      <w:pPr>
        <w:pStyle w:val="FirstParagraph"/>
      </w:pPr>
      <w:r>
        <w:t xml:space="preserve">Once the data had been loaded and cleaned we began to examine some of the relationships between anticipated predictor variables and our variable of interest.</w:t>
      </w:r>
    </w:p>
    <w:p>
      <w:pPr>
        <w:pStyle w:val="BodyText"/>
      </w:pPr>
      <w:r>
        <w:drawing>
          <wp:inline>
            <wp:extent cx="5334000" cy="3295031"/>
            <wp:effectExtent b="0" l="0" r="0" t="0"/>
            <wp:docPr descr="" title="" id="27" name="Picture"/>
            <a:graphic>
              <a:graphicData uri="http://schemas.openxmlformats.org/drawingml/2006/picture">
                <pic:pic>
                  <pic:nvPicPr>
                    <pic:cNvPr descr="../../results/figures/bodylength-distribution.png" id="28" name="Picture"/>
                    <pic:cNvPicPr>
                      <a:picLocks noChangeArrowheads="1" noChangeAspect="1"/>
                    </pic:cNvPicPr>
                  </pic:nvPicPr>
                  <pic:blipFill>
                    <a:blip r:embed="rId26"/>
                    <a:stretch>
                      <a:fillRect/>
                    </a:stretch>
                  </pic:blipFill>
                  <pic:spPr bwMode="auto">
                    <a:xfrm>
                      <a:off x="0" y="0"/>
                      <a:ext cx="5334000" cy="3295031"/>
                    </a:xfrm>
                    <a:prstGeom prst="rect">
                      <a:avLst/>
                    </a:prstGeom>
                    <a:noFill/>
                    <a:ln w="9525">
                      <a:noFill/>
                      <a:headEnd/>
                      <a:tailEnd/>
                    </a:ln>
                  </pic:spPr>
                </pic:pic>
              </a:graphicData>
            </a:graphic>
          </wp:inline>
        </w:drawing>
      </w:r>
      <w:r>
        <w:t xml:space="preserve"> </w:t>
      </w:r>
      <w:r>
        <w:t xml:space="preserve">First examining the distribution of email body length between spam and legitimate emails we observe a tendency for spam emails to be shorter in length. However, interestingly the distribution of spam emails is bi-modal – with a second peak at around the 4,000 character count – which may indicate that spam vendors are aware of the identification potential of email length and have begun targeting a longer length to avoid notice.</w:t>
      </w:r>
    </w:p>
    <w:p>
      <w:pPr>
        <w:pStyle w:val="BodyText"/>
      </w:pPr>
      <w:r>
        <w:drawing>
          <wp:inline>
            <wp:extent cx="5334000" cy="3295031"/>
            <wp:effectExtent b="0" l="0" r="0" t="0"/>
            <wp:docPr descr="" title="" id="30" name="Picture"/>
            <a:graphic>
              <a:graphicData uri="http://schemas.openxmlformats.org/drawingml/2006/picture">
                <pic:pic>
                  <pic:nvPicPr>
                    <pic:cNvPr descr="../../results/figures/subjectlength-distribution.png" id="31" name="Picture"/>
                    <pic:cNvPicPr>
                      <a:picLocks noChangeArrowheads="1" noChangeAspect="1"/>
                    </pic:cNvPicPr>
                  </pic:nvPicPr>
                  <pic:blipFill>
                    <a:blip r:embed="rId29"/>
                    <a:stretch>
                      <a:fillRect/>
                    </a:stretch>
                  </pic:blipFill>
                  <pic:spPr bwMode="auto">
                    <a:xfrm>
                      <a:off x="0" y="0"/>
                      <a:ext cx="5334000" cy="3295031"/>
                    </a:xfrm>
                    <a:prstGeom prst="rect">
                      <a:avLst/>
                    </a:prstGeom>
                    <a:noFill/>
                    <a:ln w="9525">
                      <a:noFill/>
                      <a:headEnd/>
                      <a:tailEnd/>
                    </a:ln>
                  </pic:spPr>
                </pic:pic>
              </a:graphicData>
            </a:graphic>
          </wp:inline>
        </w:drawing>
      </w:r>
      <w:r>
        <w:t xml:space="preserve"> </w:t>
      </w:r>
      <w:r>
        <w:t xml:space="preserve">Similarly, when we examine subject line length we observe the same tendency for spam emails to trend shorter. Subject line does not share the same distinct bi-modal shape for spam emails that the bodies do, but subject line length distribution between both spam and legitimate emails overlap in large part which may reduce it’s efficacy for classification modeling.</w:t>
      </w:r>
    </w:p>
    <w:tbl>
      <w:tblPr>
        <w:tblStyle w:val="Table"/>
        <w:tblW w:type="pct" w:w="5000"/>
        <w:tblLook w:firstRow="0" w:lastRow="0" w:firstColumn="0" w:lastColumn="0" w:noHBand="0" w:noVBand="0" w:val="0000"/>
        <w:jc w:val="start"/>
        <w:tblLayout w:type="fixed"/>
      </w:tblPr>
      <w:tblGrid>
        <w:gridCol w:w="3960"/>
        <w:gridCol w:w="3960"/>
      </w:tblGrid>
      <w:tr>
        <w:tc>
          <w:tcPr/>
          <w:p>
            <w:pPr>
              <w:jc w:val="center"/>
            </w:pPr>
            <w:r>
              <w:drawing>
                <wp:inline>
                  <wp:extent cx="2971800" cy="1835803"/>
                  <wp:effectExtent b="0" l="0" r="0" t="0"/>
                  <wp:docPr descr="" title="" id="33" name="Picture"/>
                  <a:graphic>
                    <a:graphicData uri="http://schemas.openxmlformats.org/drawingml/2006/picture">
                      <pic:pic>
                        <pic:nvPicPr>
                          <pic:cNvPr descr="../../results/figures/spam-by-domain.png" id="34" name="Picture"/>
                          <pic:cNvPicPr>
                            <a:picLocks noChangeArrowheads="1" noChangeAspect="1"/>
                          </pic:cNvPicPr>
                        </pic:nvPicPr>
                        <pic:blipFill>
                          <a:blip r:embed="rId32"/>
                          <a:stretch>
                            <a:fillRect/>
                          </a:stretch>
                        </pic:blipFill>
                        <pic:spPr bwMode="auto">
                          <a:xfrm>
                            <a:off x="0" y="0"/>
                            <a:ext cx="2971800" cy="1835803"/>
                          </a:xfrm>
                          <a:prstGeom prst="rect">
                            <a:avLst/>
                          </a:prstGeom>
                          <a:noFill/>
                          <a:ln w="9525">
                            <a:noFill/>
                            <a:headEnd/>
                            <a:tailEnd/>
                          </a:ln>
                        </pic:spPr>
                      </pic:pic>
                    </a:graphicData>
                  </a:graphic>
                </wp:inline>
              </w:drawing>
            </w:r>
          </w:p>
        </w:tc>
        <w:tc>
          <w:tcPr/>
          <w:p>
            <w:pPr>
              <w:jc w:val="center"/>
            </w:pPr>
            <w:r>
              <w:drawing>
                <wp:inline>
                  <wp:extent cx="2971800" cy="1835803"/>
                  <wp:effectExtent b="0" l="0" r="0" t="0"/>
                  <wp:docPr descr="" title="" id="36" name="Picture"/>
                  <a:graphic>
                    <a:graphicData uri="http://schemas.openxmlformats.org/drawingml/2006/picture">
                      <pic:pic>
                        <pic:nvPicPr>
                          <pic:cNvPr descr="../../results/figures/legit-by-domain.png" id="37" name="Picture"/>
                          <pic:cNvPicPr>
                            <a:picLocks noChangeArrowheads="1" noChangeAspect="1"/>
                          </pic:cNvPicPr>
                        </pic:nvPicPr>
                        <pic:blipFill>
                          <a:blip r:embed="rId35"/>
                          <a:stretch>
                            <a:fillRect/>
                          </a:stretch>
                        </pic:blipFill>
                        <pic:spPr bwMode="auto">
                          <a:xfrm>
                            <a:off x="0" y="0"/>
                            <a:ext cx="2971800" cy="1835803"/>
                          </a:xfrm>
                          <a:prstGeom prst="rect">
                            <a:avLst/>
                          </a:prstGeom>
                          <a:noFill/>
                          <a:ln w="9525">
                            <a:noFill/>
                            <a:headEnd/>
                            <a:tailEnd/>
                          </a:ln>
                        </pic:spPr>
                      </pic:pic>
                    </a:graphicData>
                  </a:graphic>
                </wp:inline>
              </w:drawing>
            </w:r>
          </w:p>
        </w:tc>
      </w:tr>
    </w:tbl>
    <w:p>
      <w:pPr>
        <w:pStyle w:val="BodyText"/>
      </w:pPr>
      <w:r>
        <w:t xml:space="preserve">Finally, we examined the most popular sender domain names for vendors of both spam and legitimate emails. In doing so we see some clear indications of which domains are favorable to spam vendors and which are not. Notably Gmail fails to make the top 25 domains for spam vendors despite being the far-and-away most common choice for legitimate emails. Similarly, Yahoo and Hotmail lead the pack for spam and are not among common domains for legitimate emails. This bodes well for the classification power of sender domain when we enter the modeling phase and begin to incorporate bag-of-words and text processing.</w:t>
      </w:r>
    </w:p>
    <w:bookmarkEnd w:id="38"/>
    <w:bookmarkStart w:id="39" w:name="statistical-analysis"/>
    <w:p>
      <w:pPr>
        <w:pStyle w:val="Heading2"/>
      </w:pPr>
      <w:r>
        <w:t xml:space="preserve">2.6 Statistical analysis</w:t>
      </w:r>
    </w:p>
    <w:p>
      <w:pPr>
        <w:pStyle w:val="FirstParagraph"/>
      </w:pPr>
      <w:r>
        <w:rPr>
          <w:iCs/>
          <w:i/>
        </w:rPr>
        <w:t xml:space="preserve">Explain anything related to your statistical analyses.</w:t>
      </w:r>
    </w:p>
    <w:p>
      <w:r>
        <w:br w:type="page"/>
      </w:r>
    </w:p>
    <w:bookmarkEnd w:id="39"/>
    <w:bookmarkEnd w:id="40"/>
    <w:bookmarkStart w:id="43" w:name="results"/>
    <w:p>
      <w:pPr>
        <w:pStyle w:val="Heading1"/>
      </w:pPr>
      <w:r>
        <w:t xml:space="preserve">3. Results</w:t>
      </w:r>
    </w:p>
    <w:p>
      <w:pPr>
        <w:pStyle w:val="FirstParagraph"/>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bookmarkStart w:id="41" w:name="basic-statistical-analysis"/>
    <w:p>
      <w:pPr>
        <w:pStyle w:val="Heading2"/>
      </w:pPr>
      <w:r>
        <w:t xml:space="preserve">3.1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bookmarkEnd w:id="41"/>
    <w:bookmarkStart w:id="42" w:name="full-analysis"/>
    <w:p>
      <w:pPr>
        <w:pStyle w:val="Heading2"/>
      </w:pPr>
      <w:r>
        <w:t xml:space="preserve">3.2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p>
      <w:r>
        <w:br w:type="page"/>
      </w:r>
    </w:p>
    <w:bookmarkEnd w:id="42"/>
    <w:bookmarkEnd w:id="43"/>
    <w:bookmarkStart w:id="48" w:name="discussion"/>
    <w:p>
      <w:pPr>
        <w:pStyle w:val="Heading1"/>
      </w:pPr>
      <w:r>
        <w:t xml:space="preserve">4. Discussion</w:t>
      </w:r>
    </w:p>
    <w:bookmarkStart w:id="44" w:name="summary-and-interpretation"/>
    <w:p>
      <w:pPr>
        <w:pStyle w:val="Heading2"/>
      </w:pPr>
      <w:r>
        <w:t xml:space="preserve">4.1 Summary and Interpretation</w:t>
      </w:r>
    </w:p>
    <w:p>
      <w:pPr>
        <w:pStyle w:val="FirstParagraph"/>
      </w:pPr>
      <w:r>
        <w:rPr>
          <w:iCs/>
          <w:i/>
        </w:rPr>
        <w:t xml:space="preserve">Summarize what you did, what you found and what it means.</w:t>
      </w:r>
    </w:p>
    <w:bookmarkEnd w:id="44"/>
    <w:bookmarkStart w:id="45" w:name="strengths-and-limitations"/>
    <w:p>
      <w:pPr>
        <w:pStyle w:val="Heading2"/>
      </w:pPr>
      <w:r>
        <w:t xml:space="preserve">4.2 Strengths and Limitations</w:t>
      </w:r>
    </w:p>
    <w:p>
      <w:pPr>
        <w:pStyle w:val="FirstParagraph"/>
      </w:pPr>
      <w:r>
        <w:rPr>
          <w:iCs/>
          <w:i/>
        </w:rPr>
        <w:t xml:space="preserve">Discuss what you perceive as strengths and limitations of your analysis.</w:t>
      </w:r>
    </w:p>
    <w:bookmarkEnd w:id="45"/>
    <w:bookmarkStart w:id="47" w:name="conclusions"/>
    <w:p>
      <w:pPr>
        <w:pStyle w:val="Heading2"/>
      </w:pPr>
      <w:r>
        <w:t xml:space="preserve">4.3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6">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7"/>
    <w:bookmarkEnd w:id="48"/>
    <w:bookmarkStart w:id="56" w:name="references"/>
    <w:p>
      <w:pPr>
        <w:pStyle w:val="Heading1"/>
      </w:pPr>
      <w:r>
        <w:t xml:space="preserve">5. References</w:t>
      </w:r>
    </w:p>
    <w:bookmarkStart w:id="55" w:name="refs"/>
    <w:bookmarkStart w:id="50"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9">
        <w:r>
          <w:rPr>
            <w:rStyle w:val="Hyperlink"/>
          </w:rPr>
          <w:t xml:space="preserve">https://doi.org/10.1126/science.aaa6146</w:t>
        </w:r>
      </w:hyperlink>
    </w:p>
    <w:bookmarkEnd w:id="50"/>
    <w:bookmarkStart w:id="52"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1">
        <w:r>
          <w:rPr>
            <w:rStyle w:val="Hyperlink"/>
          </w:rPr>
          <w:t xml:space="preserve">https://doi.org/10.1093/ofid/ofaa494</w:t>
        </w:r>
      </w:hyperlink>
    </w:p>
    <w:bookmarkEnd w:id="52"/>
    <w:bookmarkStart w:id="54"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3">
        <w:r>
          <w:rPr>
            <w:rStyle w:val="Hyperlink"/>
          </w:rPr>
          <w:t xml:space="preserve">https://doi.org/10.1098/rspb.2020.0496</w:t>
        </w:r>
      </w:hyperlink>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49" Target="https://doi.org/10.1126/science.aaa6146" TargetMode="External" /><Relationship Type="http://schemas.openxmlformats.org/officeDocument/2006/relationships/hyperlink" Id="rId22" Target="https://www.kaggle.com/datasets/naserabdullahalam/phishing-email-dataset/data?select=CEAS_08.csv" TargetMode="External" /><Relationship Type="http://schemas.openxmlformats.org/officeDocument/2006/relationships/hyperlink" Id="rId4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49" Target="https://doi.org/10.1126/science.aaa6146" TargetMode="External" /><Relationship Type="http://schemas.openxmlformats.org/officeDocument/2006/relationships/hyperlink" Id="rId22" Target="https://www.kaggle.com/datasets/naserabdullahalam/phishing-email-dataset/data?select=CEAS_08.csv" TargetMode="External" /><Relationship Type="http://schemas.openxmlformats.org/officeDocument/2006/relationships/hyperlink" Id="rId4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Fishing for Spam</dc:title>
  <dc:creator>Sean O’Sullivan</dc:creator>
  <cp:keywords/>
  <dcterms:created xsi:type="dcterms:W3CDTF">2024-06-15T11:53:00Z</dcterms:created>
  <dcterms:modified xsi:type="dcterms:W3CDTF">2024-06-15T11:53:00Z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2024-06-15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Part 1: Project Proposal</vt:lpwstr>
  </property>
  <property fmtid="{D5CDD505-2E9C-101B-9397-08002B2CF9AE}" pid="13" name="toc-title">
    <vt:lpwstr>Table of contents</vt:lpwstr>
  </property>
</Properties>
</file>