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rp-01-phase-a.1"/>
    <w:p>
      <w:pPr>
        <w:pStyle w:val="Heading1"/>
      </w:pPr>
      <w:r>
        <w:t xml:space="preserve">ERP-01 — Phase A.1</w:t>
      </w:r>
    </w:p>
    <w:bookmarkEnd w:id="20"/>
    <w:bookmarkStart w:id="38" w:name="X8fb5a8fc08591077e9c7f1bfe195eb40c508aa3"/>
    <w:p>
      <w:pPr>
        <w:pStyle w:val="Heading1"/>
      </w:pPr>
      <w:r>
        <w:t xml:space="preserve">Enterprise Physical Data Model Realization Assessment</w:t>
      </w:r>
    </w:p>
    <w:bookmarkStart w:id="21" w:name="hirerise-career-intelligence-platform"/>
    <w:p>
      <w:pPr>
        <w:pStyle w:val="Heading3"/>
      </w:pPr>
      <w:r>
        <w:t xml:space="preserve">HireRise Career Intelligence Platform</w:t>
      </w:r>
    </w:p>
    <w:p>
      <w:pPr>
        <w:pStyle w:val="FirstParagraph"/>
      </w:pPr>
      <w:r>
        <w:t xml:space="preserve">Version 1.0 | Status: DRAFT FOR REVIEW</w:t>
      </w:r>
      <w:r>
        <w:t xml:space="preserve"> </w:t>
      </w:r>
      <w:r>
        <w:rPr>
          <w:bCs/>
          <w:b/>
        </w:rPr>
        <w:t xml:space="preserve">Canonical reference:</w:t>
      </w:r>
      <w:r>
        <w:t xml:space="preserve"> </w:t>
      </w:r>
      <w:r>
        <w:t xml:space="preserve">EEP-01 Phase A — Enterprise Physical Data Model (</w:t>
      </w:r>
      <w:r>
        <w:rPr>
          <w:rStyle w:val="VerbatimChar"/>
        </w:rPr>
        <w:t xml:space="preserve">academic_domain</w:t>
      </w:r>
      <w:r>
        <w:t xml:space="preserve"> </w:t>
      </w:r>
      <w:r>
        <w:t xml:space="preserve">schema, 26 tables, 10 domain + 16 reference entities)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Overall realization status: LOW.</w:t>
      </w:r>
      <w:r>
        <w:t xml:space="preserve"> </w:t>
      </w:r>
      <w:r>
        <w:t xml:space="preserve">EEP-01 Phase A specifies a dedicated</w:t>
      </w:r>
      <w:r>
        <w:t xml:space="preserve"> </w:t>
      </w:r>
      <w:r>
        <w:rPr>
          <w:rStyle w:val="VerbatimChar"/>
        </w:rPr>
        <w:t xml:space="preserve">academic_domain</w:t>
      </w:r>
      <w:r>
        <w:t xml:space="preserve"> </w:t>
      </w:r>
      <w:r>
        <w:t xml:space="preserve">PostgreSQL schema containing 26 tables (10 domain entities + 16 reference tables), a strict</w:t>
      </w:r>
      <w:r>
        <w:t xml:space="preserve"> </w:t>
      </w:r>
      <w:r>
        <w:rPr>
          <w:rStyle w:val="VerbatimChar"/>
        </w:rPr>
        <w:t xml:space="preserve">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taxonomy_version_id</w:t>
      </w:r>
      <w:r>
        <w:t xml:space="preserve"> </w:t>
      </w:r>
      <w:r>
        <w:t xml:space="preserve">pattern for all taxonomy references, native partitioning on four historical/derived tables, and a naming convention explicitly designed to avoid collision with a named list of legacy table names.</w:t>
      </w:r>
    </w:p>
    <w:p>
      <w:pPr>
        <w:pStyle w:val="BodyText"/>
      </w:pPr>
      <w:r>
        <w:t xml:space="preserve">Direct repository inspection finds</w:t>
      </w:r>
      <w:r>
        <w:t xml:space="preserve"> </w:t>
      </w:r>
      <w:r>
        <w:rPr>
          <w:bCs/>
          <w:b/>
        </w:rPr>
        <w:t xml:space="preserve">none of this realized under its designed name or structure.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academic_domain</w:t>
      </w:r>
      <w:r>
        <w:t xml:space="preserve"> </w:t>
      </w:r>
      <w:r>
        <w:t xml:space="preserve">schema exists anywhere in the migration history — every student-academic table lives 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None of the 26 canonical table names (</w:t>
      </w:r>
      <w:r>
        <w:rPr>
          <w:rStyle w:val="VerbatimChar"/>
        </w:rPr>
        <w:t xml:space="preserve">student_profile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academic_qualification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taxonomy_version</w:t>
      </w:r>
      <w:r>
        <w:t xml:space="preserve">, etc.) exist. Instead, the live schema is built from a different, independently-evolved table set (</w:t>
      </w:r>
      <w:r>
        <w:rPr>
          <w:rStyle w:val="VerbatimChar"/>
        </w:rPr>
        <w:t xml:space="preserve">student_education_profiles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student_academic_records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student_academic_subjects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student_cognitive_responses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student_signal_vectors</w:t>
      </w:r>
      <w:r>
        <w:t xml:space="preserve">, and others) that overlaps with Phase A’s business intent but diverges structurally at almost every point this assessment checked.</w:t>
      </w:r>
    </w:p>
    <w:p>
      <w:pPr>
        <w:pStyle w:val="BodyText"/>
      </w:pPr>
      <w:r>
        <w:t xml:space="preserve">Most notably:</w:t>
      </w:r>
      <w:r>
        <w:t xml:space="preserve"> </w:t>
      </w:r>
      <w:r>
        <w:rPr>
          <w:bCs/>
          <w:b/>
        </w:rPr>
        <w:t xml:space="preserve">the exact legacy table names Phase A’s Part 1, rule 10 explicitly listed as names its new design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not collide with, by design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student_academic_records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student_academic_subjects</w:t>
      </w:r>
      <w:r>
        <w:t xml:space="preserve"> </w:t>
      </w:r>
      <w:r>
        <w:t xml:space="preserve">among them)</w:t>
      </w:r>
      <w:r>
        <w:t xml:space="preserve"> </w:t>
      </w:r>
      <w:r>
        <w:rPr>
          <w:bCs/>
          <w:b/>
        </w:rPr>
        <w:t xml:space="preserve">are precisely the table names running in production today.</w:t>
      </w:r>
      <w:r>
        <w:t xml:space="preserve"> </w:t>
      </w:r>
      <w:r>
        <w:t xml:space="preserve">This reads not as accidental collision but as evidence that the canonical Phase A design was never migrated to — the</w:t>
      </w:r>
      <w:r>
        <w:t xml:space="preserve"> </w:t>
      </w:r>
      <w:r>
        <w:t xml:space="preserve">“</w:t>
      </w:r>
      <w:r>
        <w:t xml:space="preserve">legacy</w:t>
      </w:r>
      <w:r>
        <w:t xml:space="preserve">”</w:t>
      </w:r>
      <w:r>
        <w:t xml:space="preserve"> </w:t>
      </w:r>
      <w:r>
        <w:t xml:space="preserve">schema it was written to replace is the current schema.</w:t>
      </w:r>
    </w:p>
    <w:p>
      <w:pPr>
        <w:pStyle w:val="BodyText"/>
      </w:pPr>
      <w:r>
        <w:t xml:space="preserve">This is not a story of poor engineering, however. Independently of Phase A, the actual implementation shows real, consistent engineering discipline: UUID primary keys throughout,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used consistently (never naive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),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triggers on every mutable table, RLS enabled with owner-scoped policies plus explicit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grants, native Postgres enums for controlled vocabularies, and check constraints enforcing value ranges. These are exactly the physical-layer disciplines Phase A itself calls for (Part 1) — they were simply arrived at independently, under a different table/schema design, not by implementing Phase A.</w:t>
      </w:r>
    </w:p>
    <w:p>
      <w:r>
        <w:pict>
          <v:rect style="width:0;height:1.5pt" o:hralign="center" o:hrstd="t" o:hr="t"/>
        </w:pict>
      </w:r>
    </w:p>
    <w:bookmarkEnd w:id="22"/>
    <w:bookmarkStart w:id="23" w:name="X6419f8ed9eefe426e647de05c87771944063fe8"/>
    <w:p>
      <w:pPr>
        <w:pStyle w:val="Heading2"/>
      </w:pPr>
      <w:r>
        <w:t xml:space="preserve">2. Physical Data Model Conformance Assessment</w:t>
      </w:r>
    </w:p>
    <w:p>
      <w:pPr>
        <w:pStyle w:val="FirstParagraph"/>
      </w:pPr>
      <w:r>
        <w:t xml:space="preserve">Two things must be separated, because they point in different directions:</w:t>
      </w:r>
      <w:r>
        <w:t xml:space="preserve"> </w:t>
      </w:r>
      <w:r>
        <w:rPr>
          <w:bCs/>
          <w:b/>
        </w:rPr>
        <w:t xml:space="preserve">conformance to Phase A’s specific named design (very low)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conformance to Phase A’s underlying engineering principles (moderate-to-good, achieved independently)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Conformance to Phase A’s specific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isolation (</w:t>
            </w:r>
            <w:r>
              <w:rPr>
                <w:rStyle w:val="VerbatimChar"/>
              </w:rPr>
              <w:t xml:space="preserve">academic_domain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occurrences of</w:t>
            </w:r>
            <w:r>
              <w:t xml:space="preserve"> </w:t>
            </w:r>
            <w:r>
              <w:rPr>
                <w:rStyle w:val="VerbatimChar"/>
              </w:rPr>
              <w:t xml:space="preserve">CREATE SCHEMA academic_domain</w:t>
            </w:r>
            <w:r>
              <w:t xml:space="preserve"> </w:t>
            </w:r>
            <w:r>
              <w:t xml:space="preserve">or any qualified reference to it anywhere in</w:t>
            </w:r>
            <w:r>
              <w:t xml:space="preserve"> </w:t>
            </w:r>
            <w:r>
              <w:rPr>
                <w:rStyle w:val="VerbatimChar"/>
              </w:rPr>
              <w:t xml:space="preserve">core/supabase/migrations/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naming convention (</w:t>
            </w:r>
            <w:r>
              <w:rPr>
                <w:rStyle w:val="VerbatimChar"/>
              </w:rPr>
              <w:t xml:space="preserve">ref_</w:t>
            </w:r>
            <w:r>
              <w:t xml:space="preserve"> </w:t>
            </w:r>
            <w:r>
              <w:t xml:space="preserve">prefix, singular nouns, no domain-repeating prefix)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tables are named</w:t>
            </w:r>
            <w:r>
              <w:t xml:space="preserve"> </w:t>
            </w:r>
            <w:r>
              <w:rPr>
                <w:rStyle w:val="VerbatimChar"/>
              </w:rPr>
              <w:t xml:space="preserve">countries_master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academic_streams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academic_subjects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academic_languages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curriculum_regions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state_language_mapping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subject_stream_map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ref_</w:t>
            </w:r>
            <w:r>
              <w:t xml:space="preserve"> </w:t>
            </w:r>
            <w:r>
              <w:t xml:space="preserve">prefix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Code-reference +</w:t>
            </w:r>
            <w:r>
              <w:t xml:space="preserve"> </w:t>
            </w:r>
            <w:r>
              <w:rPr>
                <w:rStyle w:val="VerbatimChar"/>
              </w:rPr>
              <w:t xml:space="preserve">taxonomy_version_id</w:t>
            </w:r>
            <w:r>
              <w:t xml:space="preserve"> </w:t>
            </w:r>
            <w:r>
              <w:t xml:space="preserve">pairing (Part 1 rule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academic_boards.country_id</w:t>
            </w:r>
            <w:r>
              <w:t xml:space="preserve"> </w:t>
            </w:r>
            <w:r>
              <w:t xml:space="preserve">is a direct FK to</w:t>
            </w:r>
            <w:r>
              <w:t xml:space="preserve"> </w:t>
            </w:r>
            <w:r>
              <w:rPr>
                <w:rStyle w:val="VerbatimChar"/>
              </w:rPr>
              <w:t xml:space="preserve">countries_master.id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taxonomy_version</w:t>
            </w:r>
            <w:r>
              <w:t xml:space="preserve"> </w:t>
            </w:r>
            <w:r>
              <w:t xml:space="preserve">table or</w:t>
            </w:r>
            <w:r>
              <w:t xml:space="preserve"> </w:t>
            </w:r>
            <w:r>
              <w:rPr>
                <w:rStyle w:val="VerbatimChar"/>
              </w:rPr>
              <w:t xml:space="preserve">taxonomy_version_id</w:t>
            </w:r>
            <w:r>
              <w:t xml:space="preserve"> </w:t>
            </w:r>
            <w:r>
              <w:t xml:space="preserve">column exists anywhere in the migration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UUID primary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Realized</w:t>
            </w:r>
            <w:r>
              <w:t xml:space="preserve"> </w:t>
            </w:r>
            <w:r>
              <w:t xml:space="preserve">(independently)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inspected table uses</w:t>
            </w:r>
            <w:r>
              <w:t xml:space="preserve"> </w:t>
            </w:r>
            <w:r>
              <w:rPr>
                <w:rStyle w:val="VerbatimChar"/>
              </w:rPr>
              <w:t xml:space="preserve">id UUID PRIMARY KEY DEFAULT gen_random_uuid()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  <w:r>
              <w:t xml:space="preserve"> </w:t>
            </w:r>
            <w: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Realized</w:t>
            </w:r>
            <w:r>
              <w:t xml:space="preserve"> </w:t>
            </w:r>
            <w:r>
              <w:t xml:space="preserve">(independently)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all inspected tables; no bare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columns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enums for controlled vocabularies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realized</w:t>
            </w:r>
            <w:r>
              <w:t xml:space="preserve"> </w:t>
            </w:r>
            <w:r>
              <w:t xml:space="preserve">(independently, different scope)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academic_year_enum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academic_board_type_enum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academic_subject_enum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academic_grade_enum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academic_source_type_enum</w:t>
            </w:r>
            <w:r>
              <w:t xml:space="preserve"> </w:t>
            </w:r>
            <w:r>
              <w:t xml:space="preserve">exist; but Phase A’s own logic would have these as</w:t>
            </w:r>
            <w:r>
              <w:t xml:space="preserve"> </w:t>
            </w:r>
            <w:r>
              <w:rPr>
                <w:rStyle w:val="VerbatimChar"/>
              </w:rPr>
              <w:t xml:space="preserve">_code</w:t>
            </w:r>
            <w:r>
              <w:t xml:space="preserve"> </w:t>
            </w:r>
            <w:r>
              <w:t xml:space="preserve">reference-table lookups, not enums, for exactly the extensibility reason</w:t>
            </w:r>
            <w:r>
              <w:t xml:space="preserve"> </w:t>
            </w:r>
            <w:r>
              <w:rPr>
                <w:rStyle w:val="VerbatimChar"/>
              </w:rPr>
              <w:t xml:space="preserve">academic_boards.board_type</w:t>
            </w:r>
            <w:r>
              <w:t xml:space="preserve"> </w:t>
            </w:r>
            <w:r>
              <w:t xml:space="preserve">(built as free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, per its own comment,</w:t>
            </w:r>
            <w:r>
              <w:t xml:space="preserve"> </w:t>
            </w:r>
            <w:r>
              <w:t xml:space="preserve">“</w:t>
            </w:r>
            <w:r>
              <w:t xml:space="preserve">to avoid enum DDL migrations when new board types emerge</w:t>
            </w:r>
            <w:r>
              <w:t xml:space="preserve">”</w:t>
            </w:r>
            <w:r>
              <w:t xml:space="preserve">) argues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Partitioning (4 designated tables)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clause found on any student-academic-domain table; the only partitioned tables in the repository belong to an unrelated subsystem (</w:t>
            </w:r>
            <w:r>
              <w:rPr>
                <w:rStyle w:val="VerbatimChar"/>
              </w:rPr>
              <w:t xml:space="preserve">chi_scores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ai_observability_logs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chema-realization-matrix"/>
    <w:p>
      <w:pPr>
        <w:pStyle w:val="Heading2"/>
      </w:pPr>
      <w:r>
        <w:t xml:space="preserve">3. Schema Realization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Schema (Phase A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academic_domain</w:t>
            </w:r>
            <w:r>
              <w:t xml:space="preserve"> </w:t>
            </w:r>
            <w:r>
              <w:t xml:space="preserve">(dedicated schema, 26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— schema was never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 for</w:t>
            </w:r>
            <w:r>
              <w:t xml:space="preserve"> </w:t>
            </w:r>
            <w:r>
              <w:rPr>
                <w:rStyle w:val="VerbatimChar"/>
              </w:rPr>
              <w:t xml:space="preserve">CREATE SCHEMA academic_domain</w:t>
            </w:r>
            <w:r>
              <w:t xml:space="preserve"> </w:t>
            </w:r>
            <w:r>
              <w:t xml:space="preserve">in any migration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(implicit)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schema, unscoped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student-academic tables live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inversion — Phase A’s entire schema-isolation rationale (Part 1, rule 1) is defeated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student_education_profiles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student_academic_records</w:t>
            </w:r>
            <w:r>
              <w:t xml:space="preserve">, etc. all created as</w:t>
            </w:r>
            <w:r>
              <w:t xml:space="preserve"> </w:t>
            </w:r>
            <w:r>
              <w:rPr>
                <w:rStyle w:val="VerbatimChar"/>
              </w:rPr>
              <w:t xml:space="preserve">public.&lt;table&gt;</w:t>
            </w:r>
            <w:r>
              <w:t xml:space="preserve"> </w:t>
            </w:r>
            <w:r>
              <w:t xml:space="preserve">or unqualified (defaulting to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le-realization-matrix"/>
    <w:p>
      <w:pPr>
        <w:pStyle w:val="Heading2"/>
      </w:pPr>
      <w:r>
        <w:t xml:space="preserve">4. Table Realization Matrix</w:t>
      </w:r>
    </w:p>
    <w:p>
      <w:pPr>
        <w:pStyle w:val="FirstParagraph"/>
      </w:pPr>
      <w:r>
        <w:t xml:space="preserve">Phase A’s 10 domain entities, checked against the closest actual implementation found: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 A Table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E-01, root profile, 1 per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(functionally covered by</w:t>
            </w:r>
            <w:r>
              <w:t xml:space="preserve"> </w:t>
            </w:r>
            <w:r>
              <w:rPr>
                <w:rStyle w:val="VerbatimChar"/>
              </w:rPr>
              <w:t xml:space="preserve">student_education_profiles</w:t>
            </w:r>
            <w:r>
              <w:t xml:space="preserve">, different shape)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student_education_profiles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  <w:r>
              <w:t xml:space="preserve">/versioning fields Phase A specifies, and stores level/board/school as free-form TEXT with check constraints rather than code-referenced taxonomy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20260518000001_student_onboarding_foundation.sql</w:t>
            </w:r>
            <w:r>
              <w:t xml:space="preserve"> </w:t>
            </w:r>
            <w:r>
              <w:t xml:space="preserve">L53–70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language_preference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table matching this purpose found in any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equivalent found; qualification-level modeling appears folded directly into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student_academic_records</w:t>
            </w:r>
            <w:r>
              <w:t xml:space="preserve"> </w:t>
            </w:r>
            <w:r>
              <w:t xml:space="preserve">(per-year, not per-qualification)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(partially folded into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student_academic_subjects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student_academic_subjects</w:t>
            </w:r>
            <w:r>
              <w:t xml:space="preserve"> </w:t>
            </w:r>
            <w:r>
              <w:t xml:space="preserve">mixes selection and performance in one row, rather than Phase A’s separated selection/performance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20260522000001_student_academic_records.sql</w:t>
            </w:r>
            <w:r>
              <w:t xml:space="preserve"> </w:t>
            </w:r>
            <w:r>
              <w:t xml:space="preserve">L164–195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E-05, 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Canonical, partitioned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implemented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student_academic_records</w:t>
            </w:r>
            <w:r>
              <w:t xml:space="preserve">, unpartitioned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supersedes_record_id</w:t>
            </w:r>
            <w:r>
              <w:t xml:space="preserve"> </w:t>
            </w:r>
            <w:r>
              <w:t xml:space="preserve">self-reference; no</w:t>
            </w:r>
            <w:r>
              <w:t xml:space="preserve"> </w:t>
            </w:r>
            <w:r>
              <w:rPr>
                <w:rStyle w:val="VerbatimChar"/>
              </w:rPr>
              <w:t xml:space="preserve">record_version</w:t>
            </w:r>
            <w:r>
              <w:t xml:space="preserve">; unique constraint is</w:t>
            </w:r>
            <w:r>
              <w:t xml:space="preserve"> </w:t>
            </w:r>
            <w:r>
              <w:rPr>
                <w:rStyle w:val="VerbatimChar"/>
              </w:rPr>
              <w:t xml:space="preserve">(user_id, academic_year)</w:t>
            </w:r>
            <w:r>
              <w:t xml:space="preserve"> </w:t>
            </w:r>
            <w:r>
              <w:t xml:space="preserve">only, not Phase A’s period/version composite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20260522000001_student_academic_records.sql</w:t>
            </w:r>
            <w:r>
              <w:t xml:space="preserve"> </w:t>
            </w:r>
            <w:r>
              <w:t xml:space="preserve">L113–140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E-06, 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Canonical, partitioned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implemented</w:t>
            </w:r>
            <w:r>
              <w:t xml:space="preserve"> </w:t>
            </w:r>
            <w:r>
              <w:t xml:space="preserve">— merged into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percentage</w:t>
            </w:r>
            <w:r>
              <w:t xml:space="preserve"> </w:t>
            </w:r>
            <w:r>
              <w:t xml:space="preserve">is stored (matching Phase A Part 3’s denormalization exception in spirit), but no partitioning and no separate selection/performance entity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file, L164–195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cognitive_assessment_result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E-07, 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Canonical, partitioned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implemented</w:t>
            </w:r>
            <w:r>
              <w:t xml:space="preserve">, unpartitioned, different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across</w:t>
            </w:r>
            <w:r>
              <w:t xml:space="preserve"> </w:t>
            </w:r>
            <w:r>
              <w:rPr>
                <w:rStyle w:val="VerbatimChar"/>
              </w:rPr>
              <w:t xml:space="preserve">cognitive_questions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cognitive_options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student_cognitive_responses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student_cognitive_signals</w:t>
            </w:r>
            <w:r>
              <w:t xml:space="preserve"> </w:t>
            </w:r>
            <w:r>
              <w:t xml:space="preserve">— a materially richer, more normalized design than Phase A specified, but structurally divergent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20260524000001_student_cognitive_phase3c.sql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implemented</w:t>
            </w:r>
            <w:r>
              <w:t xml:space="preserve">, different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across</w:t>
            </w:r>
            <w:r>
              <w:t xml:space="preserve"> </w:t>
            </w:r>
            <w:r>
              <w:rPr>
                <w:rStyle w:val="VerbatimChar"/>
              </w:rPr>
              <w:t xml:space="preserve">student_activities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student_activity_achievements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student_activity_reflections</w:t>
            </w:r>
            <w:r>
              <w:t xml:space="preserve"> </w:t>
            </w:r>
            <w:r>
              <w:t xml:space="preserve">— again richer than Phase A’s single-table design, but not what was specified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20260523000001_student_activities_phase3b.sql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derived_academic_signal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E-09, 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Canonical, partitioned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directly implemented; superseded by a different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separate, more general</w:t>
            </w:r>
            <w:r>
              <w:t xml:space="preserve"> </w:t>
            </w:r>
            <w:r>
              <w:t xml:space="preserve">“</w:t>
            </w:r>
            <w:r>
              <w:t xml:space="preserve">intelligence signal</w:t>
            </w:r>
            <w:r>
              <w:t xml:space="preserve">”</w:t>
            </w:r>
            <w:r>
              <w:t xml:space="preserve"> </w:t>
            </w:r>
            <w:r>
              <w:t xml:space="preserve">subsystem exists (</w:t>
            </w:r>
            <w:r>
              <w:rPr>
                <w:rStyle w:val="VerbatimChar"/>
              </w:rPr>
              <w:t xml:space="preserve">intelligence_signal_registry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student_signal_vectors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student_signal_evidence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signal_relationships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signal_confidence_models</w:t>
            </w:r>
            <w:r>
              <w:t xml:space="preserve">) that appears to serve a similar cross-domain-derived-signal purpose but is not scoped to academic domain alone and is not partitioned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20260525000001_cross_domain_intelligence_phase3d.sql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E-10,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Canonical, projection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projection/read-model table found; no evidence of the materialization strategy Phase A Part 9 describes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Reference tables:</w:t>
      </w:r>
      <w:r>
        <w:t xml:space="preserve"> </w:t>
      </w:r>
      <w:r>
        <w:t xml:space="preserve">Phase A specifies 16 (</w:t>
      </w:r>
      <w:r>
        <w:rPr>
          <w:rStyle w:val="VerbatimChar"/>
        </w:rPr>
        <w:t xml:space="preserve">ref_country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ref_board_region_map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taxonomy_version</w:t>
      </w:r>
      <w:r>
        <w:t xml:space="preserve">). Implementation found 8 comparable reference tables (</w:t>
      </w:r>
      <w:r>
        <w:rPr>
          <w:rStyle w:val="VerbatimChar"/>
        </w:rPr>
        <w:t xml:space="preserve">countries_master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curriculum_regions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academic_boards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academic_subjects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academic_languages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state_language_mapping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subject_stream_map</w:t>
      </w:r>
      <w:r>
        <w:t xml:space="preserve">), none using the</w:t>
      </w:r>
      <w:r>
        <w:t xml:space="preserve"> </w:t>
      </w:r>
      <w:r>
        <w:rPr>
          <w:rStyle w:val="VerbatimChar"/>
        </w:rPr>
        <w:t xml:space="preserve">ref_</w:t>
      </w:r>
      <w:r>
        <w:t xml:space="preserve"> </w:t>
      </w:r>
      <w:r>
        <w:t xml:space="preserve">prefix, none paired with a</w:t>
      </w:r>
      <w:r>
        <w:t xml:space="preserve"> </w:t>
      </w:r>
      <w:r>
        <w:rPr>
          <w:rStyle w:val="VerbatimChar"/>
        </w:rPr>
        <w:t xml:space="preserve">taxonomy_version</w:t>
      </w:r>
      <w:r>
        <w:t xml:space="preserve"> </w:t>
      </w:r>
      <w:r>
        <w:t xml:space="preserve">concept, and using direct</w:t>
      </w:r>
      <w:r>
        <w:t xml:space="preserve"> </w:t>
      </w:r>
      <w:r>
        <w:rPr>
          <w:rStyle w:val="VerbatimChar"/>
        </w:rPr>
        <w:t xml:space="preserve">id</w:t>
      </w:r>
      <w:r>
        <w:t xml:space="preserve">-based FKs rather than Phase A’s</w:t>
      </w:r>
      <w:r>
        <w:t xml:space="preserve"> </w:t>
      </w:r>
      <w:r>
        <w:rPr>
          <w:rStyle w:val="VerbatimChar"/>
        </w:rPr>
        <w:t xml:space="preserve">_code</w:t>
      </w:r>
      <w:r>
        <w:t xml:space="preserve"> </w:t>
      </w:r>
      <w:r>
        <w:t xml:space="preserve">+ version pattern.</w:t>
      </w:r>
    </w:p>
    <w:p>
      <w:r>
        <w:pict>
          <v:rect style="width:0;height:1.5pt" o:hralign="center" o:hrstd="t" o:hr="t"/>
        </w:pict>
      </w:r>
    </w:p>
    <w:bookmarkEnd w:id="25"/>
    <w:bookmarkStart w:id="26" w:name="relationship-conformance-matrix"/>
    <w:p>
      <w:pPr>
        <w:pStyle w:val="Heading2"/>
      </w:pPr>
      <w:r>
        <w:t xml:space="preserve">5. Relationship Conformance Matrix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Foreign keys found are structurally sound but do not follow Phase A’s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_code</w:t>
      </w:r>
      <w:r>
        <w:rPr>
          <w:bCs/>
          <w:b/>
        </w:rPr>
        <w:t xml:space="preserve">-reference rule.</w:t>
      </w:r>
      <w:r>
        <w:t xml:space="preserve"> </w:t>
      </w:r>
      <w:r>
        <w:rPr>
          <w:rStyle w:val="VerbatimChar"/>
        </w:rPr>
        <w:t xml:space="preserve">academic_boards.country_id → countries_master.id</w:t>
      </w:r>
      <w:r>
        <w:t xml:space="preserve"> </w:t>
      </w:r>
      <w:r>
        <w:t xml:space="preserve">is a conventional surrogate-key FK — precisely the pattern Phase A Part 1 rule 7 and Part 5 prohibit for taxonomy references, specifically to avoid the</w:t>
      </w:r>
      <w:r>
        <w:t xml:space="preserve"> </w:t>
      </w:r>
      <w:r>
        <w:t xml:space="preserve">“</w:t>
      </w:r>
      <w:r>
        <w:t xml:space="preserve">backfill debt</w:t>
      </w:r>
      <w:r>
        <w:t xml:space="preserve">”</w:t>
      </w:r>
      <w:r>
        <w:t xml:space="preserve"> </w:t>
      </w:r>
      <w:r>
        <w:t xml:space="preserve">pattern Phase A cites as its motivating precedent.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Cascading rules: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used consistently from student-owned tables back to</w:t>
      </w:r>
      <w:r>
        <w:t xml:space="preserve"> </w:t>
      </w:r>
      <w:r>
        <w:rPr>
          <w:rStyle w:val="VerbatimChar"/>
        </w:rPr>
        <w:t xml:space="preserve">auth.users(id)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student_academic_records.user_id</w:t>
      </w:r>
      <w:r>
        <w:t xml:space="preserve">);</w:t>
      </w:r>
      <w:r>
        <w:t xml:space="preserve"> </w:t>
      </w:r>
      <w:r>
        <w:rPr>
          <w:rStyle w:val="VerbatimChar"/>
        </w:rPr>
        <w:t xml:space="preserve">academic_boards.country_id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— reasonable choices, but not ones Phase A specified since the referenced tables don’t exist under Phase A’s names.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Missing relationships relative to Phase A:</w:t>
      </w:r>
      <w:r>
        <w:t xml:space="preserve"> </w:t>
      </w:r>
      <w:r>
        <w:t xml:space="preserve">no self-referencing</w:t>
      </w:r>
      <w:r>
        <w:t xml:space="preserve"> </w:t>
      </w:r>
      <w:r>
        <w:rPr>
          <w:rStyle w:val="VerbatimChar"/>
        </w:rPr>
        <w:t xml:space="preserve">supersedes_record_id</w:t>
      </w:r>
      <w:r>
        <w:t xml:space="preserve">/</w:t>
      </w:r>
      <w:r>
        <w:rPr>
          <w:rStyle w:val="VerbatimChar"/>
        </w:rPr>
        <w:t xml:space="preserve">supersedes_activity_id</w:t>
      </w:r>
      <w:r>
        <w:t xml:space="preserve"> </w:t>
      </w:r>
      <w:r>
        <w:t xml:space="preserve">columns found anywhere, meaning Phase A’s versioning/supersession model (used for handling corrected records) has no implementation.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Cardinality:</w:t>
      </w:r>
      <w:r>
        <w:t xml:space="preserve"> </w:t>
      </w:r>
      <w:r>
        <w:rPr>
          <w:rStyle w:val="VerbatimChar"/>
        </w:rPr>
        <w:t xml:space="preserve">student_education_profiles</w:t>
      </w:r>
      <w:r>
        <w:t xml:space="preserve"> </w:t>
      </w:r>
      <w:r>
        <w:t xml:space="preserve">correctly enforces one-per-student (</w:t>
      </w:r>
      <w:r>
        <w:rPr>
          <w:rStyle w:val="VerbatimChar"/>
        </w:rPr>
        <w:t xml:space="preserve">UNIQUE (user_id)</w:t>
      </w:r>
      <w:r>
        <w:t xml:space="preserve">), matching Phase A’s intent for</w:t>
      </w:r>
      <w:r>
        <w:t xml:space="preserve"> </w:t>
      </w:r>
      <w:r>
        <w:rPr>
          <w:rStyle w:val="VerbatimChar"/>
        </w:rPr>
        <w:t xml:space="preserve">student_profile</w:t>
      </w:r>
      <w:r>
        <w:t xml:space="preserve"> </w:t>
      </w:r>
      <w:r>
        <w:t xml:space="preserve">even though the table itself differs.</w:t>
      </w:r>
    </w:p>
    <w:p>
      <w:r>
        <w:pict>
          <v:rect style="width:0;height:1.5pt" o:hralign="center" o:hrstd="t" o:hr="t"/>
        </w:pict>
      </w:r>
    </w:p>
    <w:bookmarkEnd w:id="26"/>
    <w:bookmarkStart w:id="27" w:name="constraint-assessment"/>
    <w:p>
      <w:pPr>
        <w:pStyle w:val="Heading2"/>
      </w:pPr>
      <w:r>
        <w:t xml:space="preserve">6. Constraint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Fully implemented</w:t>
            </w:r>
            <w:r>
              <w:t xml:space="preserve">, consistent with Phase A’s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/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inspected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constraints (business-key uniqueness)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Implemented, but scoped differently than Phase A specifies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uq_academic_record_user_year UNIQUE (user_id, academic_year)</w:t>
            </w:r>
            <w:r>
              <w:t xml:space="preserve"> </w:t>
            </w:r>
            <w:r>
              <w:t xml:space="preserve">vs. Phase A’s</w:t>
            </w:r>
            <w:r>
              <w:t xml:space="preserve"> </w:t>
            </w:r>
            <w:r>
              <w:rPr>
                <w:rStyle w:val="VerbatimChar"/>
              </w:rPr>
              <w:t xml:space="preserve">(qualification_id, period_code, record_version)</w:t>
            </w:r>
            <w:r>
              <w:t xml:space="preserve"> </w:t>
            </w:r>
            <w:r>
              <w:t xml:space="preserve">composite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Implemented, in some cases more thorough than Phase A requires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chk_academic_boards_deprecated_inactive</w:t>
            </w:r>
            <w:r>
              <w:t xml:space="preserve">, marks/percentage range checks, education-level enumeration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Not-null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Consistently applied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timestamp columns all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Consistently applied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, sensible booleans (</w:t>
            </w:r>
            <w:r>
              <w:rPr>
                <w:rStyle w:val="VerbatimChar"/>
              </w:rPr>
              <w:t xml:space="preserve">is_partial DEFAULT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is_predicted DEFAULT FALSE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index-assessment"/>
    <w:p>
      <w:pPr>
        <w:pStyle w:val="Heading2"/>
      </w:pPr>
      <w:r>
        <w:t xml:space="preserve">7. Index Assessment</w:t>
      </w:r>
    </w:p>
    <w:p>
      <w:pPr>
        <w:numPr>
          <w:ilvl w:val="0"/>
          <w:numId w:val="1002"/>
        </w:numPr>
        <w:pStyle w:val="Compact"/>
      </w:pPr>
      <w:r>
        <w:t xml:space="preserve">Indexes exist and are reasonably matched to query patterns actually used (</w:t>
      </w:r>
      <w:r>
        <w:rPr>
          <w:rStyle w:val="VerbatimChar"/>
        </w:rPr>
        <w:t xml:space="preserve">idx_academic_records_user_id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idx_academic_records_user_year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idx_academic_records_partial</w:t>
      </w:r>
      <w:r>
        <w:t xml:space="preserve">), which is good practice, but cannot be assessed against Phase A’s index-candidate notes because Phase A named indexes for tables (</w:t>
      </w:r>
      <w:r>
        <w:rPr>
          <w:rStyle w:val="VerbatimChar"/>
        </w:rPr>
        <w:t xml:space="preserve">academic_record</w:t>
      </w:r>
      <w:r>
        <w:t xml:space="preserve">, partitioned) that don’t exist under that name.</w:t>
      </w:r>
    </w:p>
    <w:p>
      <w:pPr>
        <w:numPr>
          <w:ilvl w:val="0"/>
          <w:numId w:val="1002"/>
        </w:numPr>
        <w:pStyle w:val="Compact"/>
      </w:pPr>
      <w:r>
        <w:t xml:space="preserve">No duplicate indexes found in the tables inspected.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 risk:</w:t>
      </w:r>
      <w:r>
        <w:t xml:space="preserve"> </w:t>
      </w:r>
      <w:r>
        <w:t xml:space="preserve">none of the four tables Phase A flagged for partitioning due to</w:t>
      </w:r>
      <w:r>
        <w:t xml:space="preserve"> </w:t>
      </w:r>
      <w:r>
        <w:t xml:space="preserve">“</w:t>
      </w:r>
      <w:r>
        <w:t xml:space="preserve">unbounded historical growth against a 10-year platform horizon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subject_performance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cognitive_assessment_result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derived_academic_signal</w:t>
      </w:r>
      <w:r>
        <w:t xml:space="preserve">) are partitioned in their actual implementations. This is a real, evidenced forward-looking performance risk independent of naming — Phase A’s growth reasoning applies to</w:t>
      </w:r>
      <w:r>
        <w:t xml:space="preserve"> </w:t>
      </w:r>
      <w:r>
        <w:rPr>
          <w:rStyle w:val="VerbatimChar"/>
        </w:rPr>
        <w:t xml:space="preserve">student_academic_records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student_cognitive_responses</w:t>
      </w:r>
      <w:r>
        <w:t xml:space="preserve">, and the signal-vector tables just as much as it would have applied to the canonically-named versions.</w:t>
      </w:r>
    </w:p>
    <w:p>
      <w:r>
        <w:pict>
          <v:rect style="width:0;height:1.5pt" o:hralign="center" o:hrstd="t" o:hr="t"/>
        </w:pict>
      </w:r>
    </w:p>
    <w:bookmarkEnd w:id="28"/>
    <w:bookmarkStart w:id="29" w:name="security-conformance-assessment"/>
    <w:p>
      <w:pPr>
        <w:pStyle w:val="Heading2"/>
      </w:pPr>
      <w:r>
        <w:t xml:space="preserve">8. Security Conformance Assessment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RLS:</w:t>
      </w:r>
      <w:r>
        <w:t xml:space="preserve"> </w:t>
      </w:r>
      <w:r>
        <w:t xml:space="preserve">Implemented and enabled on</w:t>
      </w:r>
      <w:r>
        <w:t xml:space="preserve"> </w:t>
      </w:r>
      <w:r>
        <w:rPr>
          <w:rStyle w:val="VerbatimChar"/>
        </w:rPr>
        <w:t xml:space="preserve">student_academic_records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student_academic_subjects</w:t>
      </w:r>
      <w:r>
        <w:t xml:space="preserve">, with owner-scoped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policies and an explicit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bypass grant — this is a real, working implementation of the</w:t>
      </w:r>
      <w:r>
        <w:t xml:space="preserve"> </w:t>
      </w:r>
      <w:r>
        <w:rPr>
          <w:iCs/>
          <w:i/>
        </w:rPr>
        <w:t xml:space="preserve">spirit</w:t>
      </w:r>
      <w:r>
        <w:t xml:space="preserve"> </w:t>
      </w:r>
      <w:r>
        <w:t xml:space="preserve">of Phase A Part 6’s ownership-chain guidance, achieved through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directly rather than Phase A’s</w:t>
      </w:r>
      <w:r>
        <w:t xml:space="preserve"> </w:t>
      </w:r>
      <w:r>
        <w:rPr>
          <w:rStyle w:val="VerbatimChar"/>
        </w:rPr>
        <w:t xml:space="preserve">student_profile.student_id</w:t>
      </w:r>
      <w:r>
        <w:t xml:space="preserve"> </w:t>
      </w:r>
      <w:r>
        <w:t xml:space="preserve">chain (which doesn’t exist).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verified in this pass:</w:t>
      </w:r>
      <w:r>
        <w:t xml:space="preserve"> </w:t>
      </w:r>
      <w:r>
        <w:t xml:space="preserve">RLS coverage on the activity, cognitive, and signal-vector tables (</w:t>
      </w:r>
      <w:r>
        <w:rPr>
          <w:rStyle w:val="VerbatimChar"/>
        </w:rPr>
        <w:t xml:space="preserve">student_activities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student_cognitive_responses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student_signal_vectors</w:t>
      </w:r>
      <w:r>
        <w:t xml:space="preserve">, etc.) — no RLS-enabling statements were found for these in the files inspected; this should be treated as</w:t>
      </w:r>
      <w:r>
        <w:t xml:space="preserve"> </w:t>
      </w:r>
      <w:r>
        <w:rPr>
          <w:bCs/>
          <w:b/>
        </w:rPr>
        <w:t xml:space="preserve">unverified, not confirmed-missing</w:t>
      </w:r>
      <w:r>
        <w:t xml:space="preserve">, and flagged for a follow-up targeted check rather than asserted either way.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Column-level protection:</w:t>
      </w:r>
      <w:r>
        <w:t xml:space="preserve"> </w:t>
      </w:r>
      <w:r>
        <w:t xml:space="preserve">Phase A Part 6 flags free-text/JSON payload columns (e.g. cognitive raw responses) as requiring column-level access restriction beyond row-level RLS. No column-level restriction (e.g. views with column exclusion, or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on specific columns) was found for</w:t>
      </w:r>
      <w:r>
        <w:t xml:space="preserve"> </w:t>
      </w:r>
      <w:r>
        <w:rPr>
          <w:rStyle w:val="VerbatimChar"/>
        </w:rPr>
        <w:t xml:space="preserve">student_cognitive_responses</w:t>
      </w:r>
      <w:r>
        <w:t xml:space="preserve"> </w:t>
      </w:r>
      <w:r>
        <w:t xml:space="preserve">in the files inspected — flagged as a gap if such a column-level requirement carries over conceptually to the actual implementation.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Grants:</w:t>
      </w:r>
      <w:r>
        <w:t xml:space="preserve"> </w:t>
      </w:r>
      <w:r>
        <w:rPr>
          <w:rStyle w:val="VerbatimChar"/>
        </w:rPr>
        <w:t xml:space="preserve">GRANT ALL ... TO service_role</w:t>
      </w:r>
      <w:r>
        <w:t xml:space="preserve"> </w:t>
      </w:r>
      <w:r>
        <w:t xml:space="preserve">is present and matches the</w:t>
      </w:r>
      <w:r>
        <w:t xml:space="preserve"> </w:t>
      </w:r>
      <w:r>
        <w:t xml:space="preserve">“</w:t>
      </w:r>
      <w:r>
        <w:t xml:space="preserve">service-role-bypasses-RLS is standard practice</w:t>
      </w:r>
      <w:r>
        <w:t xml:space="preserve">”</w:t>
      </w:r>
      <w:r>
        <w:t xml:space="preserve"> </w:t>
      </w:r>
      <w:r>
        <w:t xml:space="preserve">pattern the program has treated as acceptable elsewhere (per ACR-01’s scorecard commentary).</w:t>
      </w:r>
    </w:p>
    <w:p>
      <w:r>
        <w:pict>
          <v:rect style="width:0;height:1.5pt" o:hralign="center" o:hrstd="t" o:hr="t"/>
        </w:pict>
      </w:r>
    </w:p>
    <w:bookmarkEnd w:id="29"/>
    <w:bookmarkStart w:id="30" w:name="repository-layer-assessment"/>
    <w:p>
      <w:pPr>
        <w:pStyle w:val="Heading2"/>
      </w:pPr>
      <w:r>
        <w:t xml:space="preserve">9. Repository Layer Assessment</w:t>
      </w:r>
    </w:p>
    <w:p>
      <w:pPr>
        <w:pStyle w:val="FirstParagraph"/>
      </w:pPr>
      <w:r>
        <w:t xml:space="preserve">Phase A does not itself specify repository-layer code (that is EEP-01 Phase D/G territory), so this section is necessarily limited: the physical schema realized does not match Phase A’s target closely enough to assess repository-layer conformance to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meaningfully. What can be said: the existence of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triggers, consistent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constraints, and indexed query patterns implies a repository layer that performs targeted, single-table CRUD rather than the cross-table projection reads Phase A’s</w:t>
      </w:r>
      <w:r>
        <w:t xml:space="preserve"> </w:t>
      </w:r>
      <w:r>
        <w:rPr>
          <w:rStyle w:val="VerbatimChar"/>
        </w:rPr>
        <w:t xml:space="preserve">academic_context</w:t>
      </w:r>
      <w:r>
        <w:t xml:space="preserve"> </w:t>
      </w:r>
      <w:r>
        <w:t xml:space="preserve">design anticipates — but this is inferred from schema shape, not independently verified against actual repository/service code in this pass.</w:t>
      </w:r>
    </w:p>
    <w:p>
      <w:r>
        <w:pict>
          <v:rect style="width:0;height:1.5pt" o:hralign="center" o:hrstd="t" o:hr="t"/>
        </w:pict>
      </w:r>
    </w:p>
    <w:bookmarkEnd w:id="30"/>
    <w:bookmarkStart w:id="31" w:name="migration-quality-assessment"/>
    <w:p>
      <w:pPr>
        <w:pStyle w:val="Heading2"/>
      </w:pPr>
      <w:r>
        <w:t xml:space="preserve">10. Migration Quality Assessment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Migrations are timestamp-named and organized by feature phase (</w:t>
      </w:r>
      <w:r>
        <w:rPr>
          <w:rStyle w:val="VerbatimChar"/>
        </w:rPr>
        <w:t xml:space="preserve">phase3b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phase3c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phase3d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phase1a</w:t>
      </w:r>
      <w:r>
        <w:t xml:space="preserve">), which is a reasonable, consistent convention, though a different one than Phase A’s own numbering implies.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Rollback readiness:</w:t>
      </w:r>
      <w:r>
        <w:t xml:space="preserve"> </w:t>
      </w:r>
      <w:r>
        <w:t xml:space="preserve">Corresponding rollback files exist for several migration sets (e.g. </w:t>
      </w:r>
      <w:r>
        <w:rPr>
          <w:rStyle w:val="VerbatimChar"/>
        </w:rPr>
        <w:t xml:space="preserve">core/supabase/rollback/20260526000001_phase1a_academic_taxonomy_infrastructure.rollback.sql</w:t>
      </w:r>
      <w:r>
        <w:t xml:space="preserve">), which is good practice not required or specified by Phase A itself.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Idempotency: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DROP TRIGGER IF EXISTS ... CREATE TRIGGER</w:t>
      </w:r>
      <w:r>
        <w:t xml:space="preserve"> </w:t>
      </w:r>
      <w:r>
        <w:t xml:space="preserve">patterns are used consistently, which is good defensive practice.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Backward compatibility / coexistence:</w:t>
      </w:r>
      <w:r>
        <w:t xml:space="preserve"> </w:t>
      </w:r>
      <w:r>
        <w:t xml:space="preserve">Phase A Part 1 rule 10 was specifically designed so a Phase A migration could run</w:t>
      </w:r>
      <w:r>
        <w:t xml:space="preserve"> </w:t>
      </w:r>
      <w:r>
        <w:rPr>
          <w:iCs/>
          <w:i/>
        </w:rPr>
        <w:t xml:space="preserve">alongside</w:t>
      </w:r>
      <w:r>
        <w:t xml:space="preserve"> </w:t>
      </w:r>
      <w:r>
        <w:t xml:space="preserve">the legacy schema during a coexistence window. Since Phase A was never migrated to, this coexistence design was never exercised — there is nothing to assess here beyond noting the capability was designed but unused.</w:t>
      </w:r>
    </w:p>
    <w:p>
      <w:r>
        <w:pict>
          <v:rect style="width:0;height:1.5pt" o:hralign="center" o:hrstd="t" o:hr="t"/>
        </w:pict>
      </w:r>
    </w:p>
    <w:bookmarkEnd w:id="31"/>
    <w:bookmarkStart w:id="32" w:name="enterprise-gap-register"/>
    <w:p>
      <w:pPr>
        <w:pStyle w:val="Heading2"/>
      </w:pPr>
      <w:r>
        <w:t xml:space="preserve">11. Enterprise Gap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academic_domain</w:t>
            </w:r>
            <w:r>
              <w:t xml:space="preserve"> </w:t>
            </w:r>
            <w:r>
              <w:t xml:space="preserve">schema isolation (Part 1, rule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CREATE SCHEMA academic_domain</w:t>
            </w:r>
            <w:r>
              <w:t xml:space="preserve"> </w:t>
            </w:r>
            <w:r>
              <w:t xml:space="preserve">found anywhere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Loses the collision-prevention benefit Phase A designed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current single-schema design has worked so far but forecloses the isolation benefit as the schema grows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explicitly: either migrate to</w:t>
            </w:r>
            <w:r>
              <w:t xml:space="preserve"> </w:t>
            </w:r>
            <w:r>
              <w:rPr>
                <w:rStyle w:val="VerbatimChar"/>
              </w:rPr>
              <w:t xml:space="preserve">academic_domain</w:t>
            </w:r>
            <w:r>
              <w:t xml:space="preserve"> </w:t>
            </w:r>
            <w:r>
              <w:t xml:space="preserve">isolation, or formally supersede this requirement in a revised Phase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26-table canonical naming (</w:t>
            </w:r>
            <w:r>
              <w:rPr>
                <w:rStyle w:val="VerbatimChar"/>
              </w:rPr>
              <w:t xml:space="preserve">ref_*</w:t>
            </w:r>
            <w:r>
              <w:t xml:space="preserve">, singular nouns)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of the 26 names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(Phase A) is not usable as a reference for engineers reading the live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onboarding/reference risk, not a runtime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rename to match Phase A, or update Phase A to reflect the real table names (preferred, lower-risk option)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taxonomy_version_id</w:t>
            </w:r>
            <w:r>
              <w:t xml:space="preserve"> </w:t>
            </w:r>
            <w:r>
              <w:t xml:space="preserve">reference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academic_boards.country_id</w:t>
            </w:r>
            <w:r>
              <w:t xml:space="preserve"> </w:t>
            </w:r>
            <w:r>
              <w:t xml:space="preserve">is a direct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FK; no</w:t>
            </w:r>
            <w:r>
              <w:t xml:space="preserve"> </w:t>
            </w:r>
            <w:r>
              <w:rPr>
                <w:rStyle w:val="VerbatimChar"/>
              </w:rPr>
              <w:t xml:space="preserve">taxonomy_version</w:t>
            </w:r>
            <w:r>
              <w:t xml:space="preserve"> </w:t>
            </w:r>
            <w:r>
              <w:t xml:space="preserve">table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denormalization/reconciliation-debt risk Phase A cites as its own motivating precedent is structurally possible again under the current design if board/country facts are ever copied onto student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 — matches a failure mode Phase A explicitly warned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whether any student-facing table denormalizes taxonomy facts; if not yet, document the current direct-FK pattern as an accepted, revised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Partitioning of 4 high-growth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clause on any student-academic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Real, growing operational risk as historical data accumulates over the platform’s stated 10-year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Medium, growing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partitioning work for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student_cognitive_responses</w:t>
            </w:r>
            <w:r>
              <w:t xml:space="preserve">/</w:t>
            </w:r>
            <w:r>
              <w:rPr>
                <w:rStyle w:val="VerbatimChar"/>
              </w:rPr>
              <w:t xml:space="preserve">student_signal_vectors</w:t>
            </w:r>
            <w:r>
              <w:t xml:space="preserve"> </w:t>
            </w:r>
            <w:r>
              <w:t xml:space="preserve">once volume projections justify it (adoption trigger, not immediate)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academic_qualification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subject_selection</w:t>
            </w:r>
            <w:r>
              <w:t xml:space="preserve"> </w:t>
            </w:r>
            <w:r>
              <w:t xml:space="preserve">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Folded into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student_academic_records</w:t>
            </w:r>
            <w:r>
              <w:t xml:space="preserve">/</w:t>
            </w:r>
            <w:r>
              <w:rPr>
                <w:rStyle w:val="VerbatimChar"/>
              </w:rPr>
              <w:t xml:space="preserve">student_academic_subjects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represent multiple qualifications per student cleanly (e.g., re-takes, transfers) the way Phase A’s model intended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 — current design appears adequate for current product scope (per-year records)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 only if multi-qualification tracking becomes a real product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Self-referencing supersession (</w:t>
            </w:r>
            <w:r>
              <w:rPr>
                <w:rStyle w:val="VerbatimChar"/>
              </w:rPr>
              <w:t xml:space="preserve">supersedes_record_id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anywhere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structural way to represent a corrected/superseded historical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if data-correction workflows become a real need; not urgent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coverage on activity/cognitive/signal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confirmed present or absent in this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— could be a real security gap or simply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until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follow-up: verify RLS status on</w:t>
            </w:r>
            <w:r>
              <w:t xml:space="preserve"> </w:t>
            </w:r>
            <w:r>
              <w:rPr>
                <w:rStyle w:val="VerbatimChar"/>
              </w:rPr>
              <w:t xml:space="preserve">student_activities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student_cognitive_responses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student_signal_vectors</w:t>
            </w:r>
            <w:r>
              <w:t xml:space="preserve">, and related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(pending verification)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echnical-debt-register"/>
    <w:p>
      <w:pPr>
        <w:pStyle w:val="Heading2"/>
      </w:pPr>
      <w:r>
        <w:t xml:space="preserve">12. Technical Debt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A architecture and live schema have diverged completely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appears to have been authored without a corresponding migration effort, or was authored to describe an intended future state that implementation did not 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cannot currently be trusted as a description of the running system by anyone relying on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any future work planned against Phase A’s table names would target nonexistent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to fix (documentation correction) but requires an explicit decision (Section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taxonomy-versioning concept in the live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Direct-FK reference tables were built independently, without the taxonomy-version design Phase A specifies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currently visible — no reconciliation-debt symptom found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— risk activates only if/when taxonomy facts get denormalized onto student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if retrofitted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partitioning on growing historical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built; may not have been necessary at current data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degrade query performance as historical data accumulates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Medium, time-sensitive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isk-assessment"/>
    <w:p>
      <w:pPr>
        <w:pStyle w:val="Heading2"/>
      </w:pPr>
      <w:r>
        <w:t xml:space="preserve">13. Risk Assessment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integrity risk:</w:t>
      </w:r>
      <w:r>
        <w:t xml:space="preserve"> </w:t>
      </w:r>
      <w:r>
        <w:t xml:space="preserve">Low-Medium. Constraints, uniqueness, and cascade rules in the live schema are sound on their own terms; the risk is not integrity within the current design but the absence of Phase A’s supersession/versioning model if correction workflows are ever needed.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 risk:</w:t>
      </w:r>
      <w:r>
        <w:t xml:space="preserve"> </w:t>
      </w:r>
      <w:r>
        <w:t xml:space="preserve">Medium, growing. Unpartitioned, append-heavy tables (</w:t>
      </w:r>
      <w:r>
        <w:rPr>
          <w:rStyle w:val="VerbatimChar"/>
        </w:rPr>
        <w:t xml:space="preserve">student_academic_records</w:t>
      </w:r>
      <w:r>
        <w:t xml:space="preserve">, cognitive/signal tables) will face the exact growth pattern Phase A’s Part 4 reasoning anticipated, without the mitigation Phase A specified.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Security risk:</w:t>
      </w:r>
      <w:r>
        <w:t xml:space="preserve"> </w:t>
      </w:r>
      <w:r>
        <w:t xml:space="preserve">Medium, pending verification (G-07). Confirmed-good RLS pattern on academic records/subjects; unverified elsewhere.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Scalability risk:</w:t>
      </w:r>
      <w:r>
        <w:t xml:space="preserve"> </w:t>
      </w:r>
      <w:r>
        <w:t xml:space="preserve">Medium — same basis as performance risk.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Maintainability / documentation risk:</w:t>
      </w:r>
      <w:r>
        <w:t xml:space="preserve"> </w:t>
      </w:r>
      <w:r>
        <w:t xml:space="preserve">High. This is the dominant risk this assessment surfaces: architecture documentation asserting a design that was never built creates real risk that future work (including future Claude-assisted work) will be planned against a nonexistent schema, exactly as this document’s own commissioning prompt initially assumed EEP-01 Phase A was</w:t>
      </w:r>
      <w:r>
        <w:t xml:space="preserve"> </w:t>
      </w:r>
      <w:r>
        <w:t xml:space="preserve">“</w:t>
      </w:r>
      <w:r>
        <w:t xml:space="preserve">the approved architecture</w:t>
      </w:r>
      <w:r>
        <w:t xml:space="preserve">”</w:t>
      </w:r>
      <w:r>
        <w:t xml:space="preserve"> </w:t>
      </w:r>
      <w:r>
        <w:t xml:space="preserve">realized in the repository.</w:t>
      </w:r>
    </w:p>
    <w:p>
      <w:r>
        <w:pict>
          <v:rect style="width:0;height:1.5pt" o:hralign="center" o:hrstd="t" o:hr="t"/>
        </w:pict>
      </w:r>
    </w:p>
    <w:bookmarkEnd w:id="34"/>
    <w:bookmarkStart w:id="35" w:name="physical-data-model-conformance-score"/>
    <w:p>
      <w:pPr>
        <w:pStyle w:val="Heading2"/>
      </w:pPr>
      <w:r>
        <w:t xml:space="preserve">14. Physical Data Model Conformance Score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engineering within itself, but bears almost no structural resemblance to the canonical Phase A design it’s meant to conform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Referential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FKs, cascades, and uniqueness constraints are correctly applied to the schema that actually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Confirmed-good RLS pattern where checked; real coverage gap where unverified (G-07)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evidence gathered in this pass (Section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indexing for current query patterns; unaddressed partitioning risk for future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naming, idempotent DDL, rollback files present — genuinely good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taxonomy-versioning, no</w:t>
            </w:r>
            <w:r>
              <w:t xml:space="preserve"> </w:t>
            </w:r>
            <w:r>
              <w:rPr>
                <w:rStyle w:val="VerbatimChar"/>
              </w:rPr>
              <w:t xml:space="preserve">_code</w:t>
            </w:r>
            <w:r>
              <w:t xml:space="preserve"> </w:t>
            </w:r>
            <w:r>
              <w:t xml:space="preserve">pattern, no schema isolation — the specific governance mechanisms Phase A designed are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live schema is internally maintainable; the</w:t>
            </w:r>
            <w:r>
              <w:t xml:space="preserve"> </w:t>
            </w:r>
            <w:r>
              <w:rPr>
                <w:iCs/>
                <w:i/>
              </w:rPr>
              <w:t xml:space="preserve">documentation ecosystem</w:t>
            </w:r>
            <w:r>
              <w:t xml:space="preserve"> </w:t>
            </w:r>
            <w:r>
              <w:t xml:space="preserve">around it (Phase A) actively undermines maintainability by describing a different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Physical Data Model Conformance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toward Schema Design and Data Governance, since those are where Phase A’s specific, deliberate design decisions were meant to prevent exactly the kind of drift this assessment found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enterprise-maturity-assessment"/>
    <w:p>
      <w:pPr>
        <w:pStyle w:val="Heading2"/>
      </w:pPr>
      <w:r>
        <w:t xml:space="preserve">15. Enterprise Maturity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design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conventions (UUID PKs, timestamptz, enums, constraints) applied across independently-built tables — better than ad hoc, not yet a defined enterprise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Architecture-to-implementation alignment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process evidently exists to check that architecture documents match what gets built; this assessment is the first such check found in the repository for this specific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Governance/taxonomy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versioning concept for reference data; direct FK pattern works today but has no defined evolution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</w:t>
            </w:r>
            <w:r>
              <w:t xml:space="preserve"> </w:t>
            </w:r>
            <w:r>
              <w:t xml:space="preserve">(where 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pattern is real and consistent where checked; coverage completeness is unverified enough to withhold a</w:t>
            </w:r>
            <w:r>
              <w:t xml:space="preserve"> </w:t>
            </w:r>
            <w:r>
              <w:t xml:space="preserve">“</w:t>
            </w:r>
            <w:r>
              <w:t xml:space="preserve">Defined</w:t>
            </w:r>
            <w:r>
              <w:t xml:space="preserve">”</w:t>
            </w:r>
            <w:r>
              <w:t xml:space="preserve"> </w:t>
            </w:r>
            <w:r>
              <w:t xml:space="preserve">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process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convention, idempotency, and rollback files show a genuinely repeatable, documented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Rich, detailed architecture documents exist but are not synchronized with implementation — volume of documentation should not be mistaken for maturity of the documentation</w:t>
            </w:r>
            <w:r>
              <w:t xml:space="preserve"> </w:t>
            </w:r>
            <w:r>
              <w:rPr>
                <w:iCs/>
                <w:i/>
              </w:rPr>
              <w:t xml:space="preserve">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rioritized-realization-backlog"/>
    <w:p>
      <w:pPr>
        <w:pStyle w:val="Heading2"/>
      </w:pPr>
      <w:r>
        <w:t xml:space="preserve">16. Prioritized Realization Backlog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WP ID (proposed)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Importance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ERP-01-WP-01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disposition of EEP-01 Phase A: either retire/revise it to describe the actual live schema, or commit to a migration plan toward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resolves the core maintainability risk (Section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(decision), High (if migration chosen)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Decision: 1 session; migration (if chosen): multi-sprint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single, current, accurate physical-data-model document exists that matches the live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ERP-01-WP-02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RLS coverage on activity, cognitive, and signal-vector tables (G-07)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closes an unverified security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status confirmed and documented for every student-owned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ERP-01-WP-03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Partitioning assessment and plan for</w:t>
            </w:r>
            <w:r>
              <w:t xml:space="preserve"> </w:t>
            </w:r>
            <w:r>
              <w:rPr>
                <w:rStyle w:val="VerbatimChar"/>
              </w:rPr>
              <w:t xml:space="preserve">student_academic_records</w:t>
            </w:r>
            <w:r>
              <w:t xml:space="preserve">, cognitive/signal tables, triggered by actual volume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current row-count/growth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Medium, time-sensitive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sprint for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documented partitioning trigger (row count or date threshold) and a ready-to-execute migration when it fires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ERP-01-WP-04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the accepted direct-FK taxonomy pattern (or retrofit</w:t>
            </w:r>
            <w:r>
              <w:t xml:space="preserve"> </w:t>
            </w:r>
            <w:r>
              <w:rPr>
                <w:rStyle w:val="VerbatimChar"/>
              </w:rPr>
              <w:t xml:space="preserve">_code</w:t>
            </w:r>
            <w:r>
              <w:t xml:space="preserve">+version pattern) as a deliberate decision, closing 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ERP-01-WP-01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(documentation) to High (retrofit)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session (documentation)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ADR exists explicitly accepting or superseding Phase A’s taxonomy-versioning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ERP-01-WP-05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Column-level access review for free-text/JSON payload columns (e.g. cognitive raw responses)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ERP-01-WP-02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decision on whether column-level restriction beyond RLS is needed</w:t>
            </w:r>
          </w:p>
        </w:tc>
      </w:tr>
    </w:tbl>
    <w:p>
      <w:pPr>
        <w:pStyle w:val="BodyText"/>
      </w:pPr>
      <w:r>
        <w:t xml:space="preserve">This backlog feeds ERP-01 Phase B as specified.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2026-07-08T11:18:48Z</dcterms:created>
  <dcterms:modified xsi:type="dcterms:W3CDTF">2026-07-08T11:18:48Z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