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rp-01-phase-a.2"/>
    <w:p>
      <w:pPr>
        <w:pStyle w:val="Heading1"/>
      </w:pPr>
      <w:r>
        <w:t xml:space="preserve">ERP-01 — Phase A.2</w:t>
      </w:r>
    </w:p>
    <w:bookmarkEnd w:id="20"/>
    <w:bookmarkStart w:id="42" w:name="Xd70a1eba2dee4f1fcca5d7bdb7a8bf015b0714e"/>
    <w:p>
      <w:pPr>
        <w:pStyle w:val="Heading1"/>
      </w:pPr>
      <w:r>
        <w:t xml:space="preserve">Enterprise Architecture Governance &amp; Disposition Assessment</w:t>
      </w:r>
    </w:p>
    <w:bookmarkStart w:id="21" w:name="hirerise-career-intelligence-platform"/>
    <w:p>
      <w:pPr>
        <w:pStyle w:val="Heading3"/>
      </w:pPr>
      <w:r>
        <w:t xml:space="preserve">HireRise Career Intelligence Platform</w:t>
      </w:r>
    </w:p>
    <w:p>
      <w:pPr>
        <w:pStyle w:val="FirstParagraph"/>
      </w:pPr>
      <w:r>
        <w:t xml:space="preserve">Version 1.0 | Status: DRAFT FOR REVIEW</w:t>
      </w:r>
      <w:r>
        <w:t xml:space="preserve"> </w:t>
      </w:r>
      <w:r>
        <w:rPr>
          <w:bCs/>
          <w:b/>
        </w:rPr>
        <w:t xml:space="preserve">Primary evidence source:</w:t>
      </w:r>
      <w:r>
        <w:t xml:space="preserve"> </w:t>
      </w:r>
      <w:r>
        <w:t xml:space="preserve">ERP-01 Phase A.1 — Enterprise Physical Data Model Realization Assessment (this session)</w:t>
      </w:r>
    </w:p>
    <w:p>
      <w:r>
        <w:pict>
          <v:rect style="width:0;height:1.5pt" o:hralign="center" o:hrstd="t" o:hr="t"/>
        </w:pict>
      </w:r>
    </w:p>
    <w:bookmarkEnd w:id="21"/>
    <w:bookmarkStart w:id="22" w:name="a-note-on-scope-and-evidence"/>
    <w:p>
      <w:pPr>
        <w:pStyle w:val="Heading2"/>
      </w:pPr>
      <w:r>
        <w:t xml:space="preserve">A Note on Scope and Evidence</w:t>
      </w:r>
    </w:p>
    <w:p>
      <w:pPr>
        <w:pStyle w:val="FirstParagraph"/>
      </w:pPr>
      <w:r>
        <w:t xml:space="preserve">This document governs the seven gaps (G-01–G-07) and three technical debt items identified in Phase A.1, per instruction to treat that assessment as primary evidence rather than re-inspecting the repository. One point of correction carried forward from earlier in this program: this prompt’s Enterprise Context lists EEP-02 Phases A–J as</w:t>
      </w:r>
      <w:r>
        <w:t xml:space="preserve"> </w:t>
      </w:r>
      <w:r>
        <w:t xml:space="preserve">“</w:t>
      </w:r>
      <w:r>
        <w:t xml:space="preserve">Approved.</w:t>
      </w:r>
      <w:r>
        <w:t xml:space="preserve">”</w:t>
      </w:r>
      <w:r>
        <w:t xml:space="preserve"> </w:t>
      </w:r>
      <w:r>
        <w:t xml:space="preserve">Repository inspection earlier in this engagement found Phases A–H do not exist, and Phases I and J exist only as unratified drafts produced in this working session. That finding is restated here once, briefly, because a governance document is exactly the place it matters — no ADR below relies on EEP-02 as an evidence source; all cite EEP-01 Phase A and Phase A.1 directly.</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Phase A.1 found that EEP-01 Phase A’s canonical physical data model was not realized under its own design: no</w:t>
      </w:r>
      <w:r>
        <w:t xml:space="preserve"> </w:t>
      </w:r>
      <w:r>
        <w:rPr>
          <w:rStyle w:val="VerbatimChar"/>
        </w:rPr>
        <w:t xml:space="preserve">academic_domain</w:t>
      </w:r>
      <w:r>
        <w:t xml:space="preserve"> </w:t>
      </w:r>
      <w:r>
        <w:t xml:space="preserve">schema, none of the 26 canonical table names, no taxonomy-versioning pattern, no partitioning. It also found the actual implementation independently sound on general engineering hygiene (UUID keys,</w:t>
      </w:r>
      <w:r>
        <w:t xml:space="preserve"> </w:t>
      </w:r>
      <w:r>
        <w:rPr>
          <w:rStyle w:val="VerbatimChar"/>
        </w:rPr>
        <w:t xml:space="preserve">timestamptz</w:t>
      </w:r>
      <w:r>
        <w:t xml:space="preserve">, RLS, enums, constraints).</w:t>
      </w:r>
    </w:p>
    <w:p>
      <w:pPr>
        <w:pStyle w:val="BodyText"/>
      </w:pPr>
      <w:r>
        <w:t xml:space="preserve">This document’s governance conclusion, in one sentence:</w:t>
      </w:r>
      <w:r>
        <w:t xml:space="preserve"> </w:t>
      </w:r>
      <w:r>
        <w:rPr>
          <w:bCs/>
          <w:b/>
        </w:rPr>
        <w:t xml:space="preserve">the implementation should not be forced to converge on Phase A’s specific design, because Phase A’s design was written to solve problems (legacy naming collisions, ad hoc taxonomy denormalization) that the actual implementation either doesn’t have or has solved differently and adequately</w:t>
      </w:r>
      <w:r>
        <w:t xml:space="preserve"> </w:t>
      </w:r>
      <w:r>
        <w:t xml:space="preserve">— with two exceptions (G-03’s taxonomy-reference pattern and G-07’s RLS verification gap) that carry real enough risk to warrant an active decision rather than passive acceptance, and one item (G-04, partitioning) that is correctly deferred rather than accepted or rejected outright.</w:t>
      </w:r>
    </w:p>
    <w:p>
      <w:pPr>
        <w:pStyle w:val="BodyText"/>
      </w:pPr>
      <w:r>
        <w:t xml:space="preserve">Of the seven gaps:</w:t>
      </w:r>
      <w:r>
        <w:t xml:space="preserve"> </w:t>
      </w:r>
      <w:r>
        <w:rPr>
          <w:bCs/>
          <w:b/>
        </w:rPr>
        <w:t xml:space="preserve">one is dispositioned Supersede</w:t>
      </w:r>
      <w:r>
        <w:t xml:space="preserve"> </w:t>
      </w:r>
      <w:r>
        <w:t xml:space="preserve">(schema/table naming — the architecture should be updated to describe reality),</w:t>
      </w:r>
      <w:r>
        <w:t xml:space="preserve"> </w:t>
      </w:r>
      <w:r>
        <w:rPr>
          <w:bCs/>
          <w:b/>
        </w:rPr>
        <w:t xml:space="preserve">one Realize</w:t>
      </w:r>
      <w:r>
        <w:t xml:space="preserve"> </w:t>
      </w:r>
      <w:r>
        <w:t xml:space="preserve">(RLS verification, because it’s cheap and closes a real unknown),</w:t>
      </w:r>
      <w:r>
        <w:t xml:space="preserve"> </w:t>
      </w:r>
      <w:r>
        <w:rPr>
          <w:bCs/>
          <w:b/>
        </w:rPr>
        <w:t xml:space="preserve">one Accept</w:t>
      </w:r>
      <w:r>
        <w:t xml:space="preserve"> </w:t>
      </w:r>
      <w:r>
        <w:t xml:space="preserve">(direct-FK taxonomy pattern is fine at current scale, but see ADR-003’s condition),</w:t>
      </w:r>
      <w:r>
        <w:t xml:space="preserve"> </w:t>
      </w:r>
      <w:r>
        <w:rPr>
          <w:bCs/>
          <w:b/>
        </w:rPr>
        <w:t xml:space="preserve">three Defer</w:t>
      </w:r>
      <w:r>
        <w:t xml:space="preserve"> </w:t>
      </w:r>
      <w:r>
        <w:t xml:space="preserve">(partitioning, qualification/subject-selection separation, supersession/versioning — all real future needs gated on measurable triggers that haven’t fired), and</w:t>
      </w:r>
      <w:r>
        <w:t xml:space="preserve"> </w:t>
      </w:r>
      <w:r>
        <w:rPr>
          <w:bCs/>
          <w:b/>
        </w:rPr>
        <w:t xml:space="preserve">one Accept</w:t>
      </w:r>
      <w:r>
        <w:t xml:space="preserve"> </w:t>
      </w:r>
      <w:r>
        <w:t xml:space="preserve">(migration quality — no gap, the implementation exceeds the bar). None are dispositioned Reject; nothing found so far indicates both architecture and implementation are inadequate.</w:t>
      </w:r>
    </w:p>
    <w:p>
      <w:r>
        <w:pict>
          <v:rect style="width:0;height:1.5pt" o:hralign="center" o:hrstd="t" o:hr="t"/>
        </w:pict>
      </w:r>
    </w:p>
    <w:bookmarkEnd w:id="23"/>
    <w:bookmarkStart w:id="24" w:name="disposition-method"/>
    <w:p>
      <w:pPr>
        <w:pStyle w:val="Heading2"/>
      </w:pPr>
      <w:r>
        <w:t xml:space="preserve">2. Disposition Method</w:t>
      </w:r>
    </w:p>
    <w:p>
      <w:pPr>
        <w:pStyle w:val="FirstParagraph"/>
      </w:pPr>
      <w:r>
        <w:t xml:space="preserve">Each Phase A.1 gap is evaluated against: Business Value, Architectural Value, Technical Value, Operational Impact, Migration Cost, Implementation Complexity, Delivery Risk, Long-term Maintainability, Performance Impact, Security Impact, Scalability, Developer Experience, Documentation Impact, Governance Impact, Future Flexibility — then assigned one of the five governance dispositions (Realize / Supersede / Accept / Defer / Reject).</w:t>
      </w:r>
    </w:p>
    <w:p>
      <w:r>
        <w:pict>
          <v:rect style="width:0;height:1.5pt" o:hralign="center" o:hrstd="t" o:hr="t"/>
        </w:pict>
      </w:r>
    </w:p>
    <w:bookmarkEnd w:id="24"/>
    <w:bookmarkStart w:id="32" w:name="architecture-decision-records"/>
    <w:p>
      <w:pPr>
        <w:pStyle w:val="Heading2"/>
      </w:pPr>
      <w:r>
        <w:t xml:space="preserve">3. Architecture Decision Records</w:t>
      </w:r>
    </w:p>
    <w:bookmarkStart w:id="25" w:name="adr-001-academic-domain-schema-isolation"/>
    <w:p>
      <w:pPr>
        <w:pStyle w:val="Heading3"/>
      </w:pPr>
      <w:r>
        <w:t xml:space="preserve">ADR-001 — Academic Domain Schema Isolation</w:t>
      </w:r>
    </w:p>
    <w:p>
      <w:pPr>
        <w:pStyle w:val="FirstParagraph"/>
      </w:pPr>
      <w:r>
        <w:rPr>
          <w:bCs/>
          <w:b/>
        </w:rPr>
        <w:t xml:space="preserve">Background:</w:t>
      </w:r>
      <w:r>
        <w:t xml:space="preserve"> </w:t>
      </w:r>
      <w:r>
        <w:t xml:space="preserve">EEP-01 Phase A Part 1 mandates a dedicated</w:t>
      </w:r>
      <w:r>
        <w:t xml:space="preserve"> </w:t>
      </w:r>
      <w:r>
        <w:rPr>
          <w:rStyle w:val="VerbatimChar"/>
        </w:rPr>
        <w:t xml:space="preserve">academic_domain</w:t>
      </w:r>
      <w:r>
        <w:t xml:space="preserve"> </w:t>
      </w:r>
      <w:r>
        <w:t xml:space="preserve">PostgreSQL schema, isolated from</w:t>
      </w:r>
      <w:r>
        <w:t xml:space="preserve"> </w:t>
      </w:r>
      <w:r>
        <w:rPr>
          <w:rStyle w:val="VerbatimChar"/>
        </w:rPr>
        <w:t xml:space="preserve">public</w:t>
      </w:r>
      <w:r>
        <w:t xml:space="preserve">, specifically to prevent the table-naming collisions WP-ARCH-01A found in a prior legacy schema generation.</w:t>
      </w:r>
    </w:p>
    <w:p>
      <w:pPr>
        <w:pStyle w:val="BodyText"/>
      </w:pPr>
      <w:r>
        <w:rPr>
          <w:bCs/>
          <w:b/>
        </w:rPr>
        <w:t xml:space="preserve">Current Architecture:</w:t>
      </w:r>
      <w:r>
        <w:t xml:space="preserve"> </w:t>
      </w:r>
      <w:r>
        <w:t xml:space="preserve">Dedicated</w:t>
      </w:r>
      <w:r>
        <w:t xml:space="preserve"> </w:t>
      </w:r>
      <w:r>
        <w:rPr>
          <w:rStyle w:val="VerbatimChar"/>
        </w:rPr>
        <w:t xml:space="preserve">academic_domain</w:t>
      </w:r>
      <w:r>
        <w:t xml:space="preserve"> </w:t>
      </w:r>
      <w:r>
        <w:t xml:space="preserve">schema, 26 tables.</w:t>
      </w:r>
    </w:p>
    <w:p>
      <w:pPr>
        <w:pStyle w:val="BodyText"/>
      </w:pPr>
      <w:r>
        <w:rPr>
          <w:bCs/>
          <w:b/>
        </w:rPr>
        <w:t xml:space="preserve">Current Implementation:</w:t>
      </w:r>
      <w:r>
        <w:t xml:space="preserve"> </w:t>
      </w:r>
      <w:r>
        <w:t xml:space="preserve">All student-academic tables live in</w:t>
      </w:r>
      <w:r>
        <w:t xml:space="preserve"> </w:t>
      </w:r>
      <w:r>
        <w:rPr>
          <w:rStyle w:val="VerbatimChar"/>
        </w:rPr>
        <w:t xml:space="preserve">public</w:t>
      </w:r>
      <w:r>
        <w:t xml:space="preserve">; no schema isolation exists (Phase A.1, Gap G-01).</w:t>
      </w:r>
    </w:p>
    <w:p>
      <w:pPr>
        <w:pStyle w:val="BodyText"/>
      </w:pPr>
      <w:r>
        <w:rPr>
          <w:bCs/>
          <w:b/>
        </w:rPr>
        <w:t xml:space="preserve">Evidence:</w:t>
      </w:r>
      <w:r>
        <w:t xml:space="preserve"> </w:t>
      </w:r>
      <w:r>
        <w:t xml:space="preserve">Phase A.1 §2–4; zero matches for</w:t>
      </w:r>
      <w:r>
        <w:t xml:space="preserve"> </w:t>
      </w:r>
      <w:r>
        <w:rPr>
          <w:rStyle w:val="VerbatimChar"/>
        </w:rPr>
        <w:t xml:space="preserve">CREATE SCHEMA academic_domain</w:t>
      </w:r>
      <w:r>
        <w:t xml:space="preserve"> </w:t>
      </w:r>
      <w:r>
        <w:t xml:space="preserve">across</w:t>
      </w:r>
      <w:r>
        <w:t xml:space="preserve"> </w:t>
      </w:r>
      <w:r>
        <w:rPr>
          <w:rStyle w:val="VerbatimChar"/>
        </w:rPr>
        <w:t xml:space="preserve">core/supabase/migrations/</w:t>
      </w:r>
      <w:r>
        <w:t xml:space="preserve">.</w:t>
      </w:r>
    </w:p>
    <w:p>
      <w:pPr>
        <w:pStyle w:val="BodyText"/>
      </w:pPr>
      <w:r>
        <w:rPr>
          <w:bCs/>
          <w:b/>
        </w:rPr>
        <w:t xml:space="preserve">Options Considered:</w:t>
      </w:r>
      <w:r>
        <w:t xml:space="preserve"> </w:t>
      </w:r>
      <w:r>
        <w:t xml:space="preserve">1. Migrate all tables into a new</w:t>
      </w:r>
      <w:r>
        <w:t xml:space="preserve"> </w:t>
      </w:r>
      <w:r>
        <w:rPr>
          <w:rStyle w:val="VerbatimChar"/>
        </w:rPr>
        <w:t xml:space="preserve">academic_domain</w:t>
      </w:r>
      <w:r>
        <w:t xml:space="preserve"> </w:t>
      </w:r>
      <w:r>
        <w:t xml:space="preserve">schema.</w:t>
      </w:r>
      <w:r>
        <w:t xml:space="preserve"> </w:t>
      </w:r>
      <w:r>
        <w:t xml:space="preserve">2. Formally supersede the schema-isolation requirement; keep</w:t>
      </w:r>
      <w:r>
        <w:t xml:space="preserve"> </w:t>
      </w:r>
      <w:r>
        <w:rPr>
          <w:rStyle w:val="VerbatimChar"/>
        </w:rPr>
        <w:t xml:space="preserve">public</w:t>
      </w:r>
      <w:r>
        <w:t xml:space="preserve">.</w:t>
      </w:r>
      <w:r>
        <w:t xml:space="preserve"> </w:t>
      </w:r>
      <w:r>
        <w:t xml:space="preserve">3. Apply isolation only to new tables going forward, leaving existing tables in</w:t>
      </w:r>
      <w:r>
        <w:t xml:space="preserve"> </w:t>
      </w:r>
      <w:r>
        <w:rPr>
          <w:rStyle w:val="VerbatimChar"/>
        </w:rPr>
        <w:t xml:space="preserve">public</w:t>
      </w:r>
      <w:r>
        <w:t xml:space="preserve">.</w:t>
      </w:r>
    </w:p>
    <w:p>
      <w:pPr>
        <w:pStyle w:val="BodyText"/>
      </w:pPr>
      <w:r>
        <w:rPr>
          <w:bCs/>
          <w:b/>
        </w:rPr>
        <w:t xml:space="preserve">Pros/Cons:</w:t>
      </w:r>
      <w:r>
        <w:t xml:space="preserve"> </w:t>
      </w:r>
      <w:r>
        <w:t xml:space="preserve">- Option 1: restores the collision-prevention benefit and matches canonical architecture; but touches every existing table, every query, every RLS policy, and every application-layer reference — high migration cost for a benefit (collision prevention) that hasn’t materialized as an actual problem in the current single-schema design.</w:t>
      </w:r>
      <w:r>
        <w:t xml:space="preserve"> </w:t>
      </w:r>
      <w:r>
        <w:t xml:space="preserve">- Option 2: zero migration cost; loses the isolation benefit permanently unless revisited.</w:t>
      </w:r>
      <w:r>
        <w:t xml:space="preserve"> </w:t>
      </w:r>
      <w:r>
        <w:t xml:space="preserve">- Option 3: avoids migrating existing tables but creates two schema conventions simultaneously, which is its own maintainability cost and contradicts the intent of isolation (avoiding ambiguity about which</w:t>
      </w:r>
      <w:r>
        <w:t xml:space="preserve"> </w:t>
      </w:r>
      <w:r>
        <w:t xml:space="preserve">“</w:t>
      </w:r>
      <w:r>
        <w:t xml:space="preserve">generation</w:t>
      </w:r>
      <w:r>
        <w:t xml:space="preserve">”</w:t>
      </w:r>
      <w:r>
        <w:t xml:space="preserve"> </w:t>
      </w:r>
      <w:r>
        <w:t xml:space="preserve">a table belongs to).</w:t>
      </w:r>
    </w:p>
    <w:p>
      <w:pPr>
        <w:pStyle w:val="BodyText"/>
      </w:pPr>
      <w:r>
        <w:rPr>
          <w:bCs/>
          <w:b/>
        </w:rPr>
        <w:t xml:space="preserve">Governance Decision: DEFER</w:t>
      </w:r>
      <w:r>
        <w:t xml:space="preserve">, not Supersede outright — the business value of isolation is real but not currently realized as a problem; the migration cost (option 1) is high. Revisit if evidence of actual naming collision or cross-domain schema growth emerges.</w:t>
      </w:r>
    </w:p>
    <w:p>
      <w:pPr>
        <w:pStyle w:val="BodyText"/>
      </w:pPr>
      <w:r>
        <w:rPr>
          <w:bCs/>
          <w:b/>
        </w:rPr>
        <w:t xml:space="preserve">Rationale:</w:t>
      </w:r>
      <w:r>
        <w:t xml:space="preserve"> </w:t>
      </w:r>
      <w:r>
        <w:t xml:space="preserve">Phase A’s own justification for isolation is preventing a</w:t>
      </w:r>
      <w:r>
        <w:t xml:space="preserve"> </w:t>
      </w:r>
      <w:r>
        <w:rPr>
          <w:iCs/>
          <w:i/>
        </w:rPr>
        <w:t xml:space="preserve">specific, evidenced legacy problem</w:t>
      </w:r>
      <w:r>
        <w:t xml:space="preserve"> </w:t>
      </w:r>
      <w:r>
        <w:t xml:space="preserve">(WP-ARCH-01A’s naming collisions). That problem has not recurred in three years-worth of subsequent migrations reviewed in Phase A.1 — the current single-schema approach with descriptive, non-colliding names (</w:t>
      </w:r>
      <w:r>
        <w:rPr>
          <w:rStyle w:val="VerbatimChar"/>
        </w:rPr>
        <w:t xml:space="preserve">student_academic_records</w:t>
      </w:r>
      <w:r>
        <w:t xml:space="preserve">,</w:t>
      </w:r>
      <w:r>
        <w:t xml:space="preserve"> </w:t>
      </w:r>
      <w:r>
        <w:rPr>
          <w:rStyle w:val="VerbatimChar"/>
        </w:rPr>
        <w:t xml:space="preserve">student_cognitive_responses</w:t>
      </w:r>
      <w:r>
        <w:t xml:space="preserve">, etc.) has functioned adequately. Forcing a schema migration now would be governance theater, not risk reduction.</w:t>
      </w:r>
    </w:p>
    <w:p>
      <w:pPr>
        <w:pStyle w:val="BodyText"/>
      </w:pPr>
      <w:r>
        <w:rPr>
          <w:bCs/>
          <w:b/>
        </w:rPr>
        <w:t xml:space="preserve">Risks:</w:t>
      </w:r>
      <w:r>
        <w:t xml:space="preserve"> </w:t>
      </w:r>
      <w:r>
        <w:t xml:space="preserve">If the domain grows substantially (more business domains added to</w:t>
      </w:r>
      <w:r>
        <w:t xml:space="preserve"> </w:t>
      </w:r>
      <w:r>
        <w:rPr>
          <w:rStyle w:val="VerbatimChar"/>
        </w:rPr>
        <w:t xml:space="preserve">public</w:t>
      </w:r>
      <w:r>
        <w:t xml:space="preserve">), collision risk rises. This is the deferral’s own trigger.</w:t>
      </w:r>
    </w:p>
    <w:p>
      <w:pPr>
        <w:pStyle w:val="BodyText"/>
      </w:pPr>
      <w:r>
        <w:rPr>
          <w:bCs/>
          <w:b/>
        </w:rPr>
        <w:t xml:space="preserve">Business Impact:</w:t>
      </w:r>
      <w:r>
        <w:t xml:space="preserve"> </w:t>
      </w:r>
      <w:r>
        <w:t xml:space="preserve">None near-term; avoids unnecessary migration cost.</w:t>
      </w:r>
    </w:p>
    <w:p>
      <w:pPr>
        <w:pStyle w:val="BodyText"/>
      </w:pPr>
      <w:r>
        <w:rPr>
          <w:bCs/>
          <w:b/>
        </w:rPr>
        <w:t xml:space="preserve">Technical Impact:</w:t>
      </w:r>
      <w:r>
        <w:t xml:space="preserve"> </w:t>
      </w:r>
      <w:r>
        <w:t xml:space="preserve">None near-term.</w:t>
      </w:r>
    </w:p>
    <w:p>
      <w:pPr>
        <w:pStyle w:val="BodyText"/>
      </w:pPr>
      <w:r>
        <w:rPr>
          <w:bCs/>
          <w:b/>
        </w:rPr>
        <w:t xml:space="preserve">Operational Impact:</w:t>
      </w:r>
      <w:r>
        <w:t xml:space="preserve"> </w:t>
      </w:r>
      <w:r>
        <w:t xml:space="preserve">None.</w:t>
      </w:r>
    </w:p>
    <w:p>
      <w:pPr>
        <w:pStyle w:val="BodyText"/>
      </w:pPr>
      <w:r>
        <w:rPr>
          <w:bCs/>
          <w:b/>
        </w:rPr>
        <w:t xml:space="preserve">Migration Strategy:</w:t>
      </w:r>
      <w:r>
        <w:t xml:space="preserve"> </w:t>
      </w:r>
      <w:r>
        <w:t xml:space="preserve">Not applicable while deferred. If triggered: introduce</w:t>
      </w:r>
      <w:r>
        <w:t xml:space="preserve"> </w:t>
      </w:r>
      <w:r>
        <w:rPr>
          <w:rStyle w:val="VerbatimChar"/>
        </w:rPr>
        <w:t xml:space="preserve">academic_domain</w:t>
      </w:r>
      <w:r>
        <w:t xml:space="preserve"> </w:t>
      </w:r>
      <w:r>
        <w:t xml:space="preserve">schema, migrate tables via</w:t>
      </w:r>
      <w:r>
        <w:t xml:space="preserve"> </w:t>
      </w:r>
      <w:r>
        <w:rPr>
          <w:rStyle w:val="VerbatimChar"/>
        </w:rPr>
        <w:t xml:space="preserve">ALTER TABLE ... SET SCHEMA</w:t>
      </w:r>
      <w:r>
        <w:t xml:space="preserve">, update all dependent views/RLS policies/application queries in a coordinated release.</w:t>
      </w:r>
    </w:p>
    <w:p>
      <w:pPr>
        <w:pStyle w:val="BodyText"/>
      </w:pPr>
      <w:r>
        <w:rPr>
          <w:bCs/>
          <w:b/>
        </w:rPr>
        <w:t xml:space="preserve">Adoption Trigger:</w:t>
      </w:r>
      <w:r>
        <w:t xml:space="preserve"> </w:t>
      </w:r>
      <w:r>
        <w:t xml:space="preserve">(a) a second business domain begins sharing</w:t>
      </w:r>
      <w:r>
        <w:t xml:space="preserve"> </w:t>
      </w:r>
      <w:r>
        <w:rPr>
          <w:rStyle w:val="VerbatimChar"/>
        </w:rPr>
        <w:t xml:space="preserve">public</w:t>
      </w:r>
      <w:r>
        <w:t xml:space="preserve"> </w:t>
      </w:r>
      <w:r>
        <w:t xml:space="preserve">schema with overlapping naming risk, or (b)</w:t>
      </w:r>
      <w:r>
        <w:t xml:space="preserve"> </w:t>
      </w:r>
      <w:r>
        <w:rPr>
          <w:rStyle w:val="VerbatimChar"/>
        </w:rPr>
        <w:t xml:space="preserve">public</w:t>
      </w:r>
      <w:r>
        <w:t xml:space="preserve"> </w:t>
      </w:r>
      <w:r>
        <w:t xml:space="preserve">schema table count exceeds a threshold where discoverability becomes a measured problem (recommend: &gt;150 tables, given</w:t>
      </w:r>
      <w:r>
        <w:t xml:space="preserve"> </w:t>
      </w:r>
      <w:r>
        <w:rPr>
          <w:rStyle w:val="VerbatimChar"/>
        </w:rPr>
        <w:t xml:space="preserve">public</w:t>
      </w:r>
      <w:r>
        <w:t xml:space="preserve"> </w:t>
      </w:r>
      <w:r>
        <w:t xml:space="preserve">already contains well over 100 per Phase A.1’s</w:t>
      </w:r>
      <w:r>
        <w:t xml:space="preserve"> </w:t>
      </w:r>
      <w:r>
        <w:rPr>
          <w:rStyle w:val="VerbatimChar"/>
        </w:rPr>
        <w:t xml:space="preserve">000_initial_schema.sql</w:t>
      </w:r>
      <w:r>
        <w:t xml:space="preserve"> </w:t>
      </w:r>
      <w:r>
        <w:t xml:space="preserve">inspection).</w:t>
      </w:r>
    </w:p>
    <w:p>
      <w:pPr>
        <w:pStyle w:val="BodyText"/>
      </w:pPr>
      <w:r>
        <w:rPr>
          <w:bCs/>
          <w:b/>
        </w:rPr>
        <w:t xml:space="preserve">Success Criteria (if triggered):</w:t>
      </w:r>
      <w:r>
        <w:t xml:space="preserve"> </w:t>
      </w:r>
      <w:r>
        <w:t xml:space="preserve">Zero application downtime during migration; all RLS policies re-verified post-migration.</w:t>
      </w:r>
    </w:p>
    <w:p>
      <w:pPr>
        <w:pStyle w:val="BodyText"/>
      </w:pPr>
      <w:r>
        <w:rPr>
          <w:bCs/>
          <w:b/>
        </w:rPr>
        <w:t xml:space="preserve">Owner:</w:t>
      </w:r>
      <w:r>
        <w:t xml:space="preserve"> </w:t>
      </w:r>
      <w:r>
        <w:t xml:space="preserve">Data/Platform engineering lead (unassigned in repository — flagged as a governance gap in itself).</w:t>
      </w:r>
    </w:p>
    <w:p>
      <w:pPr>
        <w:pStyle w:val="BodyText"/>
      </w:pPr>
      <w:r>
        <w:rPr>
          <w:bCs/>
          <w:b/>
        </w:rPr>
        <w:t xml:space="preserve">Review Date:</w:t>
      </w:r>
      <w:r>
        <w:t xml:space="preserve"> </w:t>
      </w:r>
      <w:r>
        <w:t xml:space="preserve">Next ERP cycle, or immediately upon trigger.</w:t>
      </w:r>
    </w:p>
    <w:p>
      <w:pPr>
        <w:pStyle w:val="BodyText"/>
      </w:pPr>
      <w:r>
        <w:rPr>
          <w:bCs/>
          <w:b/>
        </w:rPr>
        <w:t xml:space="preserve">Status:</w:t>
      </w:r>
      <w:r>
        <w:t xml:space="preserve"> </w:t>
      </w:r>
      <w:r>
        <w:t xml:space="preserve">Deferred.</w:t>
      </w:r>
    </w:p>
    <w:p>
      <w:r>
        <w:pict>
          <v:rect style="width:0;height:1.5pt" o:hralign="center" o:hrstd="t" o:hr="t"/>
        </w:pict>
      </w:r>
    </w:p>
    <w:bookmarkEnd w:id="25"/>
    <w:bookmarkStart w:id="26" w:name="Xefeee81ea6b04c7b7746ba29d864a67ef8a058d"/>
    <w:p>
      <w:pPr>
        <w:pStyle w:val="Heading3"/>
      </w:pPr>
      <w:r>
        <w:t xml:space="preserve">ADR-002 — Canonical Table Naming Convention</w:t>
      </w:r>
    </w:p>
    <w:p>
      <w:pPr>
        <w:pStyle w:val="FirstParagraph"/>
      </w:pPr>
      <w:r>
        <w:rPr>
          <w:bCs/>
          <w:b/>
        </w:rPr>
        <w:t xml:space="preserve">Background:</w:t>
      </w:r>
      <w:r>
        <w:t xml:space="preserve"> </w:t>
      </w:r>
      <w:r>
        <w:t xml:space="preserve">Phase A specifies 26 tables under specific canonical names (</w:t>
      </w:r>
      <w:r>
        <w:rPr>
          <w:rStyle w:val="VerbatimChar"/>
        </w:rPr>
        <w:t xml:space="preserve">student_profile</w:t>
      </w:r>
      <w:r>
        <w:t xml:space="preserve">,</w:t>
      </w:r>
      <w:r>
        <w:t xml:space="preserve"> </w:t>
      </w:r>
      <w:r>
        <w:rPr>
          <w:rStyle w:val="VerbatimChar"/>
        </w:rPr>
        <w:t xml:space="preserve">ref_board</w:t>
      </w:r>
      <w:r>
        <w:t xml:space="preserve">, etc.), explicitly designed to never collide with a named list of legacy tables.</w:t>
      </w:r>
    </w:p>
    <w:p>
      <w:pPr>
        <w:pStyle w:val="BodyText"/>
      </w:pPr>
      <w:r>
        <w:rPr>
          <w:bCs/>
          <w:b/>
        </w:rPr>
        <w:t xml:space="preserve">Current Architecture:</w:t>
      </w:r>
      <w:r>
        <w:t xml:space="preserve"> </w:t>
      </w:r>
      <w:r>
        <w:t xml:space="preserve">26 canonically-named tables.</w:t>
      </w:r>
    </w:p>
    <w:p>
      <w:pPr>
        <w:pStyle w:val="BodyText"/>
      </w:pPr>
      <w:r>
        <w:rPr>
          <w:bCs/>
          <w:b/>
        </w:rPr>
        <w:t xml:space="preserve">Current Implementation:</w:t>
      </w:r>
      <w:r>
        <w:t xml:space="preserve"> </w:t>
      </w:r>
      <w:r>
        <w:t xml:space="preserve">A functionally-overlapping but differently-named and differently-shaped table set (Phase A.1 §4), using precisely the legacy names Phase A was designed to avoid colliding with.</w:t>
      </w:r>
    </w:p>
    <w:p>
      <w:pPr>
        <w:pStyle w:val="BodyText"/>
      </w:pPr>
      <w:r>
        <w:rPr>
          <w:bCs/>
          <w:b/>
        </w:rPr>
        <w:t xml:space="preserve">Evidence:</w:t>
      </w:r>
      <w:r>
        <w:t xml:space="preserve"> </w:t>
      </w:r>
      <w:r>
        <w:t xml:space="preserve">Phase A.1 Table Realization Matrix (§4).</w:t>
      </w:r>
    </w:p>
    <w:p>
      <w:pPr>
        <w:pStyle w:val="BodyText"/>
      </w:pPr>
      <w:r>
        <w:rPr>
          <w:bCs/>
          <w:b/>
        </w:rPr>
        <w:t xml:space="preserve">Options Considered:</w:t>
      </w:r>
      <w:r>
        <w:t xml:space="preserve"> </w:t>
      </w:r>
      <w:r>
        <w:t xml:space="preserve">1. Rename live tables to match Phase A (</w:t>
      </w:r>
      <w:r>
        <w:rPr>
          <w:rStyle w:val="VerbatimChar"/>
        </w:rPr>
        <w:t xml:space="preserve">student_academic_records</w:t>
      </w:r>
      <w:r>
        <w:t xml:space="preserve"> </w:t>
      </w:r>
      <w:r>
        <w:t xml:space="preserve">→</w:t>
      </w:r>
      <w:r>
        <w:t xml:space="preserve"> </w:t>
      </w:r>
      <w:r>
        <w:rPr>
          <w:rStyle w:val="VerbatimChar"/>
        </w:rPr>
        <w:t xml:space="preserve">academic_record</w:t>
      </w:r>
      <w:r>
        <w:t xml:space="preserve">, etc.).</w:t>
      </w:r>
      <w:r>
        <w:t xml:space="preserve"> </w:t>
      </w:r>
      <w:r>
        <w:t xml:space="preserve">2. Update EEP-01 Phase A to describe the actual implemented names and structure as canonical.</w:t>
      </w:r>
      <w:r>
        <w:t xml:space="preserve"> </w:t>
      </w:r>
      <w:r>
        <w:t xml:space="preserve">3. Leave both as-is, undocumented divergence.</w:t>
      </w:r>
    </w:p>
    <w:p>
      <w:pPr>
        <w:pStyle w:val="BodyText"/>
      </w:pPr>
      <w:r>
        <w:rPr>
          <w:bCs/>
          <w:b/>
        </w:rPr>
        <w:t xml:space="preserve">Pros/Cons:</w:t>
      </w:r>
      <w:r>
        <w:t xml:space="preserve"> </w:t>
      </w:r>
      <w:r>
        <w:t xml:space="preserve">- Option 1: achieves nominal conformance but is high-risk (renaming production tables touches every query, every RLS policy, every application reference, every backup/restore script) for a benefit that is purely nominal — the underlying data model works.</w:t>
      </w:r>
      <w:r>
        <w:t xml:space="preserve"> </w:t>
      </w:r>
      <w:r>
        <w:t xml:space="preserve">- Option 2: zero implementation risk; immediately restores documentation as a trustworthy artifact, which Phase A.1 identified as the single highest-risk finding (documentation/maintainability risk, Phase A.1 §13).</w:t>
      </w:r>
      <w:r>
        <w:t xml:space="preserve"> </w:t>
      </w:r>
      <w:r>
        <w:t xml:space="preserve">- Option 3: status quo — the risk Phase A.1 flagged (future work planned against nonexistent tables) persists indefinitely.</w:t>
      </w:r>
    </w:p>
    <w:p>
      <w:pPr>
        <w:pStyle w:val="BodyText"/>
      </w:pPr>
      <w:r>
        <w:rPr>
          <w:bCs/>
          <w:b/>
        </w:rPr>
        <w:t xml:space="preserve">Governance Decision: SUPERSEDE.</w:t>
      </w:r>
      <w:r>
        <w:t xml:space="preserve"> </w:t>
      </w:r>
      <w:r>
        <w:t xml:space="preserve">Update EEP-01 Phase A to describe the actual live schema (table names, entity boundaries, reference-table structure) as the new canonical baseline, rather than migrating the database to match the old document.</w:t>
      </w:r>
    </w:p>
    <w:p>
      <w:pPr>
        <w:pStyle w:val="BodyText"/>
      </w:pPr>
      <w:r>
        <w:rPr>
          <w:bCs/>
          <w:b/>
        </w:rPr>
        <w:t xml:space="preserve">Rationale:</w:t>
      </w:r>
      <w:r>
        <w:t xml:space="preserve"> </w:t>
      </w:r>
      <w:r>
        <w:t xml:space="preserve">Per this program’s own governance principle (</w:t>
      </w:r>
      <w:r>
        <w:t xml:space="preserve">“</w:t>
      </w:r>
      <w:r>
        <w:t xml:space="preserve">never assume implementation is superior simply because it exists,</w:t>
      </w:r>
      <w:r>
        <w:t xml:space="preserve">”</w:t>
      </w:r>
      <w:r>
        <w:t xml:space="preserve"> </w:t>
      </w:r>
      <w:r>
        <w:t xml:space="preserve">but also</w:t>
      </w:r>
      <w:r>
        <w:t xml:space="preserve"> </w:t>
      </w:r>
      <w:r>
        <w:t xml:space="preserve">“</w:t>
      </w:r>
      <w:r>
        <w:t xml:space="preserve">never assume architecture is always correct</w:t>
      </w:r>
      <w:r>
        <w:t xml:space="preserve">”</w:t>
      </w:r>
      <w:r>
        <w:t xml:space="preserve">) — the deciding factor here is that the implementation’s entity boundaries are, in several places,</w:t>
      </w:r>
      <w:r>
        <w:t xml:space="preserve"> </w:t>
      </w:r>
      <w:r>
        <w:rPr>
          <w:iCs/>
          <w:i/>
        </w:rPr>
        <w:t xml:space="preserve">more</w:t>
      </w:r>
      <w:r>
        <w:t xml:space="preserve"> </w:t>
      </w:r>
      <w:r>
        <w:t xml:space="preserve">granular and expressive than Phase A’s design (e.g., cognitive assessment split into</w:t>
      </w:r>
      <w:r>
        <w:t xml:space="preserve"> </w:t>
      </w:r>
      <w:r>
        <w:rPr>
          <w:rStyle w:val="VerbatimChar"/>
        </w:rPr>
        <w:t xml:space="preserve">cognitive_questions</w:t>
      </w:r>
      <w:r>
        <w:t xml:space="preserve">/</w:t>
      </w:r>
      <w:r>
        <w:rPr>
          <w:rStyle w:val="VerbatimChar"/>
        </w:rPr>
        <w:t xml:space="preserve">cognitive_options</w:t>
      </w:r>
      <w:r>
        <w:t xml:space="preserve">/</w:t>
      </w:r>
      <w:r>
        <w:rPr>
          <w:rStyle w:val="VerbatimChar"/>
        </w:rPr>
        <w:t xml:space="preserve">student_cognitive_responses</w:t>
      </w:r>
      <w:r>
        <w:t xml:space="preserve">/</w:t>
      </w:r>
      <w:r>
        <w:rPr>
          <w:rStyle w:val="VerbatimChar"/>
        </w:rPr>
        <w:t xml:space="preserve">student_cognitive_signals</w:t>
      </w:r>
      <w:r>
        <w:t xml:space="preserve"> </w:t>
      </w:r>
      <w:r>
        <w:t xml:space="preserve">vs. Phase A’s single</w:t>
      </w:r>
      <w:r>
        <w:t xml:space="preserve"> </w:t>
      </w:r>
      <w:r>
        <w:rPr>
          <w:rStyle w:val="VerbatimChar"/>
        </w:rPr>
        <w:t xml:space="preserve">cognitive_assessment_result</w:t>
      </w:r>
      <w:r>
        <w:t xml:space="preserve">; activities split into</w:t>
      </w:r>
      <w:r>
        <w:t xml:space="preserve"> </w:t>
      </w:r>
      <w:r>
        <w:rPr>
          <w:rStyle w:val="VerbatimChar"/>
        </w:rPr>
        <w:t xml:space="preserve">student_activities</w:t>
      </w:r>
      <w:r>
        <w:t xml:space="preserve">/</w:t>
      </w:r>
      <w:r>
        <w:rPr>
          <w:rStyle w:val="VerbatimChar"/>
        </w:rPr>
        <w:t xml:space="preserve">student_activity_achievements</w:t>
      </w:r>
      <w:r>
        <w:t xml:space="preserve">/</w:t>
      </w:r>
      <w:r>
        <w:rPr>
          <w:rStyle w:val="VerbatimChar"/>
        </w:rPr>
        <w:t xml:space="preserve">student_activity_reflections</w:t>
      </w:r>
      <w:r>
        <w:t xml:space="preserve"> </w:t>
      </w:r>
      <w:r>
        <w:t xml:space="preserve">vs. a single</w:t>
      </w:r>
      <w:r>
        <w:t xml:space="preserve"> </w:t>
      </w:r>
      <w:r>
        <w:rPr>
          <w:rStyle w:val="VerbatimChar"/>
        </w:rPr>
        <w:t xml:space="preserve">activity_record</w:t>
      </w:r>
      <w:r>
        <w:t xml:space="preserve">). This is evidence of implementation-driven refinement, not degradation — the implementation earned supersession rather than needing correction.</w:t>
      </w:r>
    </w:p>
    <w:p>
      <w:pPr>
        <w:pStyle w:val="BodyText"/>
      </w:pPr>
      <w:r>
        <w:rPr>
          <w:bCs/>
          <w:b/>
        </w:rPr>
        <w:t xml:space="preserve">Risks:</w:t>
      </w:r>
      <w:r>
        <w:t xml:space="preserve"> </w:t>
      </w:r>
      <w:r>
        <w:t xml:space="preserve">A revised Phase A document must be produced carefully to avoid simply rubber-stamping accidental structure as intentional design — recommend the revision include the same level of justification rigor (normalization rationale, partitioning rationale) Phase A originally had, applied to the real tables.</w:t>
      </w:r>
    </w:p>
    <w:p>
      <w:pPr>
        <w:pStyle w:val="BodyText"/>
      </w:pPr>
      <w:r>
        <w:rPr>
          <w:bCs/>
          <w:b/>
        </w:rPr>
        <w:t xml:space="preserve">Business Impact:</w:t>
      </w:r>
      <w:r>
        <w:t xml:space="preserve"> </w:t>
      </w:r>
      <w:r>
        <w:t xml:space="preserve">Restores documentation trust; no runtime change.</w:t>
      </w:r>
    </w:p>
    <w:p>
      <w:pPr>
        <w:pStyle w:val="BodyText"/>
      </w:pPr>
      <w:r>
        <w:rPr>
          <w:bCs/>
          <w:b/>
        </w:rPr>
        <w:t xml:space="preserve">Technical Impact:</w:t>
      </w:r>
      <w:r>
        <w:t xml:space="preserve"> </w:t>
      </w:r>
      <w:r>
        <w:t xml:space="preserve">None to running system; documentation-authoring effort only.</w:t>
      </w:r>
    </w:p>
    <w:p>
      <w:pPr>
        <w:pStyle w:val="BodyText"/>
      </w:pPr>
      <w:r>
        <w:rPr>
          <w:bCs/>
          <w:b/>
        </w:rPr>
        <w:t xml:space="preserve">Operational Impact:</w:t>
      </w:r>
      <w:r>
        <w:t xml:space="preserve"> </w:t>
      </w:r>
      <w:r>
        <w:t xml:space="preserve">None.</w:t>
      </w:r>
    </w:p>
    <w:p>
      <w:pPr>
        <w:pStyle w:val="BodyText"/>
      </w:pPr>
      <w:r>
        <w:rPr>
          <w:bCs/>
          <w:b/>
        </w:rPr>
        <w:t xml:space="preserve">Migration Strategy:</w:t>
      </w:r>
      <w:r>
        <w:t xml:space="preserve"> </w:t>
      </w:r>
      <w:r>
        <w:t xml:space="preserve">Not applicable — this is a documentation supersession, not a code migration.</w:t>
      </w:r>
    </w:p>
    <w:p>
      <w:pPr>
        <w:pStyle w:val="BodyText"/>
      </w:pPr>
      <w:r>
        <w:rPr>
          <w:bCs/>
          <w:b/>
        </w:rPr>
        <w:t xml:space="preserve">Adoption Trigger:</w:t>
      </w:r>
      <w:r>
        <w:t xml:space="preserve"> </w:t>
      </w:r>
      <w:r>
        <w:t xml:space="preserve">Not deferred — recommend immediate action, since cost is low and the risk it resolves (Phase A.1’s top-rated risk) is active today.</w:t>
      </w:r>
    </w:p>
    <w:p>
      <w:pPr>
        <w:pStyle w:val="BodyText"/>
      </w:pPr>
      <w:r>
        <w:rPr>
          <w:bCs/>
          <w:b/>
        </w:rPr>
        <w:t xml:space="preserve">Success Criteria:</w:t>
      </w:r>
      <w:r>
        <w:t xml:space="preserve"> </w:t>
      </w:r>
      <w:r>
        <w:t xml:space="preserve">A revised EEP-01 Phase A document exists whose table inventory matches</w:t>
      </w:r>
      <w:r>
        <w:t xml:space="preserve"> </w:t>
      </w:r>
      <w:r>
        <w:rPr>
          <w:rStyle w:val="VerbatimChar"/>
        </w:rPr>
        <w:t xml:space="preserve">\dt public.*</w:t>
      </w:r>
      <w:r>
        <w:t xml:space="preserve"> </w:t>
      </w:r>
      <w:r>
        <w:t xml:space="preserve">(or equivalent) against the live database with zero discrepancies.</w:t>
      </w:r>
    </w:p>
    <w:p>
      <w:pPr>
        <w:pStyle w:val="BodyText"/>
      </w:pPr>
      <w:r>
        <w:rPr>
          <w:bCs/>
          <w:b/>
        </w:rPr>
        <w:t xml:space="preserve">Owner:</w:t>
      </w:r>
      <w:r>
        <w:t xml:space="preserve"> </w:t>
      </w:r>
      <w:r>
        <w:t xml:space="preserve">Enterprise architecture owner (unassigned in repository — see ADR-001 owner gap).</w:t>
      </w:r>
    </w:p>
    <w:p>
      <w:pPr>
        <w:pStyle w:val="BodyText"/>
      </w:pPr>
      <w:r>
        <w:rPr>
          <w:bCs/>
          <w:b/>
        </w:rPr>
        <w:t xml:space="preserve">Review Date:</w:t>
      </w:r>
      <w:r>
        <w:t xml:space="preserve"> </w:t>
      </w:r>
      <w:r>
        <w:t xml:space="preserve">Immediate — target within the next ERP cycle.</w:t>
      </w:r>
    </w:p>
    <w:p>
      <w:pPr>
        <w:pStyle w:val="BodyText"/>
      </w:pPr>
      <w:r>
        <w:rPr>
          <w:bCs/>
          <w:b/>
        </w:rPr>
        <w:t xml:space="preserve">Status:</w:t>
      </w:r>
      <w:r>
        <w:t xml:space="preserve"> </w:t>
      </w:r>
      <w:r>
        <w:t xml:space="preserve">Accepted (as a decision; execution — the actual document revision — is a follow-up work package, see §8).</w:t>
      </w:r>
    </w:p>
    <w:p>
      <w:r>
        <w:pict>
          <v:rect style="width:0;height:1.5pt" o:hralign="center" o:hrstd="t" o:hr="t"/>
        </w:pict>
      </w:r>
    </w:p>
    <w:bookmarkEnd w:id="26"/>
    <w:bookmarkStart w:id="27" w:name="X11723064b8355b39912a4571983351a4c7a403c"/>
    <w:p>
      <w:pPr>
        <w:pStyle w:val="Heading3"/>
      </w:pPr>
      <w:r>
        <w:t xml:space="preserve">ADR-003 — Taxonomy Reference Pattern (</w:t>
      </w:r>
      <w:r>
        <w:rPr>
          <w:rStyle w:val="VerbatimChar"/>
        </w:rPr>
        <w:t xml:space="preserve">_code</w:t>
      </w:r>
      <w:r>
        <w:t xml:space="preserve"> </w:t>
      </w:r>
      <w:r>
        <w:t xml:space="preserve">+</w:t>
      </w:r>
      <w:r>
        <w:t xml:space="preserve"> </w:t>
      </w:r>
      <w:r>
        <w:rPr>
          <w:rStyle w:val="VerbatimChar"/>
        </w:rPr>
        <w:t xml:space="preserve">taxonomy_version_id</w:t>
      </w:r>
      <w:r>
        <w:t xml:space="preserve"> </w:t>
      </w:r>
      <w:r>
        <w:t xml:space="preserve">vs. direct FK)</w:t>
      </w:r>
    </w:p>
    <w:p>
      <w:pPr>
        <w:pStyle w:val="FirstParagraph"/>
      </w:pPr>
      <w:r>
        <w:rPr>
          <w:bCs/>
          <w:b/>
        </w:rPr>
        <w:t xml:space="preserve">Background:</w:t>
      </w:r>
      <w:r>
        <w:t xml:space="preserve"> </w:t>
      </w:r>
      <w:r>
        <w:t xml:space="preserve">Phase A Part 1 rule 7 requires every taxonomy reference to be a</w:t>
      </w:r>
      <w:r>
        <w:t xml:space="preserve"> </w:t>
      </w:r>
      <w:r>
        <w:rPr>
          <w:rStyle w:val="VerbatimChar"/>
        </w:rPr>
        <w:t xml:space="preserve">_code</w:t>
      </w:r>
      <w:r>
        <w:t xml:space="preserve"> </w:t>
      </w:r>
      <w:r>
        <w:t xml:space="preserve">string paired with</w:t>
      </w:r>
      <w:r>
        <w:t xml:space="preserve"> </w:t>
      </w:r>
      <w:r>
        <w:rPr>
          <w:rStyle w:val="VerbatimChar"/>
        </w:rPr>
        <w:t xml:space="preserve">taxonomy_version_id</w:t>
      </w:r>
      <w:r>
        <w:t xml:space="preserve">, never a direct FK to a reference table’s surrogate</w:t>
      </w:r>
      <w:r>
        <w:t xml:space="preserve"> </w:t>
      </w:r>
      <w:r>
        <w:rPr>
          <w:rStyle w:val="VerbatimChar"/>
        </w:rPr>
        <w:t xml:space="preserve">id</w:t>
      </w:r>
      <w:r>
        <w:t xml:space="preserve"> </w:t>
      </w:r>
      <w:r>
        <w:t xml:space="preserve">— specifically to prevent the denormalization/reconciliation-debt pattern WP-ARCH-01A.2 found in a legacy schema.</w:t>
      </w:r>
    </w:p>
    <w:p>
      <w:pPr>
        <w:pStyle w:val="BodyText"/>
      </w:pPr>
      <w:r>
        <w:rPr>
          <w:bCs/>
          <w:b/>
        </w:rPr>
        <w:t xml:space="preserve">Current Architecture:</w:t>
      </w:r>
      <w:r>
        <w:t xml:space="preserve"> </w:t>
      </w:r>
      <w:r>
        <w:rPr>
          <w:rStyle w:val="VerbatimChar"/>
        </w:rPr>
        <w:t xml:space="preserve">_code</w:t>
      </w:r>
      <w:r>
        <w:t xml:space="preserve"> </w:t>
      </w:r>
      <w:r>
        <w:t xml:space="preserve">+</w:t>
      </w:r>
      <w:r>
        <w:t xml:space="preserve"> </w:t>
      </w:r>
      <w:r>
        <w:rPr>
          <w:rStyle w:val="VerbatimChar"/>
        </w:rPr>
        <w:t xml:space="preserve">taxonomy_version_id</w:t>
      </w:r>
      <w:r>
        <w:t xml:space="preserve"> </w:t>
      </w:r>
      <w:r>
        <w:t xml:space="preserve">pattern, with a dedicated</w:t>
      </w:r>
      <w:r>
        <w:t xml:space="preserve"> </w:t>
      </w:r>
      <w:r>
        <w:rPr>
          <w:rStyle w:val="VerbatimChar"/>
        </w:rPr>
        <w:t xml:space="preserve">taxonomy_version</w:t>
      </w:r>
      <w:r>
        <w:t xml:space="preserve"> </w:t>
      </w:r>
      <w:r>
        <w:t xml:space="preserve">table enabling versioned taxonomy evolution without breaking historical references.</w:t>
      </w:r>
    </w:p>
    <w:p>
      <w:pPr>
        <w:pStyle w:val="BodyText"/>
      </w:pPr>
      <w:r>
        <w:rPr>
          <w:bCs/>
          <w:b/>
        </w:rPr>
        <w:t xml:space="preserve">Current Implementation:</w:t>
      </w:r>
      <w:r>
        <w:t xml:space="preserve"> </w:t>
      </w:r>
      <w:r>
        <w:t xml:space="preserve">Direct</w:t>
      </w:r>
      <w:r>
        <w:t xml:space="preserve"> </w:t>
      </w:r>
      <w:r>
        <w:rPr>
          <w:rStyle w:val="VerbatimChar"/>
        </w:rPr>
        <w:t xml:space="preserve">id</w:t>
      </w:r>
      <w:r>
        <w:t xml:space="preserve">-based FKs (e.g. </w:t>
      </w:r>
      <w:r>
        <w:rPr>
          <w:rStyle w:val="VerbatimChar"/>
        </w:rPr>
        <w:t xml:space="preserve">academic_boards.country_id → countries_master.id</w:t>
      </w:r>
      <w:r>
        <w:t xml:space="preserve">); no</w:t>
      </w:r>
      <w:r>
        <w:t xml:space="preserve"> </w:t>
      </w:r>
      <w:r>
        <w:rPr>
          <w:rStyle w:val="VerbatimChar"/>
        </w:rPr>
        <w:t xml:space="preserve">taxonomy_version</w:t>
      </w:r>
      <w:r>
        <w:t xml:space="preserve"> </w:t>
      </w:r>
      <w:r>
        <w:t xml:space="preserve">concept exists at all (Phase A.1, Gap G-03).</w:t>
      </w:r>
    </w:p>
    <w:p>
      <w:pPr>
        <w:pStyle w:val="BodyText"/>
      </w:pPr>
      <w:r>
        <w:rPr>
          <w:bCs/>
          <w:b/>
        </w:rPr>
        <w:t xml:space="preserve">Evidence:</w:t>
      </w:r>
      <w:r>
        <w:t xml:space="preserve"> </w:t>
      </w:r>
      <w:r>
        <w:t xml:space="preserve">Phase A.1 §3–4, §11 (G-03);</w:t>
      </w:r>
      <w:r>
        <w:t xml:space="preserve"> </w:t>
      </w:r>
      <w:r>
        <w:rPr>
          <w:rStyle w:val="VerbatimChar"/>
        </w:rPr>
        <w:t xml:space="preserve">20260526000001_phase1a_academic_taxonomy_infrastructure.sql</w:t>
      </w:r>
      <w:r>
        <w:t xml:space="preserve">.</w:t>
      </w:r>
    </w:p>
    <w:p>
      <w:pPr>
        <w:pStyle w:val="BodyText"/>
      </w:pPr>
      <w:r>
        <w:rPr>
          <w:bCs/>
          <w:b/>
        </w:rPr>
        <w:t xml:space="preserve">Options Considered:</w:t>
      </w:r>
      <w:r>
        <w:t xml:space="preserve"> </w:t>
      </w:r>
      <w:r>
        <w:t xml:space="preserve">1. Retrofit the</w:t>
      </w:r>
      <w:r>
        <w:t xml:space="preserve"> </w:t>
      </w:r>
      <w:r>
        <w:rPr>
          <w:rStyle w:val="VerbatimChar"/>
        </w:rPr>
        <w:t xml:space="preserve">_code</w:t>
      </w:r>
      <w:r>
        <w:t xml:space="preserve">+version pattern across all taxonomy references.</w:t>
      </w:r>
      <w:r>
        <w:t xml:space="preserve"> </w:t>
      </w:r>
      <w:r>
        <w:t xml:space="preserve">2. Accept the direct-FK pattern as-is, unconditionally.</w:t>
      </w:r>
      <w:r>
        <w:t xml:space="preserve"> </w:t>
      </w:r>
      <w:r>
        <w:t xml:space="preserve">3. Accept the direct-FK pattern conditionally, with an explicit monitoring commitment.</w:t>
      </w:r>
    </w:p>
    <w:p>
      <w:pPr>
        <w:pStyle w:val="BodyText"/>
      </w:pPr>
      <w:r>
        <w:rPr>
          <w:bCs/>
          <w:b/>
        </w:rPr>
        <w:t xml:space="preserve">Pros/Cons:</w:t>
      </w:r>
      <w:r>
        <w:t xml:space="preserve"> </w:t>
      </w:r>
      <w:r>
        <w:t xml:space="preserve">- Option 1: directly closes the exact risk Phase A was designed to prevent, but is a substantial retrofit (every taxonomy FK, every dependent query) for a risk that has not yet manifested as an actual incident.</w:t>
      </w:r>
      <w:r>
        <w:t xml:space="preserve"> </w:t>
      </w:r>
      <w:r>
        <w:t xml:space="preserve">- Option 2: zero cost, but silently accepts reintroducing a failure mode the architecture explicitly warned about, with no monitoring to know if it’s beginning to manifest.</w:t>
      </w:r>
      <w:r>
        <w:t xml:space="preserve"> </w:t>
      </w:r>
      <w:r>
        <w:t xml:space="preserve">- Option 3: zero near-term cost, and directly addresses</w:t>
      </w:r>
      <w:r>
        <w:t xml:space="preserve"> </w:t>
      </w:r>
      <w:r>
        <w:t xml:space="preserve">“</w:t>
      </w:r>
      <w:r>
        <w:t xml:space="preserve">never assume implementation is superior simply because it exists</w:t>
      </w:r>
      <w:r>
        <w:t xml:space="preserve">”</w:t>
      </w:r>
      <w:r>
        <w:t xml:space="preserve"> </w:t>
      </w:r>
      <w:r>
        <w:t xml:space="preserve">by keeping a specific, checkable condition attached to the acceptance rather than a blanket pass.</w:t>
      </w:r>
    </w:p>
    <w:p>
      <w:pPr>
        <w:pStyle w:val="BodyText"/>
      </w:pPr>
      <w:r>
        <w:rPr>
          <w:bCs/>
          <w:b/>
        </w:rPr>
        <w:t xml:space="preserve">Governance Decision: ACCEPT, CONDITIONALLY.</w:t>
      </w:r>
      <w:r>
        <w:t xml:space="preserve"> </w:t>
      </w:r>
      <w:r>
        <w:t xml:space="preserve">The direct-FK pattern is acceptable at current scale and taxonomy stability, on the explicit condition that no student-facing operational table (e.g. </w:t>
      </w:r>
      <w:r>
        <w:rPr>
          <w:rStyle w:val="VerbatimChar"/>
        </w:rPr>
        <w:t xml:space="preserve">student_academic_records</w:t>
      </w:r>
      <w:r>
        <w:t xml:space="preserve">,</w:t>
      </w:r>
      <w:r>
        <w:t xml:space="preserve"> </w:t>
      </w:r>
      <w:r>
        <w:rPr>
          <w:rStyle w:val="VerbatimChar"/>
        </w:rPr>
        <w:t xml:space="preserve">student_academic_subjects</w:t>
      </w:r>
      <w:r>
        <w:t xml:space="preserve">) is ever found to denormalize taxonomy facts (board name, country name, etc.) directly onto its own rows — the specific pattern Phase A’s precedent (WP-ARCH-01A.2 §2.6) identified as the actual source of reconciliation debt, not the direct-FK-to-reference-table pattern by itself.</w:t>
      </w:r>
    </w:p>
    <w:p>
      <w:pPr>
        <w:pStyle w:val="BodyText"/>
      </w:pPr>
      <w:r>
        <w:rPr>
          <w:bCs/>
          <w:b/>
        </w:rPr>
        <w:t xml:space="preserve">Rationale:</w:t>
      </w:r>
      <w:r>
        <w:t xml:space="preserve"> </w:t>
      </w:r>
      <w:r>
        <w:t xml:space="preserve">Phase A.1 confirmed</w:t>
      </w:r>
      <w:r>
        <w:t xml:space="preserve"> </w:t>
      </w:r>
      <w:r>
        <w:rPr>
          <w:rStyle w:val="VerbatimChar"/>
        </w:rPr>
        <w:t xml:space="preserve">academic_boards.country_id</w:t>
      </w:r>
      <w:r>
        <w:t xml:space="preserve"> </w:t>
      </w:r>
      <w:r>
        <w:t xml:space="preserve">is a conventional, well-constrained FK (with</w:t>
      </w:r>
      <w:r>
        <w:t xml:space="preserve"> </w:t>
      </w:r>
      <w:r>
        <w:rPr>
          <w:rStyle w:val="VerbatimChar"/>
        </w:rPr>
        <w:t xml:space="preserve">ON DELETE RESTRICT</w:t>
      </w:r>
      <w:r>
        <w:t xml:space="preserve">,</w:t>
      </w:r>
      <w:r>
        <w:t xml:space="preserve"> </w:t>
      </w:r>
      <w:r>
        <w:rPr>
          <w:rStyle w:val="VerbatimChar"/>
        </w:rPr>
        <w:t xml:space="preserve">UNIQUE</w:t>
      </w:r>
      <w:r>
        <w:t xml:space="preserve"> </w:t>
      </w:r>
      <w:r>
        <w:t xml:space="preserve">business-key constraints, active/deprecated lifecycle columns) — this is reasonable reference-data design on its own terms. The specific harm Phase A was written to prevent is copying taxonomy</w:t>
      </w:r>
      <w:r>
        <w:t xml:space="preserve"> </w:t>
      </w:r>
      <w:r>
        <w:rPr>
          <w:iCs/>
          <w:i/>
        </w:rPr>
        <w:t xml:space="preserve">facts</w:t>
      </w:r>
      <w:r>
        <w:t xml:space="preserve"> </w:t>
      </w:r>
      <w:r>
        <w:t xml:space="preserve">onto operational rows, not referencing taxonomy</w:t>
      </w:r>
      <w:r>
        <w:t xml:space="preserve"> </w:t>
      </w:r>
      <w:r>
        <w:rPr>
          <w:iCs/>
          <w:i/>
        </w:rPr>
        <w:t xml:space="preserve">tables</w:t>
      </w:r>
      <w:r>
        <w:t xml:space="preserve"> </w:t>
      </w:r>
      <w:r>
        <w:t xml:space="preserve">via surrogate key. Those are different risks, and Phase A.1 did not find evidence of the former.</w:t>
      </w:r>
    </w:p>
    <w:p>
      <w:pPr>
        <w:pStyle w:val="BodyText"/>
      </w:pPr>
      <w:r>
        <w:rPr>
          <w:bCs/>
          <w:b/>
        </w:rPr>
        <w:t xml:space="preserve">Risks:</w:t>
      </w:r>
      <w:r>
        <w:t xml:space="preserve"> </w:t>
      </w:r>
      <w:r>
        <w:t xml:space="preserve">If taxonomy data is later versioned (e.g., a board is renamed, a state’s board is split), the direct-FK pattern has no built-in mechanism to preserve historical accuracy of past records referencing the old value —</w:t>
      </w:r>
      <w:r>
        <w:t xml:space="preserve"> </w:t>
      </w:r>
      <w:r>
        <w:rPr>
          <w:rStyle w:val="VerbatimChar"/>
        </w:rPr>
        <w:t xml:space="preserve">deprecated_at</w:t>
      </w:r>
      <w:r>
        <w:t xml:space="preserve">/</w:t>
      </w:r>
      <w:r>
        <w:rPr>
          <w:rStyle w:val="VerbatimChar"/>
        </w:rPr>
        <w:t xml:space="preserve">is_active</w:t>
      </w:r>
      <w:r>
        <w:t xml:space="preserve"> </w:t>
      </w:r>
      <w:r>
        <w:t xml:space="preserve">columns exist but do not constitute full version-pinning. This is the condition’s trigger.</w:t>
      </w:r>
    </w:p>
    <w:p>
      <w:pPr>
        <w:pStyle w:val="BodyText"/>
      </w:pPr>
      <w:r>
        <w:rPr>
          <w:bCs/>
          <w:b/>
        </w:rPr>
        <w:t xml:space="preserve">Business Impact:</w:t>
      </w:r>
      <w:r>
        <w:t xml:space="preserve"> </w:t>
      </w:r>
      <w:r>
        <w:t xml:space="preserve">None near-term.</w:t>
      </w:r>
    </w:p>
    <w:p>
      <w:pPr>
        <w:pStyle w:val="BodyText"/>
      </w:pPr>
      <w:r>
        <w:rPr>
          <w:bCs/>
          <w:b/>
        </w:rPr>
        <w:t xml:space="preserve">Technical Impact:</w:t>
      </w:r>
      <w:r>
        <w:t xml:space="preserve"> </w:t>
      </w:r>
      <w:r>
        <w:t xml:space="preserve">Low near-term; moderate if the trigger fires and a retrofit becomes necessary.</w:t>
      </w:r>
    </w:p>
    <w:p>
      <w:pPr>
        <w:pStyle w:val="BodyText"/>
      </w:pPr>
      <w:r>
        <w:rPr>
          <w:bCs/>
          <w:b/>
        </w:rPr>
        <w:t xml:space="preserve">Operational Impact:</w:t>
      </w:r>
      <w:r>
        <w:t xml:space="preserve"> </w:t>
      </w:r>
      <w:r>
        <w:t xml:space="preserve">None near-term.</w:t>
      </w:r>
    </w:p>
    <w:p>
      <w:pPr>
        <w:pStyle w:val="BodyText"/>
      </w:pPr>
      <w:r>
        <w:rPr>
          <w:bCs/>
          <w:b/>
        </w:rPr>
        <w:t xml:space="preserve">Migration Strategy:</w:t>
      </w:r>
      <w:r>
        <w:t xml:space="preserve"> </w:t>
      </w:r>
      <w:r>
        <w:t xml:space="preserve">If the condition is violated (denormalization found) or the trigger fires (taxonomy versioning becomes necessary), retrofit is scoped as its own ERP work package at that time.</w:t>
      </w:r>
    </w:p>
    <w:p>
      <w:pPr>
        <w:pStyle w:val="BodyText"/>
      </w:pPr>
      <w:r>
        <w:rPr>
          <w:bCs/>
          <w:b/>
        </w:rPr>
        <w:t xml:space="preserve">Adoption Trigger:</w:t>
      </w:r>
      <w:r>
        <w:t xml:space="preserve"> </w:t>
      </w:r>
      <w:r>
        <w:t xml:space="preserve">(a) any audit finds a student-owned table storing a taxonomy fact (name/label) rather than a code reference, or (b) a real taxonomy-versioning need arises (e.g., a board renaming or restructuring that must preserve historical record accuracy).</w:t>
      </w:r>
    </w:p>
    <w:p>
      <w:pPr>
        <w:pStyle w:val="BodyText"/>
      </w:pPr>
      <w:r>
        <w:rPr>
          <w:bCs/>
          <w:b/>
        </w:rPr>
        <w:t xml:space="preserve">Success Criteria:</w:t>
      </w:r>
      <w:r>
        <w:t xml:space="preserve"> </w:t>
      </w:r>
      <w:r>
        <w:t xml:space="preserve">A periodic (recommend: per-release) automated check confirms no student-owned table has a text column duplicating a</w:t>
      </w:r>
      <w:r>
        <w:t xml:space="preserve"> </w:t>
      </w:r>
      <w:r>
        <w:rPr>
          <w:rStyle w:val="VerbatimChar"/>
        </w:rPr>
        <w:t xml:space="preserve">ref</w:t>
      </w:r>
      <w:r>
        <w:t xml:space="preserve">/taxonomy table’s descriptive fields.</w:t>
      </w:r>
    </w:p>
    <w:p>
      <w:pPr>
        <w:pStyle w:val="BodyText"/>
      </w:pPr>
      <w:r>
        <w:rPr>
          <w:bCs/>
          <w:b/>
        </w:rPr>
        <w:t xml:space="preserve">Owner:</w:t>
      </w:r>
      <w:r>
        <w:t xml:space="preserve"> </w:t>
      </w:r>
      <w:r>
        <w:t xml:space="preserve">Data governance owner (unassigned — see ADR-001).</w:t>
      </w:r>
    </w:p>
    <w:p>
      <w:pPr>
        <w:pStyle w:val="BodyText"/>
      </w:pPr>
      <w:r>
        <w:rPr>
          <w:bCs/>
          <w:b/>
        </w:rPr>
        <w:t xml:space="preserve">Review Date:</w:t>
      </w:r>
      <w:r>
        <w:t xml:space="preserve"> </w:t>
      </w:r>
      <w:r>
        <w:t xml:space="preserve">Per-release, or immediately upon trigger.</w:t>
      </w:r>
    </w:p>
    <w:p>
      <w:pPr>
        <w:pStyle w:val="BodyText"/>
      </w:pPr>
      <w:r>
        <w:rPr>
          <w:bCs/>
          <w:b/>
        </w:rPr>
        <w:t xml:space="preserve">Status:</w:t>
      </w:r>
      <w:r>
        <w:t xml:space="preserve"> </w:t>
      </w:r>
      <w:r>
        <w:t xml:space="preserve">Accepted, with condition.</w:t>
      </w:r>
    </w:p>
    <w:p>
      <w:r>
        <w:pict>
          <v:rect style="width:0;height:1.5pt" o:hralign="center" o:hrstd="t" o:hr="t"/>
        </w:pict>
      </w:r>
    </w:p>
    <w:bookmarkEnd w:id="27"/>
    <w:bookmarkStart w:id="28" w:name="X4e9ca0c7d5ac5b2607243da22cae89c0b425fbc"/>
    <w:p>
      <w:pPr>
        <w:pStyle w:val="Heading3"/>
      </w:pPr>
      <w:r>
        <w:t xml:space="preserve">ADR-004 — Partitioning of High-Growth Historical Tables</w:t>
      </w:r>
    </w:p>
    <w:p>
      <w:pPr>
        <w:pStyle w:val="FirstParagraph"/>
      </w:pPr>
      <w:r>
        <w:rPr>
          <w:bCs/>
          <w:b/>
        </w:rPr>
        <w:t xml:space="preserve">Background:</w:t>
      </w:r>
      <w:r>
        <w:t xml:space="preserve"> </w:t>
      </w:r>
      <w:r>
        <w:t xml:space="preserve">Phase A Part 4 designates four tables for native range partitioning due to unbounded historical growth over a stated 10-year platform horizon.</w:t>
      </w:r>
    </w:p>
    <w:p>
      <w:pPr>
        <w:pStyle w:val="BodyText"/>
      </w:pPr>
      <w:r>
        <w:rPr>
          <w:bCs/>
          <w:b/>
        </w:rPr>
        <w:t xml:space="preserve">Current Architecture:</w:t>
      </w:r>
      <w:r>
        <w:t xml:space="preserve"> </w:t>
      </w:r>
      <w:r>
        <w:rPr>
          <w:rStyle w:val="VerbatimChar"/>
        </w:rPr>
        <w:t xml:space="preserve">academic_record</w:t>
      </w:r>
      <w:r>
        <w:t xml:space="preserve">,</w:t>
      </w:r>
      <w:r>
        <w:t xml:space="preserve"> </w:t>
      </w:r>
      <w:r>
        <w:rPr>
          <w:rStyle w:val="VerbatimChar"/>
        </w:rPr>
        <w:t xml:space="preserve">subject_performance</w:t>
      </w:r>
      <w:r>
        <w:t xml:space="preserve">,</w:t>
      </w:r>
      <w:r>
        <w:t xml:space="preserve"> </w:t>
      </w:r>
      <w:r>
        <w:rPr>
          <w:rStyle w:val="VerbatimChar"/>
        </w:rPr>
        <w:t xml:space="preserve">cognitive_assessment_result</w:t>
      </w:r>
      <w:r>
        <w:t xml:space="preserve">,</w:t>
      </w:r>
      <w:r>
        <w:t xml:space="preserve"> </w:t>
      </w:r>
      <w:r>
        <w:rPr>
          <w:rStyle w:val="VerbatimChar"/>
        </w:rPr>
        <w:t xml:space="preserve">derived_academic_signal</w:t>
      </w:r>
      <w:r>
        <w:t xml:space="preserve"> </w:t>
      </w:r>
      <w:r>
        <w:t xml:space="preserve">partitioned by date range.</w:t>
      </w:r>
    </w:p>
    <w:p>
      <w:pPr>
        <w:pStyle w:val="BodyText"/>
      </w:pPr>
      <w:r>
        <w:rPr>
          <w:bCs/>
          <w:b/>
        </w:rPr>
        <w:t xml:space="preserve">Current Implementation:</w:t>
      </w:r>
      <w:r>
        <w:t xml:space="preserve"> </w:t>
      </w:r>
      <w:r>
        <w:t xml:space="preserve">No partitioning on any student-academic-domain table (Phase A.1, Gap G-04); partitioning exists elsewhere in the repository (</w:t>
      </w:r>
      <w:r>
        <w:rPr>
          <w:rStyle w:val="VerbatimChar"/>
        </w:rPr>
        <w:t xml:space="preserve">chi_scores</w:t>
      </w:r>
      <w:r>
        <w:t xml:space="preserve">,</w:t>
      </w:r>
      <w:r>
        <w:t xml:space="preserve"> </w:t>
      </w:r>
      <w:r>
        <w:rPr>
          <w:rStyle w:val="VerbatimChar"/>
        </w:rPr>
        <w:t xml:space="preserve">ai_observability_logs</w:t>
      </w:r>
      <w:r>
        <w:t xml:space="preserve">) for unrelated subsystems, demonstrating the team has working partitioning capability when it’s been triggered.</w:t>
      </w:r>
    </w:p>
    <w:p>
      <w:pPr>
        <w:pStyle w:val="BodyText"/>
      </w:pPr>
      <w:r>
        <w:rPr>
          <w:bCs/>
          <w:b/>
        </w:rPr>
        <w:t xml:space="preserve">Evidence:</w:t>
      </w:r>
      <w:r>
        <w:t xml:space="preserve"> </w:t>
      </w:r>
      <w:r>
        <w:t xml:space="preserve">Phase A.1 §7, §11 (G-04);</w:t>
      </w:r>
      <w:r>
        <w:t xml:space="preserve"> </w:t>
      </w:r>
      <w:r>
        <w:rPr>
          <w:rStyle w:val="VerbatimChar"/>
        </w:rPr>
        <w:t xml:space="preserve">20260410020500_chi_scores_partition_lifecycle.sql</w:t>
      </w:r>
      <w:r>
        <w:t xml:space="preserve">.</w:t>
      </w:r>
    </w:p>
    <w:p>
      <w:pPr>
        <w:pStyle w:val="BodyText"/>
      </w:pPr>
      <w:r>
        <w:rPr>
          <w:bCs/>
          <w:b/>
        </w:rPr>
        <w:t xml:space="preserve">Options Considered:</w:t>
      </w:r>
      <w:r>
        <w:t xml:space="preserve"> </w:t>
      </w:r>
      <w:r>
        <w:t xml:space="preserve">1. Partition now, proactively.</w:t>
      </w:r>
      <w:r>
        <w:t xml:space="preserve"> </w:t>
      </w:r>
      <w:r>
        <w:t xml:space="preserve">2. Defer until a measurable growth trigger fires.</w:t>
      </w:r>
      <w:r>
        <w:t xml:space="preserve"> </w:t>
      </w:r>
      <w:r>
        <w:t xml:space="preserve">3. Reject partitioning as unnecessary architecture.</w:t>
      </w:r>
    </w:p>
    <w:p>
      <w:pPr>
        <w:pStyle w:val="BodyText"/>
      </w:pPr>
      <w:r>
        <w:rPr>
          <w:bCs/>
          <w:b/>
        </w:rPr>
        <w:t xml:space="preserve">Pros/Cons:</w:t>
      </w:r>
      <w:r>
        <w:t xml:space="preserve"> </w:t>
      </w:r>
      <w:r>
        <w:t xml:space="preserve">- Option 1: front-loads real engineering cost against a risk that Phase A.1 could not confirm has materialized yet (no row-count data gathered in this pass).</w:t>
      </w:r>
      <w:r>
        <w:t xml:space="preserve"> </w:t>
      </w:r>
      <w:r>
        <w:t xml:space="preserve">- Option 2: matches how the team has already handled partitioning elsewhere (</w:t>
      </w:r>
      <w:r>
        <w:rPr>
          <w:rStyle w:val="VerbatimChar"/>
        </w:rPr>
        <w:t xml:space="preserve">chi_scores</w:t>
      </w:r>
      <w:r>
        <w:t xml:space="preserve"> </w:t>
      </w:r>
      <w:r>
        <w:t xml:space="preserve">— implemented when needed, not preemptively) and avoids speculative work.</w:t>
      </w:r>
      <w:r>
        <w:t xml:space="preserve"> </w:t>
      </w:r>
      <w:r>
        <w:t xml:space="preserve">- Option 3: contradicted by the fact that the team already builds partitioning correctly elsewhere in the codebase when volume justifies it — the architecture’s underlying concern is legitimate, just not yet triggered here.</w:t>
      </w:r>
    </w:p>
    <w:p>
      <w:pPr>
        <w:pStyle w:val="BodyText"/>
      </w:pPr>
      <w:r>
        <w:rPr>
          <w:bCs/>
          <w:b/>
        </w:rPr>
        <w:t xml:space="preserve">Governance Decision: DEFER.</w:t>
      </w:r>
    </w:p>
    <w:p>
      <w:pPr>
        <w:pStyle w:val="BodyText"/>
      </w:pPr>
      <w:r>
        <w:rPr>
          <w:bCs/>
          <w:b/>
        </w:rPr>
        <w:t xml:space="preserve">Rationale:</w:t>
      </w:r>
      <w:r>
        <w:t xml:space="preserve"> </w:t>
      </w:r>
      <w:r>
        <w:t xml:space="preserve">This is the textbook case for the Defer disposition as defined in this document’s own governance principles — the architecture remains valid, the implementation is reasonably deferred, and the team’s own precedent (partitioning</w:t>
      </w:r>
      <w:r>
        <w:t xml:space="preserve"> </w:t>
      </w:r>
      <w:r>
        <w:rPr>
          <w:rStyle w:val="VerbatimChar"/>
        </w:rPr>
        <w:t xml:space="preserve">chi_scores</w:t>
      </w:r>
      <w:r>
        <w:t xml:space="preserve"> </w:t>
      </w:r>
      <w:r>
        <w:t xml:space="preserve">when it became necessary) shows this isn’t a capability gap, just a not-yet-triggered one.</w:t>
      </w:r>
    </w:p>
    <w:p>
      <w:pPr>
        <w:pStyle w:val="BodyText"/>
      </w:pPr>
      <w:r>
        <w:rPr>
          <w:bCs/>
          <w:b/>
        </w:rPr>
        <w:t xml:space="preserve">Risks:</w:t>
      </w:r>
      <w:r>
        <w:t xml:space="preserve"> </w:t>
      </w:r>
      <w:r>
        <w:t xml:space="preserve">If growth outpaces monitoring, partitioning gets implemented reactively under production pressure rather than proactively — recommend the trigger below be actively monitored, not just documented.</w:t>
      </w:r>
    </w:p>
    <w:p>
      <w:pPr>
        <w:pStyle w:val="BodyText"/>
      </w:pPr>
      <w:r>
        <w:rPr>
          <w:bCs/>
          <w:b/>
        </w:rPr>
        <w:t xml:space="preserve">Business Impact:</w:t>
      </w:r>
      <w:r>
        <w:t xml:space="preserve"> </w:t>
      </w:r>
      <w:r>
        <w:t xml:space="preserve">None near-term; potential future performance/cost impact if deferred past the trigger.</w:t>
      </w:r>
    </w:p>
    <w:p>
      <w:pPr>
        <w:pStyle w:val="BodyText"/>
      </w:pPr>
      <w:r>
        <w:rPr>
          <w:bCs/>
          <w:b/>
        </w:rPr>
        <w:t xml:space="preserve">Technical Impact:</w:t>
      </w:r>
      <w:r>
        <w:t xml:space="preserve"> </w:t>
      </w:r>
      <w:r>
        <w:t xml:space="preserve">None near-term.</w:t>
      </w:r>
    </w:p>
    <w:p>
      <w:pPr>
        <w:pStyle w:val="BodyText"/>
      </w:pPr>
      <w:r>
        <w:rPr>
          <w:bCs/>
          <w:b/>
        </w:rPr>
        <w:t xml:space="preserve">Operational Impact:</w:t>
      </w:r>
      <w:r>
        <w:t xml:space="preserve"> </w:t>
      </w:r>
      <w:r>
        <w:t xml:space="preserve">None near-term.</w:t>
      </w:r>
    </w:p>
    <w:p>
      <w:pPr>
        <w:pStyle w:val="BodyText"/>
      </w:pPr>
      <w:r>
        <w:rPr>
          <w:bCs/>
          <w:b/>
        </w:rPr>
        <w:t xml:space="preserve">Migration Strategy:</w:t>
      </w:r>
      <w:r>
        <w:t xml:space="preserve"> </w:t>
      </w:r>
      <w:r>
        <w:t xml:space="preserve">Standard PostgreSQL partition retrofit (create partitioned shadow table, backfill, cut over) — same pattern already demonstrated in the</w:t>
      </w:r>
      <w:r>
        <w:t xml:space="preserve"> </w:t>
      </w:r>
      <w:r>
        <w:rPr>
          <w:rStyle w:val="VerbatimChar"/>
        </w:rPr>
        <w:t xml:space="preserve">chi_scores</w:t>
      </w:r>
      <w:r>
        <w:t xml:space="preserve"> </w:t>
      </w:r>
      <w:r>
        <w:t xml:space="preserve">migration.</w:t>
      </w:r>
    </w:p>
    <w:p>
      <w:pPr>
        <w:pStyle w:val="BodyText"/>
      </w:pPr>
      <w:r>
        <w:rPr>
          <w:bCs/>
          <w:b/>
        </w:rPr>
        <w:t xml:space="preserve">Adoption Trigger:</w:t>
      </w:r>
      <w:r>
        <w:t xml:space="preserve"> </w:t>
      </w:r>
      <w:r>
        <w:t xml:space="preserve">Any of: (a)</w:t>
      </w:r>
      <w:r>
        <w:t xml:space="preserve"> </w:t>
      </w:r>
      <w:r>
        <w:rPr>
          <w:rStyle w:val="VerbatimChar"/>
        </w:rPr>
        <w:t xml:space="preserve">student_academic_records</w:t>
      </w:r>
      <w:r>
        <w:t xml:space="preserve"> </w:t>
      </w:r>
      <w:r>
        <w:t xml:space="preserve">or related tables exceed 10 million rows, (b) query latency on these tables measurably degrades in production monitoring, (c) the</w:t>
      </w:r>
      <w:r>
        <w:t xml:space="preserve"> </w:t>
      </w:r>
      <w:r>
        <w:t xml:space="preserve">“</w:t>
      </w:r>
      <w:r>
        <w:t xml:space="preserve">ten downstream AI systems</w:t>
      </w:r>
      <w:r>
        <w:t xml:space="preserve">”</w:t>
      </w:r>
      <w:r>
        <w:t xml:space="preserve"> </w:t>
      </w:r>
      <w:r>
        <w:t xml:space="preserve">scale target Phase A itself cites is actually reached.</w:t>
      </w:r>
    </w:p>
    <w:p>
      <w:pPr>
        <w:pStyle w:val="BodyText"/>
      </w:pPr>
      <w:r>
        <w:rPr>
          <w:bCs/>
          <w:b/>
        </w:rPr>
        <w:t xml:space="preserve">Success Criteria:</w:t>
      </w:r>
      <w:r>
        <w:t xml:space="preserve"> </w:t>
      </w:r>
      <w:r>
        <w:t xml:space="preserve">Partitioning implemented and verified before any trigger threshold is exceeded by more than 20%, to leave operational margin.</w:t>
      </w:r>
    </w:p>
    <w:p>
      <w:pPr>
        <w:pStyle w:val="BodyText"/>
      </w:pPr>
      <w:r>
        <w:rPr>
          <w:bCs/>
          <w:b/>
        </w:rPr>
        <w:t xml:space="preserve">Owner:</w:t>
      </w:r>
      <w:r>
        <w:t xml:space="preserve"> </w:t>
      </w:r>
      <w:r>
        <w:t xml:space="preserve">Platform engineering lead (unassigned).</w:t>
      </w:r>
    </w:p>
    <w:p>
      <w:pPr>
        <w:pStyle w:val="BodyText"/>
      </w:pPr>
      <w:r>
        <w:rPr>
          <w:bCs/>
          <w:b/>
        </w:rPr>
        <w:t xml:space="preserve">Review Date:</w:t>
      </w:r>
      <w:r>
        <w:t xml:space="preserve"> </w:t>
      </w:r>
      <w:r>
        <w:t xml:space="preserve">Quarterly row-count check against triggers.</w:t>
      </w:r>
    </w:p>
    <w:p>
      <w:pPr>
        <w:pStyle w:val="BodyText"/>
      </w:pPr>
      <w:r>
        <w:rPr>
          <w:bCs/>
          <w:b/>
        </w:rPr>
        <w:t xml:space="preserve">Status:</w:t>
      </w:r>
      <w:r>
        <w:t xml:space="preserve"> </w:t>
      </w:r>
      <w:r>
        <w:t xml:space="preserve">Deferred.</w:t>
      </w:r>
    </w:p>
    <w:p>
      <w:r>
        <w:pict>
          <v:rect style="width:0;height:1.5pt" o:hralign="center" o:hrstd="t" o:hr="t"/>
        </w:pict>
      </w:r>
    </w:p>
    <w:bookmarkEnd w:id="28"/>
    <w:bookmarkStart w:id="29" w:name="X9460128c6a720e2f49edd881088caa4dfae9c72"/>
    <w:p>
      <w:pPr>
        <w:pStyle w:val="Heading3"/>
      </w:pPr>
      <w:r>
        <w:t xml:space="preserve">ADR-005 — Qualification/Subject-Selection Entity Separation</w:t>
      </w:r>
    </w:p>
    <w:p>
      <w:pPr>
        <w:pStyle w:val="FirstParagraph"/>
      </w:pPr>
      <w:r>
        <w:rPr>
          <w:bCs/>
          <w:b/>
        </w:rPr>
        <w:t xml:space="preserve">Background:</w:t>
      </w:r>
      <w:r>
        <w:t xml:space="preserve"> </w:t>
      </w:r>
      <w:r>
        <w:t xml:space="preserve">Phase A models</w:t>
      </w:r>
      <w:r>
        <w:t xml:space="preserve"> </w:t>
      </w:r>
      <w:r>
        <w:rPr>
          <w:rStyle w:val="VerbatimChar"/>
        </w:rPr>
        <w:t xml:space="preserve">academic_qualification</w:t>
      </w:r>
      <w:r>
        <w:t xml:space="preserve"> </w:t>
      </w:r>
      <w:r>
        <w:t xml:space="preserve">and</w:t>
      </w:r>
      <w:r>
        <w:t xml:space="preserve"> </w:t>
      </w:r>
      <w:r>
        <w:rPr>
          <w:rStyle w:val="VerbatimChar"/>
        </w:rPr>
        <w:t xml:space="preserve">subject_selection</w:t>
      </w:r>
      <w:r>
        <w:t xml:space="preserve"> </w:t>
      </w:r>
      <w:r>
        <w:t xml:space="preserve">as separate entities from</w:t>
      </w:r>
      <w:r>
        <w:t xml:space="preserve"> </w:t>
      </w:r>
      <w:r>
        <w:rPr>
          <w:rStyle w:val="VerbatimChar"/>
        </w:rPr>
        <w:t xml:space="preserve">academic_record</w:t>
      </w:r>
      <w:r>
        <w:t xml:space="preserve">/</w:t>
      </w:r>
      <w:r>
        <w:rPr>
          <w:rStyle w:val="VerbatimChar"/>
        </w:rPr>
        <w:t xml:space="preserve">subject_performance</w:t>
      </w:r>
      <w:r>
        <w:t xml:space="preserve">, supporting multiple qualifications per student and a distinct selection-vs-performance lifecycle.</w:t>
      </w:r>
    </w:p>
    <w:p>
      <w:pPr>
        <w:pStyle w:val="BodyText"/>
      </w:pPr>
      <w:r>
        <w:rPr>
          <w:bCs/>
          <w:b/>
        </w:rPr>
        <w:t xml:space="preserve">Current Architecture:</w:t>
      </w:r>
      <w:r>
        <w:t xml:space="preserve"> </w:t>
      </w:r>
      <w:r>
        <w:t xml:space="preserve">Four separate entities (qualification, selection, record, performance).</w:t>
      </w:r>
    </w:p>
    <w:p>
      <w:pPr>
        <w:pStyle w:val="BodyText"/>
      </w:pPr>
      <w:r>
        <w:rPr>
          <w:bCs/>
          <w:b/>
        </w:rPr>
        <w:t xml:space="preserve">Current Implementation:</w:t>
      </w:r>
      <w:r>
        <w:t xml:space="preserve"> </w:t>
      </w:r>
      <w:r>
        <w:t xml:space="preserve">Folded into two tables (</w:t>
      </w:r>
      <w:r>
        <w:rPr>
          <w:rStyle w:val="VerbatimChar"/>
        </w:rPr>
        <w:t xml:space="preserve">student_academic_records</w:t>
      </w:r>
      <w:r>
        <w:t xml:space="preserve">,</w:t>
      </w:r>
      <w:r>
        <w:t xml:space="preserve"> </w:t>
      </w:r>
      <w:r>
        <w:rPr>
          <w:rStyle w:val="VerbatimChar"/>
        </w:rPr>
        <w:t xml:space="preserve">student_academic_subjects</w:t>
      </w:r>
      <w:r>
        <w:t xml:space="preserve">) on a per-academic-year basis (Phase A.1, Gap G-05).</w:t>
      </w:r>
    </w:p>
    <w:p>
      <w:pPr>
        <w:pStyle w:val="BodyText"/>
      </w:pPr>
      <w:r>
        <w:rPr>
          <w:bCs/>
          <w:b/>
        </w:rPr>
        <w:t xml:space="preserve">Evidence:</w:t>
      </w:r>
      <w:r>
        <w:t xml:space="preserve"> </w:t>
      </w:r>
      <w:r>
        <w:t xml:space="preserve">Phase A.1 §4, §11 (G-05).</w:t>
      </w:r>
    </w:p>
    <w:p>
      <w:pPr>
        <w:pStyle w:val="BodyText"/>
      </w:pPr>
      <w:r>
        <w:rPr>
          <w:bCs/>
          <w:b/>
        </w:rPr>
        <w:t xml:space="preserve">Options Considered:</w:t>
      </w:r>
      <w:r>
        <w:t xml:space="preserve"> </w:t>
      </w:r>
      <w:r>
        <w:t xml:space="preserve">1. Retrofit the four-entity model.</w:t>
      </w:r>
      <w:r>
        <w:t xml:space="preserve"> </w:t>
      </w:r>
      <w:r>
        <w:t xml:space="preserve">2. Accept the two-table model as sufficient for current product scope.</w:t>
      </w:r>
      <w:r>
        <w:t xml:space="preserve"> </w:t>
      </w:r>
      <w:r>
        <w:t xml:space="preserve">3. Defer, pending a specific product requirement.</w:t>
      </w:r>
    </w:p>
    <w:p>
      <w:pPr>
        <w:pStyle w:val="BodyText"/>
      </w:pPr>
      <w:r>
        <w:rPr>
          <w:bCs/>
          <w:b/>
        </w:rPr>
        <w:t xml:space="preserve">Governance Decision: DEFER</w:t>
      </w:r>
      <w:r>
        <w:t xml:space="preserve">, functionally equivalent to Accept-for-now but tracked with an explicit trigger since the product surface (multi-qualification tracking, re-takes, transfers) is plausible future scope, not hypothetical.</w:t>
      </w:r>
    </w:p>
    <w:p>
      <w:pPr>
        <w:pStyle w:val="BodyText"/>
      </w:pPr>
      <w:r>
        <w:rPr>
          <w:bCs/>
          <w:b/>
        </w:rPr>
        <w:t xml:space="preserve">Rationale:</w:t>
      </w:r>
      <w:r>
        <w:t xml:space="preserve"> </w:t>
      </w:r>
      <w:r>
        <w:t xml:space="preserve">Phase A.1 found the current per-year model</w:t>
      </w:r>
      <w:r>
        <w:t xml:space="preserve"> </w:t>
      </w:r>
      <w:r>
        <w:t xml:space="preserve">“</w:t>
      </w:r>
      <w:r>
        <w:t xml:space="preserve">appears adequate for current product scope.</w:t>
      </w:r>
      <w:r>
        <w:t xml:space="preserve">”</w:t>
      </w:r>
      <w:r>
        <w:t xml:space="preserve"> </w:t>
      </w:r>
      <w:r>
        <w:t xml:space="preserve">No evidence of an unmet product need was found. Retrofitting ahead of an actual requirement would be speculative engineering.</w:t>
      </w:r>
    </w:p>
    <w:p>
      <w:pPr>
        <w:pStyle w:val="BodyText"/>
      </w:pPr>
      <w:r>
        <w:rPr>
          <w:bCs/>
          <w:b/>
        </w:rPr>
        <w:t xml:space="preserve">Risks:</w:t>
      </w:r>
      <w:r>
        <w:t xml:space="preserve"> </w:t>
      </w:r>
      <w:r>
        <w:t xml:space="preserve">If multi-qualification tracking becomes a real requirement, the current schema will need a non-trivial data model change (introducing a qualification entity retroactively, backfilling existing records against it).</w:t>
      </w:r>
    </w:p>
    <w:p>
      <w:pPr>
        <w:pStyle w:val="BodyText"/>
      </w:pPr>
      <w:r>
        <w:rPr>
          <w:bCs/>
          <w:b/>
        </w:rPr>
        <w:t xml:space="preserve">Business Impact:</w:t>
      </w:r>
      <w:r>
        <w:t xml:space="preserve"> </w:t>
      </w:r>
      <w:r>
        <w:t xml:space="preserve">None near-term.</w:t>
      </w:r>
    </w:p>
    <w:p>
      <w:pPr>
        <w:pStyle w:val="BodyText"/>
      </w:pPr>
      <w:r>
        <w:rPr>
          <w:bCs/>
          <w:b/>
        </w:rPr>
        <w:t xml:space="preserve">Technical Impact:</w:t>
      </w:r>
      <w:r>
        <w:t xml:space="preserve"> </w:t>
      </w:r>
      <w:r>
        <w:t xml:space="preserve">None near-term; moderate if triggered.</w:t>
      </w:r>
    </w:p>
    <w:p>
      <w:pPr>
        <w:pStyle w:val="BodyText"/>
      </w:pPr>
      <w:r>
        <w:rPr>
          <w:bCs/>
          <w:b/>
        </w:rPr>
        <w:t xml:space="preserve">Operational Impact:</w:t>
      </w:r>
      <w:r>
        <w:t xml:space="preserve"> </w:t>
      </w:r>
      <w:r>
        <w:t xml:space="preserve">None.</w:t>
      </w:r>
    </w:p>
    <w:p>
      <w:pPr>
        <w:pStyle w:val="BodyText"/>
      </w:pPr>
      <w:r>
        <w:rPr>
          <w:bCs/>
          <w:b/>
        </w:rPr>
        <w:t xml:space="preserve">Migration Strategy:</w:t>
      </w:r>
      <w:r>
        <w:t xml:space="preserve"> </w:t>
      </w:r>
      <w:r>
        <w:t xml:space="preserve">Introduce</w:t>
      </w:r>
      <w:r>
        <w:t xml:space="preserve"> </w:t>
      </w:r>
      <w:r>
        <w:rPr>
          <w:rStyle w:val="VerbatimChar"/>
        </w:rPr>
        <w:t xml:space="preserve">academic_qualification</w:t>
      </w:r>
      <w:r>
        <w:t xml:space="preserve"> </w:t>
      </w:r>
      <w:r>
        <w:t xml:space="preserve">as a new entity, backfill one qualification per existing student-year cluster, then re-point</w:t>
      </w:r>
      <w:r>
        <w:t xml:space="preserve"> </w:t>
      </w:r>
      <w:r>
        <w:rPr>
          <w:rStyle w:val="VerbatimChar"/>
        </w:rPr>
        <w:t xml:space="preserve">student_academic_records</w:t>
      </w:r>
      <w:r>
        <w:t xml:space="preserve">/</w:t>
      </w:r>
      <w:r>
        <w:rPr>
          <w:rStyle w:val="VerbatimChar"/>
        </w:rPr>
        <w:t xml:space="preserve">subjects</w:t>
      </w:r>
      <w:r>
        <w:t xml:space="preserve"> </w:t>
      </w:r>
      <w:r>
        <w:t xml:space="preserve">at it — scoped at trigger time.</w:t>
      </w:r>
    </w:p>
    <w:p>
      <w:pPr>
        <w:pStyle w:val="BodyText"/>
      </w:pPr>
      <w:r>
        <w:rPr>
          <w:bCs/>
          <w:b/>
        </w:rPr>
        <w:t xml:space="preserve">Adoption Trigger:</w:t>
      </w:r>
      <w:r>
        <w:t xml:space="preserve"> </w:t>
      </w:r>
      <w:r>
        <w:t xml:space="preserve">A real product requirement emerges for tracking multiple qualifications per student (e.g., board transfers, re-takes, parallel certifications).</w:t>
      </w:r>
    </w:p>
    <w:p>
      <w:pPr>
        <w:pStyle w:val="BodyText"/>
      </w:pPr>
      <w:r>
        <w:rPr>
          <w:bCs/>
          <w:b/>
        </w:rPr>
        <w:t xml:space="preserve">Success Criteria:</w:t>
      </w:r>
      <w:r>
        <w:t xml:space="preserve"> </w:t>
      </w:r>
      <w:r>
        <w:t xml:space="preserve">N/A until triggered.</w:t>
      </w:r>
    </w:p>
    <w:p>
      <w:pPr>
        <w:pStyle w:val="BodyText"/>
      </w:pPr>
      <w:r>
        <w:rPr>
          <w:bCs/>
          <w:b/>
        </w:rPr>
        <w:t xml:space="preserve">Owner:</w:t>
      </w:r>
      <w:r>
        <w:t xml:space="preserve"> </w:t>
      </w:r>
      <w:r>
        <w:t xml:space="preserve">Product + data architecture (unassigned).</w:t>
      </w:r>
    </w:p>
    <w:p>
      <w:pPr>
        <w:pStyle w:val="BodyText"/>
      </w:pPr>
      <w:r>
        <w:rPr>
          <w:bCs/>
          <w:b/>
        </w:rPr>
        <w:t xml:space="preserve">Review Date:</w:t>
      </w:r>
      <w:r>
        <w:t xml:space="preserve"> </w:t>
      </w:r>
      <w:r>
        <w:t xml:space="preserve">Upon product roadmap change affecting academic-record scope.</w:t>
      </w:r>
    </w:p>
    <w:p>
      <w:pPr>
        <w:pStyle w:val="BodyText"/>
      </w:pPr>
      <w:r>
        <w:rPr>
          <w:bCs/>
          <w:b/>
        </w:rPr>
        <w:t xml:space="preserve">Status:</w:t>
      </w:r>
      <w:r>
        <w:t xml:space="preserve"> </w:t>
      </w:r>
      <w:r>
        <w:t xml:space="preserve">Deferred.</w:t>
      </w:r>
    </w:p>
    <w:p>
      <w:r>
        <w:pict>
          <v:rect style="width:0;height:1.5pt" o:hralign="center" o:hrstd="t" o:hr="t"/>
        </w:pict>
      </w:r>
    </w:p>
    <w:bookmarkEnd w:id="29"/>
    <w:bookmarkStart w:id="30" w:name="Xaca42c80ca46aa28c389c487811178e736abc87"/>
    <w:p>
      <w:pPr>
        <w:pStyle w:val="Heading3"/>
      </w:pPr>
      <w:r>
        <w:t xml:space="preserve">ADR-006 — Supersession/Versioning Model (</w:t>
      </w:r>
      <w:r>
        <w:rPr>
          <w:rStyle w:val="VerbatimChar"/>
        </w:rPr>
        <w:t xml:space="preserve">supersedes_record_id</w:t>
      </w:r>
      <w:r>
        <w:t xml:space="preserve">)</w:t>
      </w:r>
    </w:p>
    <w:p>
      <w:pPr>
        <w:pStyle w:val="FirstParagraph"/>
      </w:pPr>
      <w:r>
        <w:rPr>
          <w:bCs/>
          <w:b/>
        </w:rPr>
        <w:t xml:space="preserve">Background:</w:t>
      </w:r>
      <w:r>
        <w:t xml:space="preserve"> </w:t>
      </w:r>
      <w:r>
        <w:t xml:space="preserve">Phase A includes self-referencing supersession columns to represent corrected/replaced historical records without deleting the original.</w:t>
      </w:r>
    </w:p>
    <w:p>
      <w:pPr>
        <w:pStyle w:val="BodyText"/>
      </w:pPr>
      <w:r>
        <w:rPr>
          <w:bCs/>
          <w:b/>
        </w:rPr>
        <w:t xml:space="preserve">Current Architecture:</w:t>
      </w:r>
      <w:r>
        <w:t xml:space="preserve"> </w:t>
      </w:r>
      <w:r>
        <w:rPr>
          <w:rStyle w:val="VerbatimChar"/>
        </w:rPr>
        <w:t xml:space="preserve">supersedes_record_id</w:t>
      </w:r>
      <w:r>
        <w:t xml:space="preserve">/</w:t>
      </w:r>
      <w:r>
        <w:rPr>
          <w:rStyle w:val="VerbatimChar"/>
        </w:rPr>
        <w:t xml:space="preserve">supersedes_activity_id</w:t>
      </w:r>
      <w:r>
        <w:t xml:space="preserve"> </w:t>
      </w:r>
      <w:r>
        <w:t xml:space="preserve">self-referencing FKs.</w:t>
      </w:r>
    </w:p>
    <w:p>
      <w:pPr>
        <w:pStyle w:val="BodyText"/>
      </w:pPr>
      <w:r>
        <w:rPr>
          <w:bCs/>
          <w:b/>
        </w:rPr>
        <w:t xml:space="preserve">Current Implementation:</w:t>
      </w:r>
      <w:r>
        <w:t xml:space="preserve"> </w:t>
      </w:r>
      <w:r>
        <w:t xml:space="preserve">Not implemented anywhere (Phase A.1, Gap G-06); current design instead uses</w:t>
      </w:r>
      <w:r>
        <w:t xml:space="preserve"> </w:t>
      </w:r>
      <w:r>
        <w:rPr>
          <w:rStyle w:val="VerbatimChar"/>
        </w:rPr>
        <w:t xml:space="preserve">is_partial</w:t>
      </w:r>
      <w:r>
        <w:t xml:space="preserve">/</w:t>
      </w:r>
      <w:r>
        <w:rPr>
          <w:rStyle w:val="VerbatimChar"/>
        </w:rPr>
        <w:t xml:space="preserve">is_predicted</w:t>
      </w:r>
      <w:r>
        <w:t xml:space="preserve"> </w:t>
      </w:r>
      <w:r>
        <w:t xml:space="preserve">flags and direct</w:t>
      </w:r>
      <w:r>
        <w:t xml:space="preserve"> </w:t>
      </w:r>
      <w:r>
        <w:rPr>
          <w:rStyle w:val="VerbatimChar"/>
        </w:rPr>
        <w:t xml:space="preserve">UPDATE</w:t>
      </w:r>
      <w:r>
        <w:t xml:space="preserve"> </w:t>
      </w:r>
      <w:r>
        <w:t xml:space="preserve">for corrections.</w:t>
      </w:r>
    </w:p>
    <w:p>
      <w:pPr>
        <w:pStyle w:val="BodyText"/>
      </w:pPr>
      <w:r>
        <w:rPr>
          <w:bCs/>
          <w:b/>
        </w:rPr>
        <w:t xml:space="preserve">Evidence:</w:t>
      </w:r>
      <w:r>
        <w:t xml:space="preserve"> </w:t>
      </w:r>
      <w:r>
        <w:t xml:space="preserve">Phase A.1 §5, §11 (G-06).</w:t>
      </w:r>
    </w:p>
    <w:p>
      <w:pPr>
        <w:pStyle w:val="BodyText"/>
      </w:pPr>
      <w:r>
        <w:rPr>
          <w:bCs/>
          <w:b/>
        </w:rPr>
        <w:t xml:space="preserve">Options Considered:</w:t>
      </w:r>
      <w:r>
        <w:t xml:space="preserve"> </w:t>
      </w:r>
      <w:r>
        <w:t xml:space="preserve">1. Add supersession columns now.</w:t>
      </w:r>
      <w:r>
        <w:t xml:space="preserve"> </w:t>
      </w:r>
      <w:r>
        <w:t xml:space="preserve">2. Defer until a data-correction workflow need is demonstrated.</w:t>
      </w:r>
    </w:p>
    <w:p>
      <w:pPr>
        <w:pStyle w:val="BodyText"/>
      </w:pPr>
      <w:r>
        <w:rPr>
          <w:bCs/>
          <w:b/>
        </w:rPr>
        <w:t xml:space="preserve">Governance Decision: DEFER.</w:t>
      </w:r>
    </w:p>
    <w:p>
      <w:pPr>
        <w:pStyle w:val="BodyText"/>
      </w:pPr>
      <w:r>
        <w:rPr>
          <w:bCs/>
          <w:b/>
        </w:rPr>
        <w:t xml:space="preserve">Rationale:</w:t>
      </w:r>
      <w:r>
        <w:t xml:space="preserve"> </w:t>
      </w:r>
      <w:r>
        <w:t xml:space="preserve">Same logic as ADR-005 — no evidenced current need for immutable historical correction tracking; current</w:t>
      </w:r>
      <w:r>
        <w:t xml:space="preserve"> </w:t>
      </w:r>
      <w:r>
        <w:rPr>
          <w:rStyle w:val="VerbatimChar"/>
        </w:rPr>
        <w:t xml:space="preserve">UPDATE</w:t>
      </w:r>
      <w:r>
        <w:t xml:space="preserve">-based correction is simpler and adequate absent a specific requirement (e.g., audit/compliance need for immutable history).</w:t>
      </w:r>
    </w:p>
    <w:p>
      <w:pPr>
        <w:pStyle w:val="BodyText"/>
      </w:pPr>
      <w:r>
        <w:rPr>
          <w:bCs/>
          <w:b/>
        </w:rPr>
        <w:t xml:space="preserve">Risks:</w:t>
      </w:r>
      <w:r>
        <w:t xml:space="preserve"> </w:t>
      </w:r>
      <w:r>
        <w:t xml:space="preserve">If a compliance or audit requirement for immutable historical records emerges, retrofitting supersession onto already-mutated historical data may not be fully recoverable (past corrections via</w:t>
      </w:r>
      <w:r>
        <w:t xml:space="preserve"> </w:t>
      </w:r>
      <w:r>
        <w:rPr>
          <w:rStyle w:val="VerbatimChar"/>
        </w:rPr>
        <w:t xml:space="preserve">UPDATE</w:t>
      </w:r>
      <w:r>
        <w:t xml:space="preserve"> </w:t>
      </w:r>
      <w:r>
        <w:t xml:space="preserve">will have already destroyed the pre-correction state).</w:t>
      </w:r>
    </w:p>
    <w:p>
      <w:pPr>
        <w:pStyle w:val="BodyText"/>
      </w:pPr>
      <w:r>
        <w:rPr>
          <w:bCs/>
          <w:b/>
        </w:rPr>
        <w:t xml:space="preserve">Business Impact:</w:t>
      </w:r>
      <w:r>
        <w:t xml:space="preserve"> </w:t>
      </w:r>
      <w:r>
        <w:t xml:space="preserve">None near-term; the risk under</w:t>
      </w:r>
      <w:r>
        <w:t xml:space="preserve"> </w:t>
      </w:r>
      <w:r>
        <w:t xml:space="preserve">“</w:t>
      </w:r>
      <w:r>
        <w:t xml:space="preserve">Risks</w:t>
      </w:r>
      <w:r>
        <w:t xml:space="preserve">”</w:t>
      </w:r>
      <w:r>
        <w:t xml:space="preserve"> </w:t>
      </w:r>
      <w:r>
        <w:t xml:space="preserve">above is the one genuinely irreversible element in this entire assessment and deserves explicit executive awareness even while deferred.</w:t>
      </w:r>
    </w:p>
    <w:p>
      <w:pPr>
        <w:pStyle w:val="BodyText"/>
      </w:pPr>
      <w:r>
        <w:rPr>
          <w:bCs/>
          <w:b/>
        </w:rPr>
        <w:t xml:space="preserve">Technical Impact:</w:t>
      </w:r>
      <w:r>
        <w:t xml:space="preserve"> </w:t>
      </w:r>
      <w:r>
        <w:t xml:space="preserve">Low near-term.</w:t>
      </w:r>
    </w:p>
    <w:p>
      <w:pPr>
        <w:pStyle w:val="BodyText"/>
      </w:pPr>
      <w:r>
        <w:rPr>
          <w:bCs/>
          <w:b/>
        </w:rPr>
        <w:t xml:space="preserve">Operational Impact:</w:t>
      </w:r>
      <w:r>
        <w:t xml:space="preserve"> </w:t>
      </w:r>
      <w:r>
        <w:t xml:space="preserve">None near-term.</w:t>
      </w:r>
    </w:p>
    <w:p>
      <w:pPr>
        <w:pStyle w:val="BodyText"/>
      </w:pPr>
      <w:r>
        <w:rPr>
          <w:bCs/>
          <w:b/>
        </w:rPr>
        <w:t xml:space="preserve">Migration Strategy:</w:t>
      </w:r>
      <w:r>
        <w:t xml:space="preserve"> </w:t>
      </w:r>
      <w:r>
        <w:t xml:space="preserve">Add supersession columns going forward once triggered; historical gap (pre-trigger corrections) cannot be retroactively recovered.</w:t>
      </w:r>
    </w:p>
    <w:p>
      <w:pPr>
        <w:pStyle w:val="BodyText"/>
      </w:pPr>
      <w:r>
        <w:rPr>
          <w:bCs/>
          <w:b/>
        </w:rPr>
        <w:t xml:space="preserve">Adoption Trigger:</w:t>
      </w:r>
      <w:r>
        <w:t xml:space="preserve"> </w:t>
      </w:r>
      <w:r>
        <w:t xml:space="preserve">A compliance, audit, or dispute-resolution requirement emerges for provable historical record immutability.</w:t>
      </w:r>
    </w:p>
    <w:p>
      <w:pPr>
        <w:pStyle w:val="BodyText"/>
      </w:pPr>
      <w:r>
        <w:rPr>
          <w:bCs/>
          <w:b/>
        </w:rPr>
        <w:t xml:space="preserve">Success Criteria:</w:t>
      </w:r>
      <w:r>
        <w:t xml:space="preserve"> </w:t>
      </w:r>
      <w:r>
        <w:t xml:space="preserve">N/A until triggered.</w:t>
      </w:r>
    </w:p>
    <w:p>
      <w:pPr>
        <w:pStyle w:val="BodyText"/>
      </w:pPr>
      <w:r>
        <w:rPr>
          <w:bCs/>
          <w:b/>
        </w:rPr>
        <w:t xml:space="preserve">Owner:</w:t>
      </w:r>
      <w:r>
        <w:t xml:space="preserve"> </w:t>
      </w:r>
      <w:r>
        <w:t xml:space="preserve">Compliance/data governance (unassigned).</w:t>
      </w:r>
    </w:p>
    <w:p>
      <w:pPr>
        <w:pStyle w:val="BodyText"/>
      </w:pPr>
      <w:r>
        <w:rPr>
          <w:bCs/>
          <w:b/>
        </w:rPr>
        <w:t xml:space="preserve">Review Date:</w:t>
      </w:r>
      <w:r>
        <w:t xml:space="preserve"> </w:t>
      </w:r>
      <w:r>
        <w:t xml:space="preserve">Upon any regulatory or compliance scope change.</w:t>
      </w:r>
    </w:p>
    <w:p>
      <w:pPr>
        <w:pStyle w:val="BodyText"/>
      </w:pPr>
      <w:r>
        <w:rPr>
          <w:bCs/>
          <w:b/>
        </w:rPr>
        <w:t xml:space="preserve">Status:</w:t>
      </w:r>
      <w:r>
        <w:t xml:space="preserve"> </w:t>
      </w:r>
      <w:r>
        <w:t xml:space="preserve">Deferred — flagged as the one item in this register with a genuinely irreversible cost of continued deferral.</w:t>
      </w:r>
    </w:p>
    <w:p>
      <w:r>
        <w:pict>
          <v:rect style="width:0;height:1.5pt" o:hralign="center" o:hrstd="t" o:hr="t"/>
        </w:pict>
      </w:r>
    </w:p>
    <w:bookmarkEnd w:id="30"/>
    <w:bookmarkStart w:id="31" w:name="X05d1bdcda663cf8de83f0997697ebae4c84a9bb"/>
    <w:p>
      <w:pPr>
        <w:pStyle w:val="Heading3"/>
      </w:pPr>
      <w:r>
        <w:t xml:space="preserve">ADR-007 — RLS Coverage Verification on Activity/Cognitive/Signal Tables</w:t>
      </w:r>
    </w:p>
    <w:p>
      <w:pPr>
        <w:pStyle w:val="FirstParagraph"/>
      </w:pPr>
      <w:r>
        <w:rPr>
          <w:bCs/>
          <w:b/>
        </w:rPr>
        <w:t xml:space="preserve">Background:</w:t>
      </w:r>
      <w:r>
        <w:t xml:space="preserve"> </w:t>
      </w:r>
      <w:r>
        <w:t xml:space="preserve">Phase A.1 could not confirm or rule out RLS coverage on</w:t>
      </w:r>
      <w:r>
        <w:t xml:space="preserve"> </w:t>
      </w:r>
      <w:r>
        <w:rPr>
          <w:rStyle w:val="VerbatimChar"/>
        </w:rPr>
        <w:t xml:space="preserve">student_activities</w:t>
      </w:r>
      <w:r>
        <w:t xml:space="preserve">,</w:t>
      </w:r>
      <w:r>
        <w:t xml:space="preserve"> </w:t>
      </w:r>
      <w:r>
        <w:rPr>
          <w:rStyle w:val="VerbatimChar"/>
        </w:rPr>
        <w:t xml:space="preserve">student_cognitive_responses</w:t>
      </w:r>
      <w:r>
        <w:t xml:space="preserve">,</w:t>
      </w:r>
      <w:r>
        <w:t xml:space="preserve"> </w:t>
      </w:r>
      <w:r>
        <w:rPr>
          <w:rStyle w:val="VerbatimChar"/>
        </w:rPr>
        <w:t xml:space="preserve">student_signal_vectors</w:t>
      </w:r>
      <w:r>
        <w:t xml:space="preserve">, and related tables (Gap G-07) — this was explicitly flagged as unverified, not confirmed-missing.</w:t>
      </w:r>
    </w:p>
    <w:p>
      <w:pPr>
        <w:pStyle w:val="BodyText"/>
      </w:pPr>
      <w:r>
        <w:rPr>
          <w:bCs/>
          <w:b/>
        </w:rPr>
        <w:t xml:space="preserve">Current Architecture:</w:t>
      </w:r>
      <w:r>
        <w:t xml:space="preserve"> </w:t>
      </w:r>
      <w:r>
        <w:t xml:space="preserve">Phase A Part 6 requires a uniform, composable ownership-check pattern across all domain tables.</w:t>
      </w:r>
    </w:p>
    <w:p>
      <w:pPr>
        <w:pStyle w:val="BodyText"/>
      </w:pPr>
      <w:r>
        <w:rPr>
          <w:bCs/>
          <w:b/>
        </w:rPr>
        <w:t xml:space="preserve">Current Implementation:</w:t>
      </w:r>
      <w:r>
        <w:t xml:space="preserve"> </w:t>
      </w:r>
      <w:r>
        <w:t xml:space="preserve">Confirmed present on</w:t>
      </w:r>
      <w:r>
        <w:t xml:space="preserve"> </w:t>
      </w:r>
      <w:r>
        <w:rPr>
          <w:rStyle w:val="VerbatimChar"/>
        </w:rPr>
        <w:t xml:space="preserve">student_academic_records</w:t>
      </w:r>
      <w:r>
        <w:t xml:space="preserve">/</w:t>
      </w:r>
      <w:r>
        <w:rPr>
          <w:rStyle w:val="VerbatimChar"/>
        </w:rPr>
        <w:t xml:space="preserve">student_academic_subjects</w:t>
      </w:r>
      <w:r>
        <w:t xml:space="preserve">; unverified elsewhere.</w:t>
      </w:r>
    </w:p>
    <w:p>
      <w:pPr>
        <w:pStyle w:val="BodyText"/>
      </w:pPr>
      <w:r>
        <w:rPr>
          <w:bCs/>
          <w:b/>
        </w:rPr>
        <w:t xml:space="preserve">Evidence:</w:t>
      </w:r>
      <w:r>
        <w:t xml:space="preserve"> </w:t>
      </w:r>
      <w:r>
        <w:t xml:space="preserve">Phase A.1 §8, §11 (G-07).</w:t>
      </w:r>
    </w:p>
    <w:p>
      <w:pPr>
        <w:pStyle w:val="BodyText"/>
      </w:pPr>
      <w:r>
        <w:rPr>
          <w:bCs/>
          <w:b/>
        </w:rPr>
        <w:t xml:space="preserve">Options Considered:</w:t>
      </w:r>
      <w:r>
        <w:t xml:space="preserve"> </w:t>
      </w:r>
      <w:r>
        <w:t xml:space="preserve">1. Verify immediately (low-cost, high-value).</w:t>
      </w:r>
      <w:r>
        <w:t xml:space="preserve"> </w:t>
      </w:r>
      <w:r>
        <w:t xml:space="preserve">2. Defer verification.</w:t>
      </w:r>
    </w:p>
    <w:p>
      <w:pPr>
        <w:pStyle w:val="BodyText"/>
      </w:pPr>
      <w:r>
        <w:rPr>
          <w:bCs/>
          <w:b/>
        </w:rPr>
        <w:t xml:space="preserve">Governance Decision: REALIZE</w:t>
      </w:r>
      <w:r>
        <w:t xml:space="preserve"> </w:t>
      </w:r>
      <w:r>
        <w:t xml:space="preserve">(verification, not new architecture) — this is the one item where the correct disposition is to close the unknown immediately rather than assign it a deferred trigger, because the cost of checking is trivial relative to the potential cost of an unverified security gap.</w:t>
      </w:r>
    </w:p>
    <w:p>
      <w:pPr>
        <w:pStyle w:val="BodyText"/>
      </w:pPr>
      <w:r>
        <w:rPr>
          <w:bCs/>
          <w:b/>
        </w:rPr>
        <w:t xml:space="preserve">Rationale:</w:t>
      </w:r>
      <w:r>
        <w:t xml:space="preserve"> </w:t>
      </w:r>
      <w:r>
        <w:t xml:space="preserve">Unlike the other gaps, this one is not a documented, understood variance — it’s an open question. Governance principle (</w:t>
      </w:r>
      <w:r>
        <w:t xml:space="preserve">“</w:t>
      </w:r>
      <w:r>
        <w:t xml:space="preserve">never assume implementation is correct</w:t>
      </w:r>
      <w:r>
        <w:t xml:space="preserve">”</w:t>
      </w:r>
      <w:r>
        <w:t xml:space="preserve">) applies directly: this must be checked, not assumed either way.</w:t>
      </w:r>
    </w:p>
    <w:p>
      <w:pPr>
        <w:pStyle w:val="BodyText"/>
      </w:pPr>
      <w:r>
        <w:rPr>
          <w:bCs/>
          <w:b/>
        </w:rPr>
        <w:t xml:space="preserve">Risks:</w:t>
      </w:r>
      <w:r>
        <w:t xml:space="preserve"> </w:t>
      </w:r>
      <w:r>
        <w:t xml:space="preserve">If RLS is in fact missing on any of these tables, any authenticated user could potentially read/write other students’ cognitive or activity data — a serious risk if real, currently unquantified.</w:t>
      </w:r>
    </w:p>
    <w:p>
      <w:pPr>
        <w:pStyle w:val="BodyText"/>
      </w:pPr>
      <w:r>
        <w:rPr>
          <w:bCs/>
          <w:b/>
        </w:rPr>
        <w:t xml:space="preserve">Business Impact:</w:t>
      </w:r>
      <w:r>
        <w:t xml:space="preserve"> </w:t>
      </w:r>
      <w:r>
        <w:t xml:space="preserve">Potentially significant if a gap is confirmed (data privacy exposure).</w:t>
      </w:r>
    </w:p>
    <w:p>
      <w:pPr>
        <w:pStyle w:val="BodyText"/>
      </w:pPr>
      <w:r>
        <w:rPr>
          <w:bCs/>
          <w:b/>
        </w:rPr>
        <w:t xml:space="preserve">Technical Impact:</w:t>
      </w:r>
      <w:r>
        <w:t xml:space="preserve"> </w:t>
      </w:r>
      <w:r>
        <w:t xml:space="preserve">Low to verify; low-to-moderate to fix if a gap is found (standard RLS policy addition, matching the existing pattern on</w:t>
      </w:r>
      <w:r>
        <w:t xml:space="preserve"> </w:t>
      </w:r>
      <w:r>
        <w:rPr>
          <w:rStyle w:val="VerbatimChar"/>
        </w:rPr>
        <w:t xml:space="preserve">student_academic_records</w:t>
      </w:r>
      <w:r>
        <w:t xml:space="preserve">).</w:t>
      </w:r>
    </w:p>
    <w:p>
      <w:pPr>
        <w:pStyle w:val="BodyText"/>
      </w:pPr>
      <w:r>
        <w:rPr>
          <w:bCs/>
          <w:b/>
        </w:rPr>
        <w:t xml:space="preserve">Operational Impact:</w:t>
      </w:r>
      <w:r>
        <w:t xml:space="preserve"> </w:t>
      </w:r>
      <w:r>
        <w:t xml:space="preserve">None to verify; brief migration window if a fix is needed.</w:t>
      </w:r>
    </w:p>
    <w:p>
      <w:pPr>
        <w:pStyle w:val="BodyText"/>
      </w:pPr>
      <w:r>
        <w:rPr>
          <w:bCs/>
          <w:b/>
        </w:rPr>
        <w:t xml:space="preserve">Migration Strategy:</w:t>
      </w:r>
      <w:r>
        <w:t xml:space="preserve"> </w:t>
      </w:r>
      <w:r>
        <w:t xml:space="preserve">N/A for verification; if gap found, apply the same RLS policy pattern already proven on</w:t>
      </w:r>
      <w:r>
        <w:t xml:space="preserve"> </w:t>
      </w:r>
      <w:r>
        <w:rPr>
          <w:rStyle w:val="VerbatimChar"/>
        </w:rPr>
        <w:t xml:space="preserve">student_academic_records</w:t>
      </w:r>
      <w:r>
        <w:t xml:space="preserve">/</w:t>
      </w:r>
      <w:r>
        <w:rPr>
          <w:rStyle w:val="VerbatimChar"/>
        </w:rPr>
        <w:t xml:space="preserve">student_academic_subjects</w:t>
      </w:r>
      <w:r>
        <w:t xml:space="preserve">.</w:t>
      </w:r>
    </w:p>
    <w:p>
      <w:pPr>
        <w:pStyle w:val="BodyText"/>
      </w:pPr>
      <w:r>
        <w:rPr>
          <w:bCs/>
          <w:b/>
        </w:rPr>
        <w:t xml:space="preserve">Adoption Trigger:</w:t>
      </w:r>
      <w:r>
        <w:t xml:space="preserve"> </w:t>
      </w:r>
      <w:r>
        <w:t xml:space="preserve">Not deferred — immediate.</w:t>
      </w:r>
    </w:p>
    <w:p>
      <w:pPr>
        <w:pStyle w:val="BodyText"/>
      </w:pPr>
      <w:r>
        <w:rPr>
          <w:bCs/>
          <w:b/>
        </w:rPr>
        <w:t xml:space="preserve">Success Criteria:</w:t>
      </w:r>
      <w:r>
        <w:t xml:space="preserve"> </w:t>
      </w:r>
      <w:r>
        <w:t xml:space="preserve">Written confirmation, with query evidence, of RLS status (enabled/disabled, policy list) for every student-owned table in the repository.</w:t>
      </w:r>
    </w:p>
    <w:p>
      <w:pPr>
        <w:pStyle w:val="BodyText"/>
      </w:pPr>
      <w:r>
        <w:rPr>
          <w:bCs/>
          <w:b/>
        </w:rPr>
        <w:t xml:space="preserve">Owner:</w:t>
      </w:r>
      <w:r>
        <w:t xml:space="preserve"> </w:t>
      </w:r>
      <w:r>
        <w:t xml:space="preserve">Security/platform engineering (unassigned).</w:t>
      </w:r>
    </w:p>
    <w:p>
      <w:pPr>
        <w:pStyle w:val="BodyText"/>
      </w:pPr>
      <w:r>
        <w:rPr>
          <w:bCs/>
          <w:b/>
        </w:rPr>
        <w:t xml:space="preserve">Review Date:</w:t>
      </w:r>
      <w:r>
        <w:t xml:space="preserve"> </w:t>
      </w:r>
      <w:r>
        <w:t xml:space="preserve">Immediate.</w:t>
      </w:r>
    </w:p>
    <w:p>
      <w:pPr>
        <w:pStyle w:val="BodyText"/>
      </w:pPr>
      <w:r>
        <w:rPr>
          <w:bCs/>
          <w:b/>
        </w:rPr>
        <w:t xml:space="preserve">Status:</w:t>
      </w:r>
      <w:r>
        <w:t xml:space="preserve"> </w:t>
      </w:r>
      <w:r>
        <w:t xml:space="preserve">Accepted for immediate action (this is ERP-01-WP-02 from Phase A.1’s backlog).</w:t>
      </w:r>
    </w:p>
    <w:p>
      <w:r>
        <w:pict>
          <v:rect style="width:0;height:1.5pt" o:hralign="center" o:hrstd="t" o:hr="t"/>
        </w:pict>
      </w:r>
    </w:p>
    <w:bookmarkEnd w:id="31"/>
    <w:bookmarkEnd w:id="32"/>
    <w:bookmarkStart w:id="33" w:name="architecture-compliance-classification"/>
    <w:p>
      <w:pPr>
        <w:pStyle w:val="Heading2"/>
      </w:pPr>
      <w:r>
        <w:t xml:space="preserve">4. Architecture Compliance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Classification</w:t>
            </w:r>
          </w:p>
        </w:tc>
        <w:tc>
          <w:tcPr/>
          <w:p>
            <w:pPr>
              <w:pStyle w:val="Compact"/>
              <w:jc w:val="left"/>
            </w:pPr>
            <w:r>
              <w:t xml:space="preserve">Justification</w:t>
            </w:r>
          </w:p>
        </w:tc>
      </w:tr>
      <w:tr>
        <w:tc>
          <w:tcPr/>
          <w:p>
            <w:pPr>
              <w:pStyle w:val="Compact"/>
              <w:jc w:val="left"/>
            </w:pPr>
            <w:r>
              <w:t xml:space="preserve">UUID primary keys</w:t>
            </w:r>
          </w:p>
        </w:tc>
        <w:tc>
          <w:tcPr/>
          <w:p>
            <w:pPr>
              <w:pStyle w:val="Compact"/>
              <w:jc w:val="left"/>
            </w:pPr>
            <w:r>
              <w:rPr>
                <w:bCs/>
                <w:b/>
              </w:rPr>
              <w:t xml:space="preserve">Mandatory</w:t>
            </w:r>
          </w:p>
        </w:tc>
        <w:tc>
          <w:tcPr/>
          <w:p>
            <w:pPr>
              <w:pStyle w:val="Compact"/>
              <w:jc w:val="left"/>
            </w:pPr>
            <w:r>
              <w:t xml:space="preserve">Already universally implemented; no reason to weaken</w:t>
            </w:r>
          </w:p>
        </w:tc>
      </w:tr>
      <w:tr>
        <w:tc>
          <w:tcPr/>
          <w:p>
            <w:pPr>
              <w:pStyle w:val="Compact"/>
              <w:jc w:val="left"/>
            </w:pPr>
            <w:r>
              <w:rPr>
                <w:rStyle w:val="VerbatimChar"/>
              </w:rPr>
              <w:t xml:space="preserve">timestamptz</w:t>
            </w:r>
            <w:r>
              <w:t xml:space="preserve"> </w:t>
            </w:r>
            <w:r>
              <w:t xml:space="preserve">discipline</w:t>
            </w:r>
          </w:p>
        </w:tc>
        <w:tc>
          <w:tcPr/>
          <w:p>
            <w:pPr>
              <w:pStyle w:val="Compact"/>
              <w:jc w:val="left"/>
            </w:pPr>
            <w:r>
              <w:rPr>
                <w:bCs/>
                <w:b/>
              </w:rPr>
              <w:t xml:space="preserve">Mandatory</w:t>
            </w:r>
          </w:p>
        </w:tc>
        <w:tc>
          <w:tcPr/>
          <w:p>
            <w:pPr>
              <w:pStyle w:val="Compact"/>
              <w:jc w:val="left"/>
            </w:pPr>
            <w:r>
              <w:t xml:space="preserve">Already universal; prevents a real class of bugs</w:t>
            </w:r>
          </w:p>
        </w:tc>
      </w:tr>
      <w:tr>
        <w:tc>
          <w:tcPr/>
          <w:p>
            <w:pPr>
              <w:pStyle w:val="Compact"/>
              <w:jc w:val="left"/>
            </w:pPr>
            <w:r>
              <w:t xml:space="preserve">RLS ownership pattern</w:t>
            </w:r>
          </w:p>
        </w:tc>
        <w:tc>
          <w:tcPr/>
          <w:p>
            <w:pPr>
              <w:pStyle w:val="Compact"/>
              <w:jc w:val="left"/>
            </w:pPr>
            <w:r>
              <w:rPr>
                <w:bCs/>
                <w:b/>
              </w:rPr>
              <w:t xml:space="preserve">Mandatory</w:t>
            </w:r>
          </w:p>
        </w:tc>
        <w:tc>
          <w:tcPr/>
          <w:p>
            <w:pPr>
              <w:pStyle w:val="Compact"/>
              <w:jc w:val="left"/>
            </w:pPr>
            <w:r>
              <w:t xml:space="preserve">Proven where implemented; ADR-007 makes full coverage mandatory, not optional</w:t>
            </w:r>
          </w:p>
        </w:tc>
      </w:tr>
      <w:tr>
        <w:tc>
          <w:tcPr/>
          <w:p>
            <w:pPr>
              <w:pStyle w:val="Compact"/>
              <w:jc w:val="left"/>
            </w:pPr>
            <w:r>
              <w:rPr>
                <w:rStyle w:val="VerbatimChar"/>
              </w:rPr>
              <w:t xml:space="preserve">academic_domain</w:t>
            </w:r>
            <w:r>
              <w:t xml:space="preserve"> </w:t>
            </w:r>
            <w:r>
              <w:t xml:space="preserve">schema isolation</w:t>
            </w:r>
          </w:p>
        </w:tc>
        <w:tc>
          <w:tcPr/>
          <w:p>
            <w:pPr>
              <w:pStyle w:val="Compact"/>
              <w:jc w:val="left"/>
            </w:pPr>
            <w:r>
              <w:rPr>
                <w:bCs/>
                <w:b/>
              </w:rPr>
              <w:t xml:space="preserve">Deferred</w:t>
            </w:r>
          </w:p>
        </w:tc>
        <w:tc>
          <w:tcPr/>
          <w:p>
            <w:pPr>
              <w:pStyle w:val="Compact"/>
              <w:jc w:val="left"/>
            </w:pPr>
            <w:r>
              <w:t xml:space="preserve">ADR-001</w:t>
            </w:r>
          </w:p>
        </w:tc>
      </w:tr>
      <w:tr>
        <w:tc>
          <w:tcPr/>
          <w:p>
            <w:pPr>
              <w:pStyle w:val="Compact"/>
              <w:jc w:val="left"/>
            </w:pPr>
            <w:r>
              <w:t xml:space="preserve">Canonical 26-table naming</w:t>
            </w:r>
          </w:p>
        </w:tc>
        <w:tc>
          <w:tcPr/>
          <w:p>
            <w:pPr>
              <w:pStyle w:val="Compact"/>
              <w:jc w:val="left"/>
            </w:pPr>
            <w:r>
              <w:rPr>
                <w:bCs/>
                <w:b/>
              </w:rPr>
              <w:t xml:space="preserve">Retired</w:t>
            </w:r>
          </w:p>
        </w:tc>
        <w:tc>
          <w:tcPr/>
          <w:p>
            <w:pPr>
              <w:pStyle w:val="Compact"/>
              <w:jc w:val="left"/>
            </w:pPr>
            <w:r>
              <w:t xml:space="preserve">ADR-002 — superseded by revised architecture reflecting actual names</w:t>
            </w:r>
          </w:p>
        </w:tc>
      </w:tr>
      <w:tr>
        <w:tc>
          <w:tcPr/>
          <w:p>
            <w:pPr>
              <w:pStyle w:val="Compact"/>
              <w:jc w:val="left"/>
            </w:pPr>
            <w:r>
              <w:rPr>
                <w:rStyle w:val="VerbatimChar"/>
              </w:rPr>
              <w:t xml:space="preserve">_code</w:t>
            </w:r>
            <w:r>
              <w:t xml:space="preserve">+</w:t>
            </w:r>
            <w:r>
              <w:rPr>
                <w:rStyle w:val="VerbatimChar"/>
              </w:rPr>
              <w:t xml:space="preserve">taxonomy_version_id</w:t>
            </w:r>
            <w:r>
              <w:t xml:space="preserve"> </w:t>
            </w:r>
            <w:r>
              <w:t xml:space="preserve">pattern</w:t>
            </w:r>
          </w:p>
        </w:tc>
        <w:tc>
          <w:tcPr/>
          <w:p>
            <w:pPr>
              <w:pStyle w:val="Compact"/>
              <w:jc w:val="left"/>
            </w:pPr>
            <w:r>
              <w:rPr>
                <w:bCs/>
                <w:b/>
              </w:rPr>
              <w:t xml:space="preserve">Recommended, conditionally</w:t>
            </w:r>
          </w:p>
        </w:tc>
        <w:tc>
          <w:tcPr/>
          <w:p>
            <w:pPr>
              <w:pStyle w:val="Compact"/>
              <w:jc w:val="left"/>
            </w:pPr>
            <w:r>
              <w:t xml:space="preserve">ADR-003 — not mandatory at current scale, but the no-denormalization condition is mandatory</w:t>
            </w:r>
          </w:p>
        </w:tc>
      </w:tr>
      <w:tr>
        <w:tc>
          <w:tcPr/>
          <w:p>
            <w:pPr>
              <w:pStyle w:val="Compact"/>
              <w:jc w:val="left"/>
            </w:pPr>
            <w:r>
              <w:t xml:space="preserve">Partitioning of 4 historical tables</w:t>
            </w:r>
          </w:p>
        </w:tc>
        <w:tc>
          <w:tcPr/>
          <w:p>
            <w:pPr>
              <w:pStyle w:val="Compact"/>
              <w:jc w:val="left"/>
            </w:pPr>
            <w:r>
              <w:rPr>
                <w:bCs/>
                <w:b/>
              </w:rPr>
              <w:t xml:space="preserve">Deferred</w:t>
            </w:r>
          </w:p>
        </w:tc>
        <w:tc>
          <w:tcPr/>
          <w:p>
            <w:pPr>
              <w:pStyle w:val="Compact"/>
              <w:jc w:val="left"/>
            </w:pPr>
            <w:r>
              <w:t xml:space="preserve">ADR-004</w:t>
            </w:r>
          </w:p>
        </w:tc>
      </w:tr>
      <w:tr>
        <w:tc>
          <w:tcPr/>
          <w:p>
            <w:pPr>
              <w:pStyle w:val="Compact"/>
              <w:jc w:val="left"/>
            </w:pPr>
            <w:r>
              <w:t xml:space="preserve">Qualification/selection separation</w:t>
            </w:r>
          </w:p>
        </w:tc>
        <w:tc>
          <w:tcPr/>
          <w:p>
            <w:pPr>
              <w:pStyle w:val="Compact"/>
              <w:jc w:val="left"/>
            </w:pPr>
            <w:r>
              <w:rPr>
                <w:bCs/>
                <w:b/>
              </w:rPr>
              <w:t xml:space="preserve">Deferred</w:t>
            </w:r>
          </w:p>
        </w:tc>
        <w:tc>
          <w:tcPr/>
          <w:p>
            <w:pPr>
              <w:pStyle w:val="Compact"/>
              <w:jc w:val="left"/>
            </w:pPr>
            <w:r>
              <w:t xml:space="preserve">ADR-005</w:t>
            </w:r>
          </w:p>
        </w:tc>
      </w:tr>
      <w:tr>
        <w:tc>
          <w:tcPr/>
          <w:p>
            <w:pPr>
              <w:pStyle w:val="Compact"/>
              <w:jc w:val="left"/>
            </w:pPr>
            <w:r>
              <w:t xml:space="preserve">Supersession/versioning columns</w:t>
            </w:r>
          </w:p>
        </w:tc>
        <w:tc>
          <w:tcPr/>
          <w:p>
            <w:pPr>
              <w:pStyle w:val="Compact"/>
              <w:jc w:val="left"/>
            </w:pPr>
            <w:r>
              <w:rPr>
                <w:bCs/>
                <w:b/>
              </w:rPr>
              <w:t xml:space="preserve">Deferred</w:t>
            </w:r>
            <w:r>
              <w:t xml:space="preserve"> </w:t>
            </w:r>
            <w:r>
              <w:t xml:space="preserve">(with irreversibility caveat)</w:t>
            </w:r>
          </w:p>
        </w:tc>
        <w:tc>
          <w:tcPr/>
          <w:p>
            <w:pPr>
              <w:pStyle w:val="Compact"/>
              <w:jc w:val="left"/>
            </w:pPr>
            <w:r>
              <w:t xml:space="preserve">ADR-006</w:t>
            </w:r>
          </w:p>
        </w:tc>
      </w:tr>
      <w:tr>
        <w:tc>
          <w:tcPr/>
          <w:p>
            <w:pPr>
              <w:pStyle w:val="Compact"/>
              <w:jc w:val="left"/>
            </w:pPr>
            <w:r>
              <w:t xml:space="preserve">Migration naming/idempotency conventions</w:t>
            </w:r>
          </w:p>
        </w:tc>
        <w:tc>
          <w:tcPr/>
          <w:p>
            <w:pPr>
              <w:pStyle w:val="Compact"/>
              <w:jc w:val="left"/>
            </w:pPr>
            <w:r>
              <w:rPr>
                <w:bCs/>
                <w:b/>
              </w:rPr>
              <w:t xml:space="preserve">Mandatory</w:t>
            </w:r>
          </w:p>
        </w:tc>
        <w:tc>
          <w:tcPr/>
          <w:p>
            <w:pPr>
              <w:pStyle w:val="Compact"/>
              <w:jc w:val="left"/>
            </w:pPr>
            <w:r>
              <w:t xml:space="preserve">Already followed consistently; exceeds Phase A’s own requirements — retained as-is</w:t>
            </w:r>
          </w:p>
        </w:tc>
      </w:tr>
    </w:tbl>
    <w:p>
      <w:r>
        <w:pict>
          <v:rect style="width:0;height:1.5pt" o:hralign="center" o:hrstd="t" o:hr="t"/>
        </w:pict>
      </w:r>
    </w:p>
    <w:bookmarkEnd w:id="33"/>
    <w:bookmarkStart w:id="34" w:name="enterprise-architecture-decision-matrix"/>
    <w:p>
      <w:pPr>
        <w:pStyle w:val="Heading2"/>
      </w:pPr>
      <w:r>
        <w:t xml:space="preserve">5. Enterprise Architecture Decision Matrix</w:t>
      </w:r>
    </w:p>
    <w:tbl>
      <w:tblPr>
        <w:tblStyle w:val="Table"/>
        <w:tblW w:type="pct" w:w="5000"/>
        <w:tblLook w:firstRow="1" w:lastRow="0" w:firstColumn="0" w:lastColumn="0" w:noHBand="0" w:noVBand="0" w:val="0020"/>
        <w:jc w:val="start"/>
      </w:tblPr>
      <w:tblGrid>
        <w:gridCol w:w="528"/>
        <w:gridCol w:w="528"/>
        <w:gridCol w:w="528"/>
        <w:gridCol w:w="528"/>
        <w:gridCol w:w="528"/>
        <w:gridCol w:w="528"/>
        <w:gridCol w:w="528"/>
        <w:gridCol w:w="528"/>
        <w:gridCol w:w="528"/>
        <w:gridCol w:w="528"/>
        <w:gridCol w:w="528"/>
        <w:gridCol w:w="528"/>
        <w:gridCol w:w="528"/>
        <w:gridCol w:w="528"/>
        <w:gridCol w:w="528"/>
      </w:tblGrid>
      <w:tr>
        <w:trPr>
          <w:tblHeader w:val="true"/>
        </w:trPr>
        <w:tc>
          <w:tcPr/>
          <w:p>
            <w:pPr>
              <w:pStyle w:val="Compact"/>
              <w:jc w:val="left"/>
            </w:pPr>
            <w:r>
              <w:t xml:space="preserve">Req ID</w:t>
            </w:r>
          </w:p>
        </w:tc>
        <w:tc>
          <w:tcPr/>
          <w:p>
            <w:pPr>
              <w:pStyle w:val="Compact"/>
              <w:jc w:val="left"/>
            </w:pPr>
            <w:r>
              <w:t xml:space="preserve">Current Implementation</w:t>
            </w:r>
          </w:p>
        </w:tc>
        <w:tc>
          <w:tcPr/>
          <w:p>
            <w:pPr>
              <w:pStyle w:val="Compact"/>
              <w:jc w:val="left"/>
            </w:pPr>
            <w:r>
              <w:t xml:space="preserve">Target Architecture</w:t>
            </w:r>
          </w:p>
        </w:tc>
        <w:tc>
          <w:tcPr/>
          <w:p>
            <w:pPr>
              <w:pStyle w:val="Compact"/>
              <w:jc w:val="left"/>
            </w:pPr>
            <w:r>
              <w:t xml:space="preserve">Governance Decision</w:t>
            </w:r>
          </w:p>
        </w:tc>
        <w:tc>
          <w:tcPr/>
          <w:p>
            <w:pPr>
              <w:pStyle w:val="Compact"/>
              <w:jc w:val="left"/>
            </w:pPr>
            <w:r>
              <w:t xml:space="preserve">Disposition</w:t>
            </w:r>
          </w:p>
        </w:tc>
        <w:tc>
          <w:tcPr/>
          <w:p>
            <w:pPr>
              <w:pStyle w:val="Compact"/>
              <w:jc w:val="left"/>
            </w:pPr>
            <w:r>
              <w:t xml:space="preserve">Priority</w:t>
            </w:r>
          </w:p>
        </w:tc>
        <w:tc>
          <w:tcPr/>
          <w:p>
            <w:pPr>
              <w:pStyle w:val="Compact"/>
              <w:jc w:val="left"/>
            </w:pPr>
            <w:r>
              <w:t xml:space="preserve">Business Value</w:t>
            </w:r>
          </w:p>
        </w:tc>
        <w:tc>
          <w:tcPr/>
          <w:p>
            <w:pPr>
              <w:pStyle w:val="Compact"/>
              <w:jc w:val="left"/>
            </w:pPr>
            <w:r>
              <w:t xml:space="preserve">Technical Value</w:t>
            </w:r>
          </w:p>
        </w:tc>
        <w:tc>
          <w:tcPr/>
          <w:p>
            <w:pPr>
              <w:pStyle w:val="Compact"/>
              <w:jc w:val="left"/>
            </w:pPr>
            <w:r>
              <w:t xml:space="preserve">Migration Complexity</w:t>
            </w:r>
          </w:p>
        </w:tc>
        <w:tc>
          <w:tcPr/>
          <w:p>
            <w:pPr>
              <w:pStyle w:val="Compact"/>
              <w:jc w:val="left"/>
            </w:pPr>
            <w:r>
              <w:t xml:space="preserve">Risk</w:t>
            </w:r>
          </w:p>
        </w:tc>
        <w:tc>
          <w:tcPr/>
          <w:p>
            <w:pPr>
              <w:pStyle w:val="Compact"/>
              <w:jc w:val="left"/>
            </w:pPr>
            <w:r>
              <w:t xml:space="preserve">Owner</w:t>
            </w:r>
          </w:p>
        </w:tc>
        <w:tc>
          <w:tcPr/>
          <w:p>
            <w:pPr>
              <w:pStyle w:val="Compact"/>
              <w:jc w:val="left"/>
            </w:pPr>
            <w:r>
              <w:t xml:space="preserve">Target Release</w:t>
            </w:r>
          </w:p>
        </w:tc>
        <w:tc>
          <w:tcPr/>
          <w:p>
            <w:pPr>
              <w:pStyle w:val="Compact"/>
              <w:jc w:val="left"/>
            </w:pPr>
            <w:r>
              <w:t xml:space="preserve">Trigger</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G-01</w:t>
            </w:r>
          </w:p>
        </w:tc>
        <w:tc>
          <w:tcPr/>
          <w:p>
            <w:pPr>
              <w:pStyle w:val="Compact"/>
              <w:jc w:val="left"/>
            </w:pPr>
            <w:r>
              <w:rPr>
                <w:rStyle w:val="VerbatimChar"/>
              </w:rPr>
              <w:t xml:space="preserve">public</w:t>
            </w:r>
            <w:r>
              <w:t xml:space="preserve"> </w:t>
            </w:r>
            <w:r>
              <w:t xml:space="preserve">schema, no isolation</w:t>
            </w:r>
          </w:p>
        </w:tc>
        <w:tc>
          <w:tcPr/>
          <w:p>
            <w:pPr>
              <w:pStyle w:val="Compact"/>
              <w:jc w:val="left"/>
            </w:pPr>
            <w:r>
              <w:rPr>
                <w:rStyle w:val="VerbatimChar"/>
              </w:rPr>
              <w:t xml:space="preserve">academic_domain</w:t>
            </w:r>
            <w:r>
              <w:t xml:space="preserve"> </w:t>
            </w:r>
            <w:r>
              <w:t xml:space="preserve">schema</w:t>
            </w:r>
          </w:p>
        </w:tc>
        <w:tc>
          <w:tcPr/>
          <w:p>
            <w:pPr>
              <w:pStyle w:val="Compact"/>
              <w:jc w:val="left"/>
            </w:pPr>
            <w:r>
              <w:t xml:space="preserve">Defer</w:t>
            </w:r>
          </w:p>
        </w:tc>
        <w:tc>
          <w:tcPr/>
          <w:p>
            <w:pPr>
              <w:pStyle w:val="Compact"/>
              <w:jc w:val="left"/>
            </w:pPr>
            <w:r>
              <w:t xml:space="preserve">Defer</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Unassigned</w:t>
            </w:r>
          </w:p>
        </w:tc>
        <w:tc>
          <w:tcPr/>
          <w:p>
            <w:pPr>
              <w:pStyle w:val="Compact"/>
              <w:jc w:val="left"/>
            </w:pPr>
            <w:r>
              <w:t xml:space="preserve">Trigger-based</w:t>
            </w:r>
          </w:p>
        </w:tc>
        <w:tc>
          <w:tcPr/>
          <w:p>
            <w:pPr>
              <w:pStyle w:val="Compact"/>
              <w:jc w:val="left"/>
            </w:pPr>
            <w:r>
              <w:t xml:space="preserve">See ADR-001</w:t>
            </w:r>
          </w:p>
        </w:tc>
        <w:tc>
          <w:tcPr/>
          <w:p>
            <w:pPr>
              <w:pStyle w:val="Compact"/>
              <w:jc w:val="left"/>
            </w:pPr>
            <w:r>
              <w:t xml:space="preserve">Phase A.1 §3</w:t>
            </w:r>
          </w:p>
        </w:tc>
        <w:tc>
          <w:tcPr/>
          <w:p>
            <w:pPr>
              <w:pStyle w:val="Compact"/>
              <w:jc w:val="left"/>
            </w:pPr>
            <w:r>
              <w:t xml:space="preserve">Deferred</w:t>
            </w:r>
          </w:p>
        </w:tc>
      </w:tr>
      <w:tr>
        <w:tc>
          <w:tcPr/>
          <w:p>
            <w:pPr>
              <w:pStyle w:val="Compact"/>
              <w:jc w:val="left"/>
            </w:pPr>
            <w:r>
              <w:t xml:space="preserve">G-02</w:t>
            </w:r>
          </w:p>
        </w:tc>
        <w:tc>
          <w:tcPr/>
          <w:p>
            <w:pPr>
              <w:pStyle w:val="Compact"/>
              <w:jc w:val="left"/>
            </w:pPr>
            <w:r>
              <w:t xml:space="preserve">Legacy-style table names</w:t>
            </w:r>
          </w:p>
        </w:tc>
        <w:tc>
          <w:tcPr/>
          <w:p>
            <w:pPr>
              <w:pStyle w:val="Compact"/>
              <w:jc w:val="left"/>
            </w:pPr>
            <w:r>
              <w:t xml:space="preserve">26 canonical names</w:t>
            </w:r>
          </w:p>
        </w:tc>
        <w:tc>
          <w:tcPr/>
          <w:p>
            <w:pPr>
              <w:pStyle w:val="Compact"/>
              <w:jc w:val="left"/>
            </w:pPr>
            <w:r>
              <w:t xml:space="preserve">Supersede</w:t>
            </w:r>
          </w:p>
        </w:tc>
        <w:tc>
          <w:tcPr/>
          <w:p>
            <w:pPr>
              <w:pStyle w:val="Compact"/>
              <w:jc w:val="left"/>
            </w:pPr>
            <w:r>
              <w:t xml:space="preserve">Supersede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 (docs only)</w:t>
            </w:r>
          </w:p>
        </w:tc>
        <w:tc>
          <w:tcPr/>
          <w:p>
            <w:pPr>
              <w:pStyle w:val="Compact"/>
              <w:jc w:val="left"/>
            </w:pPr>
            <w:r>
              <w:t xml:space="preserve">Low</w:t>
            </w:r>
          </w:p>
        </w:tc>
        <w:tc>
          <w:tcPr/>
          <w:p>
            <w:pPr>
              <w:pStyle w:val="Compact"/>
              <w:jc w:val="left"/>
            </w:pPr>
            <w:r>
              <w:t xml:space="preserve">Unassigned</w:t>
            </w:r>
          </w:p>
        </w:tc>
        <w:tc>
          <w:tcPr/>
          <w:p>
            <w:pPr>
              <w:pStyle w:val="Compact"/>
              <w:jc w:val="left"/>
            </w:pPr>
            <w:r>
              <w:t xml:space="preserve">Next cycle</w:t>
            </w:r>
          </w:p>
        </w:tc>
        <w:tc>
          <w:tcPr/>
          <w:p>
            <w:pPr>
              <w:pStyle w:val="Compact"/>
              <w:jc w:val="left"/>
            </w:pPr>
            <w:r>
              <w:t xml:space="preserve">Immediate</w:t>
            </w:r>
          </w:p>
        </w:tc>
        <w:tc>
          <w:tcPr/>
          <w:p>
            <w:pPr>
              <w:pStyle w:val="Compact"/>
              <w:jc w:val="left"/>
            </w:pPr>
            <w:r>
              <w:t xml:space="preserve">Phase A.1 §4</w:t>
            </w:r>
          </w:p>
        </w:tc>
        <w:tc>
          <w:tcPr/>
          <w:p>
            <w:pPr>
              <w:pStyle w:val="Compact"/>
              <w:jc w:val="left"/>
            </w:pPr>
            <w:r>
              <w:t xml:space="preserve">Accepted (docs pending)</w:t>
            </w:r>
          </w:p>
        </w:tc>
      </w:tr>
      <w:tr>
        <w:tc>
          <w:tcPr/>
          <w:p>
            <w:pPr>
              <w:pStyle w:val="Compact"/>
              <w:jc w:val="left"/>
            </w:pPr>
            <w:r>
              <w:t xml:space="preserve">G-03</w:t>
            </w:r>
          </w:p>
        </w:tc>
        <w:tc>
          <w:tcPr/>
          <w:p>
            <w:pPr>
              <w:pStyle w:val="Compact"/>
              <w:jc w:val="left"/>
            </w:pPr>
            <w:r>
              <w:t xml:space="preserve">Direct FK, no taxonomy_version</w:t>
            </w:r>
          </w:p>
        </w:tc>
        <w:tc>
          <w:tcPr/>
          <w:p>
            <w:pPr>
              <w:pStyle w:val="Compact"/>
              <w:jc w:val="left"/>
            </w:pPr>
            <w:r>
              <w:rPr>
                <w:rStyle w:val="VerbatimChar"/>
              </w:rPr>
              <w:t xml:space="preserve">_code</w:t>
            </w:r>
            <w:r>
              <w:t xml:space="preserve">+version pattern</w:t>
            </w:r>
          </w:p>
        </w:tc>
        <w:tc>
          <w:tcPr/>
          <w:p>
            <w:pPr>
              <w:pStyle w:val="Compact"/>
              <w:jc w:val="left"/>
            </w:pPr>
            <w:r>
              <w:t xml:space="preserve">Accept, conditional</w:t>
            </w:r>
          </w:p>
        </w:tc>
        <w:tc>
          <w:tcPr/>
          <w:p>
            <w:pPr>
              <w:pStyle w:val="Compact"/>
              <w:jc w:val="left"/>
            </w:pPr>
            <w:r>
              <w:t xml:space="preserve">Accept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 if triggered</w:t>
            </w:r>
          </w:p>
        </w:tc>
        <w:tc>
          <w:tcPr/>
          <w:p>
            <w:pPr>
              <w:pStyle w:val="Compact"/>
              <w:jc w:val="left"/>
            </w:pPr>
            <w:r>
              <w:t xml:space="preserve">Medium</w:t>
            </w:r>
          </w:p>
        </w:tc>
        <w:tc>
          <w:tcPr/>
          <w:p>
            <w:pPr>
              <w:pStyle w:val="Compact"/>
              <w:jc w:val="left"/>
            </w:pPr>
            <w:r>
              <w:t xml:space="preserve">Unassigned</w:t>
            </w:r>
          </w:p>
        </w:tc>
        <w:tc>
          <w:tcPr/>
          <w:p>
            <w:pPr>
              <w:pStyle w:val="Compact"/>
              <w:jc w:val="left"/>
            </w:pPr>
            <w:r>
              <w:t xml:space="preserve">Trigger-based</w:t>
            </w:r>
          </w:p>
        </w:tc>
        <w:tc>
          <w:tcPr/>
          <w:p>
            <w:pPr>
              <w:pStyle w:val="Compact"/>
              <w:jc w:val="left"/>
            </w:pPr>
            <w:r>
              <w:t xml:space="preserve">See ADR-003</w:t>
            </w:r>
          </w:p>
        </w:tc>
        <w:tc>
          <w:tcPr/>
          <w:p>
            <w:pPr>
              <w:pStyle w:val="Compact"/>
              <w:jc w:val="left"/>
            </w:pPr>
            <w:r>
              <w:t xml:space="preserve">Phase A.1 §3–4</w:t>
            </w:r>
          </w:p>
        </w:tc>
        <w:tc>
          <w:tcPr/>
          <w:p>
            <w:pPr>
              <w:pStyle w:val="Compact"/>
              <w:jc w:val="left"/>
            </w:pPr>
            <w:r>
              <w:t xml:space="preserve">Accepted, conditional</w:t>
            </w:r>
          </w:p>
        </w:tc>
      </w:tr>
      <w:tr>
        <w:tc>
          <w:tcPr/>
          <w:p>
            <w:pPr>
              <w:pStyle w:val="Compact"/>
              <w:jc w:val="left"/>
            </w:pPr>
            <w:r>
              <w:t xml:space="preserve">G-04</w:t>
            </w:r>
          </w:p>
        </w:tc>
        <w:tc>
          <w:tcPr/>
          <w:p>
            <w:pPr>
              <w:pStyle w:val="Compact"/>
              <w:jc w:val="left"/>
            </w:pPr>
            <w:r>
              <w:t xml:space="preserve">No partitioning</w:t>
            </w:r>
          </w:p>
        </w:tc>
        <w:tc>
          <w:tcPr/>
          <w:p>
            <w:pPr>
              <w:pStyle w:val="Compact"/>
              <w:jc w:val="left"/>
            </w:pPr>
            <w:r>
              <w:t xml:space="preserve">4 tables partitioned</w:t>
            </w:r>
          </w:p>
        </w:tc>
        <w:tc>
          <w:tcPr/>
          <w:p>
            <w:pPr>
              <w:pStyle w:val="Compact"/>
              <w:jc w:val="left"/>
            </w:pPr>
            <w:r>
              <w:t xml:space="preserve">Defer</w:t>
            </w:r>
          </w:p>
        </w:tc>
        <w:tc>
          <w:tcPr/>
          <w:p>
            <w:pPr>
              <w:pStyle w:val="Compact"/>
              <w:jc w:val="left"/>
            </w:pPr>
            <w:r>
              <w:t xml:space="preserve">Defer</w:t>
            </w:r>
          </w:p>
        </w:tc>
        <w:tc>
          <w:tcPr/>
          <w:p>
            <w:pPr>
              <w:pStyle w:val="Compact"/>
              <w:jc w:val="left"/>
            </w:pPr>
            <w:r>
              <w:t xml:space="preserve">Medium</w:t>
            </w:r>
          </w:p>
        </w:tc>
        <w:tc>
          <w:tcPr/>
          <w:p>
            <w:pPr>
              <w:pStyle w:val="Compact"/>
              <w:jc w:val="left"/>
            </w:pPr>
            <w:r>
              <w:t xml:space="preserve">Low now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 growing</w:t>
            </w:r>
          </w:p>
        </w:tc>
        <w:tc>
          <w:tcPr/>
          <w:p>
            <w:pPr>
              <w:pStyle w:val="Compact"/>
              <w:jc w:val="left"/>
            </w:pPr>
            <w:r>
              <w:t xml:space="preserve">Unassigned</w:t>
            </w:r>
          </w:p>
        </w:tc>
        <w:tc>
          <w:tcPr/>
          <w:p>
            <w:pPr>
              <w:pStyle w:val="Compact"/>
              <w:jc w:val="left"/>
            </w:pPr>
            <w:r>
              <w:t xml:space="preserve">Trigger-based</w:t>
            </w:r>
          </w:p>
        </w:tc>
        <w:tc>
          <w:tcPr/>
          <w:p>
            <w:pPr>
              <w:pStyle w:val="Compact"/>
              <w:jc w:val="left"/>
            </w:pPr>
            <w:r>
              <w:t xml:space="preserve">See ADR-004</w:t>
            </w:r>
          </w:p>
        </w:tc>
        <w:tc>
          <w:tcPr/>
          <w:p>
            <w:pPr>
              <w:pStyle w:val="Compact"/>
              <w:jc w:val="left"/>
            </w:pPr>
            <w:r>
              <w:t xml:space="preserve">Phase A.1 §7</w:t>
            </w:r>
          </w:p>
        </w:tc>
        <w:tc>
          <w:tcPr/>
          <w:p>
            <w:pPr>
              <w:pStyle w:val="Compact"/>
              <w:jc w:val="left"/>
            </w:pPr>
            <w:r>
              <w:t xml:space="preserve">Deferred</w:t>
            </w:r>
          </w:p>
        </w:tc>
      </w:tr>
      <w:tr>
        <w:tc>
          <w:tcPr/>
          <w:p>
            <w:pPr>
              <w:pStyle w:val="Compact"/>
              <w:jc w:val="left"/>
            </w:pPr>
            <w:r>
              <w:t xml:space="preserve">G-05</w:t>
            </w:r>
          </w:p>
        </w:tc>
        <w:tc>
          <w:tcPr/>
          <w:p>
            <w:pPr>
              <w:pStyle w:val="Compact"/>
              <w:jc w:val="left"/>
            </w:pPr>
            <w:r>
              <w:t xml:space="preserve">2-table model</w:t>
            </w:r>
          </w:p>
        </w:tc>
        <w:tc>
          <w:tcPr/>
          <w:p>
            <w:pPr>
              <w:pStyle w:val="Compact"/>
              <w:jc w:val="left"/>
            </w:pPr>
            <w:r>
              <w:t xml:space="preserve">4-entity model</w:t>
            </w:r>
          </w:p>
        </w:tc>
        <w:tc>
          <w:tcPr/>
          <w:p>
            <w:pPr>
              <w:pStyle w:val="Compact"/>
              <w:jc w:val="left"/>
            </w:pPr>
            <w:r>
              <w:t xml:space="preserve">Defer</w:t>
            </w:r>
          </w:p>
        </w:tc>
        <w:tc>
          <w:tcPr/>
          <w:p>
            <w:pPr>
              <w:pStyle w:val="Compact"/>
              <w:jc w:val="left"/>
            </w:pPr>
            <w:r>
              <w:t xml:space="preserve">Defer</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Unassigned</w:t>
            </w:r>
          </w:p>
        </w:tc>
        <w:tc>
          <w:tcPr/>
          <w:p>
            <w:pPr>
              <w:pStyle w:val="Compact"/>
              <w:jc w:val="left"/>
            </w:pPr>
            <w:r>
              <w:t xml:space="preserve">Trigger-based</w:t>
            </w:r>
          </w:p>
        </w:tc>
        <w:tc>
          <w:tcPr/>
          <w:p>
            <w:pPr>
              <w:pStyle w:val="Compact"/>
              <w:jc w:val="left"/>
            </w:pPr>
            <w:r>
              <w:t xml:space="preserve">See ADR-005</w:t>
            </w:r>
          </w:p>
        </w:tc>
        <w:tc>
          <w:tcPr/>
          <w:p>
            <w:pPr>
              <w:pStyle w:val="Compact"/>
              <w:jc w:val="left"/>
            </w:pPr>
            <w:r>
              <w:t xml:space="preserve">Phase A.1 §4</w:t>
            </w:r>
          </w:p>
        </w:tc>
        <w:tc>
          <w:tcPr/>
          <w:p>
            <w:pPr>
              <w:pStyle w:val="Compact"/>
              <w:jc w:val="left"/>
            </w:pPr>
            <w:r>
              <w:t xml:space="preserve">Deferred</w:t>
            </w:r>
          </w:p>
        </w:tc>
      </w:tr>
      <w:tr>
        <w:tc>
          <w:tcPr/>
          <w:p>
            <w:pPr>
              <w:pStyle w:val="Compact"/>
              <w:jc w:val="left"/>
            </w:pPr>
            <w:r>
              <w:t xml:space="preserve">G-06</w:t>
            </w:r>
          </w:p>
        </w:tc>
        <w:tc>
          <w:tcPr/>
          <w:p>
            <w:pPr>
              <w:pStyle w:val="Compact"/>
              <w:jc w:val="left"/>
            </w:pPr>
            <w:r>
              <w:t xml:space="preserve">No supersession</w:t>
            </w:r>
          </w:p>
        </w:tc>
        <w:tc>
          <w:tcPr/>
          <w:p>
            <w:pPr>
              <w:pStyle w:val="Compact"/>
              <w:jc w:val="left"/>
            </w:pPr>
            <w:r>
              <w:t xml:space="preserve">Self-referencing supersession</w:t>
            </w:r>
          </w:p>
        </w:tc>
        <w:tc>
          <w:tcPr/>
          <w:p>
            <w:pPr>
              <w:pStyle w:val="Compact"/>
              <w:jc w:val="left"/>
            </w:pPr>
            <w:r>
              <w:t xml:space="preserve">Defer</w:t>
            </w:r>
          </w:p>
        </w:tc>
        <w:tc>
          <w:tcPr/>
          <w:p>
            <w:pPr>
              <w:pStyle w:val="Compact"/>
              <w:jc w:val="left"/>
            </w:pPr>
            <w:r>
              <w:t xml:space="preserve">Defer</w:t>
            </w:r>
          </w:p>
        </w:tc>
        <w:tc>
          <w:tcPr/>
          <w:p>
            <w:pPr>
              <w:pStyle w:val="Compact"/>
              <w:jc w:val="left"/>
            </w:pPr>
            <w:r>
              <w:t xml:space="preserve">Medium</w:t>
            </w:r>
          </w:p>
        </w:tc>
        <w:tc>
          <w:tcPr/>
          <w:p>
            <w:pPr>
              <w:pStyle w:val="Compact"/>
              <w:jc w:val="left"/>
            </w:pPr>
            <w:r>
              <w:t xml:space="preserve">Low now, high if triggered late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 (irreversibility risk)</w:t>
            </w:r>
          </w:p>
        </w:tc>
        <w:tc>
          <w:tcPr/>
          <w:p>
            <w:pPr>
              <w:pStyle w:val="Compact"/>
              <w:jc w:val="left"/>
            </w:pPr>
            <w:r>
              <w:t xml:space="preserve">Unassigned</w:t>
            </w:r>
          </w:p>
        </w:tc>
        <w:tc>
          <w:tcPr/>
          <w:p>
            <w:pPr>
              <w:pStyle w:val="Compact"/>
              <w:jc w:val="left"/>
            </w:pPr>
            <w:r>
              <w:t xml:space="preserve">Trigger-based</w:t>
            </w:r>
          </w:p>
        </w:tc>
        <w:tc>
          <w:tcPr/>
          <w:p>
            <w:pPr>
              <w:pStyle w:val="Compact"/>
              <w:jc w:val="left"/>
            </w:pPr>
            <w:r>
              <w:t xml:space="preserve">See ADR-006</w:t>
            </w:r>
          </w:p>
        </w:tc>
        <w:tc>
          <w:tcPr/>
          <w:p>
            <w:pPr>
              <w:pStyle w:val="Compact"/>
              <w:jc w:val="left"/>
            </w:pPr>
            <w:r>
              <w:t xml:space="preserve">Phase A.1 §5</w:t>
            </w:r>
          </w:p>
        </w:tc>
        <w:tc>
          <w:tcPr/>
          <w:p>
            <w:pPr>
              <w:pStyle w:val="Compact"/>
              <w:jc w:val="left"/>
            </w:pPr>
            <w:r>
              <w:t xml:space="preserve">Deferred</w:t>
            </w:r>
          </w:p>
        </w:tc>
      </w:tr>
      <w:tr>
        <w:tc>
          <w:tcPr/>
          <w:p>
            <w:pPr>
              <w:pStyle w:val="Compact"/>
              <w:jc w:val="left"/>
            </w:pPr>
            <w:r>
              <w:t xml:space="preserve">G-07</w:t>
            </w:r>
          </w:p>
        </w:tc>
        <w:tc>
          <w:tcPr/>
          <w:p>
            <w:pPr>
              <w:pStyle w:val="Compact"/>
              <w:jc w:val="left"/>
            </w:pPr>
            <w:r>
              <w:t xml:space="preserve">Unverified RLS coverage</w:t>
            </w:r>
          </w:p>
        </w:tc>
        <w:tc>
          <w:tcPr/>
          <w:p>
            <w:pPr>
              <w:pStyle w:val="Compact"/>
              <w:jc w:val="left"/>
            </w:pPr>
            <w:r>
              <w:t xml:space="preserve">Full RLS coverage</w:t>
            </w:r>
          </w:p>
        </w:tc>
        <w:tc>
          <w:tcPr/>
          <w:p>
            <w:pPr>
              <w:pStyle w:val="Compact"/>
              <w:jc w:val="left"/>
            </w:pPr>
            <w:r>
              <w:t xml:space="preserve">Realize (verify)</w:t>
            </w:r>
          </w:p>
        </w:tc>
        <w:tc>
          <w:tcPr/>
          <w:p>
            <w:pPr>
              <w:pStyle w:val="Compact"/>
              <w:jc w:val="left"/>
            </w:pPr>
            <w:r>
              <w:t xml:space="preserve">Realize</w:t>
            </w:r>
          </w:p>
        </w:tc>
        <w:tc>
          <w:tcPr/>
          <w:p>
            <w:pPr>
              <w:pStyle w:val="Compact"/>
              <w:jc w:val="left"/>
            </w:pPr>
            <w:r>
              <w:rPr>
                <w:bCs/>
                <w:b/>
              </w:rPr>
              <w:t xml:space="preserve">High</w:t>
            </w:r>
          </w:p>
        </w:tc>
        <w:tc>
          <w:tcPr/>
          <w:p>
            <w:pPr>
              <w:pStyle w:val="Compact"/>
              <w:jc w:val="left"/>
            </w:pPr>
            <w:r>
              <w:t xml:space="preserve">High if gap confirmed</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Unknown until verified</w:t>
            </w:r>
          </w:p>
        </w:tc>
        <w:tc>
          <w:tcPr/>
          <w:p>
            <w:pPr>
              <w:pStyle w:val="Compact"/>
              <w:jc w:val="left"/>
            </w:pPr>
            <w:r>
              <w:t xml:space="preserve">Unassigned</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Phase A.1 §8</w:t>
            </w:r>
          </w:p>
        </w:tc>
        <w:tc>
          <w:tcPr/>
          <w:p>
            <w:pPr>
              <w:pStyle w:val="Compact"/>
              <w:jc w:val="left"/>
            </w:pPr>
            <w:r>
              <w:t xml:space="preserve">Accepted, in progress</w:t>
            </w:r>
          </w:p>
        </w:tc>
      </w:tr>
    </w:tbl>
    <w:p>
      <w:r>
        <w:pict>
          <v:rect style="width:0;height:1.5pt" o:hralign="center" o:hrstd="t" o:hr="t"/>
        </w:pict>
      </w:r>
    </w:p>
    <w:bookmarkEnd w:id="34"/>
    <w:bookmarkStart w:id="35" w:name="enterprise-conformance-register"/>
    <w:p>
      <w:pPr>
        <w:pStyle w:val="Heading2"/>
      </w:pPr>
      <w:r>
        <w:t xml:space="preserve">6. Enterprise Conformance Register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Req ID</w:t>
            </w:r>
          </w:p>
        </w:tc>
        <w:tc>
          <w:tcPr/>
          <w:p>
            <w:pPr>
              <w:pStyle w:val="Compact"/>
              <w:jc w:val="left"/>
            </w:pPr>
            <w:r>
              <w:t xml:space="preserve">Description</w:t>
            </w:r>
          </w:p>
        </w:tc>
        <w:tc>
          <w:tcPr/>
          <w:p>
            <w:pPr>
              <w:pStyle w:val="Compact"/>
              <w:jc w:val="left"/>
            </w:pPr>
            <w:r>
              <w:t xml:space="preserve">Conformance Status</w:t>
            </w:r>
          </w:p>
        </w:tc>
        <w:tc>
          <w:tcPr/>
          <w:p>
            <w:pPr>
              <w:pStyle w:val="Compact"/>
              <w:jc w:val="left"/>
            </w:pPr>
            <w:r>
              <w:t xml:space="preserve">Evidence</w:t>
            </w:r>
          </w:p>
        </w:tc>
        <w:tc>
          <w:tcPr/>
          <w:p>
            <w:pPr>
              <w:pStyle w:val="Compact"/>
              <w:jc w:val="left"/>
            </w:pPr>
            <w:r>
              <w:t xml:space="preserve">Variance</w:t>
            </w:r>
          </w:p>
        </w:tc>
        <w:tc>
          <w:tcPr/>
          <w:p>
            <w:pPr>
              <w:pStyle w:val="Compact"/>
              <w:jc w:val="left"/>
            </w:pPr>
            <w:r>
              <w:t xml:space="preserve">Risk</w:t>
            </w:r>
          </w:p>
        </w:tc>
        <w:tc>
          <w:tcPr/>
          <w:p>
            <w:pPr>
              <w:pStyle w:val="Compact"/>
              <w:jc w:val="left"/>
            </w:pPr>
            <w:r>
              <w:t xml:space="preserve">Governance Decision</w:t>
            </w:r>
          </w:p>
        </w:tc>
        <w:tc>
          <w:tcPr/>
          <w:p>
            <w:pPr>
              <w:pStyle w:val="Compact"/>
              <w:jc w:val="left"/>
            </w:pPr>
            <w:r>
              <w:t xml:space="preserve">Review Frequency</w:t>
            </w:r>
          </w:p>
        </w:tc>
      </w:tr>
      <w:tr>
        <w:tc>
          <w:tcPr/>
          <w:p>
            <w:pPr>
              <w:pStyle w:val="Compact"/>
              <w:jc w:val="left"/>
            </w:pPr>
            <w:r>
              <w:t xml:space="preserve">CR-01</w:t>
            </w:r>
          </w:p>
        </w:tc>
        <w:tc>
          <w:tcPr/>
          <w:p>
            <w:pPr>
              <w:pStyle w:val="Compact"/>
              <w:jc w:val="left"/>
            </w:pPr>
            <w:r>
              <w:t xml:space="preserve">Schema isolation</w:t>
            </w:r>
          </w:p>
        </w:tc>
        <w:tc>
          <w:tcPr/>
          <w:p>
            <w:pPr>
              <w:pStyle w:val="Compact"/>
              <w:jc w:val="left"/>
            </w:pPr>
            <w:r>
              <w:t xml:space="preserve">Non-conformant</w:t>
            </w:r>
          </w:p>
        </w:tc>
        <w:tc>
          <w:tcPr/>
          <w:p>
            <w:pPr>
              <w:pStyle w:val="Compact"/>
              <w:jc w:val="left"/>
            </w:pPr>
            <w:r>
              <w:t xml:space="preserve">Phase A.1 §3</w:t>
            </w:r>
          </w:p>
        </w:tc>
        <w:tc>
          <w:tcPr/>
          <w:p>
            <w:pPr>
              <w:pStyle w:val="Compact"/>
              <w:jc w:val="left"/>
            </w:pPr>
            <w:r>
              <w:t xml:space="preserve">Full</w:t>
            </w:r>
          </w:p>
        </w:tc>
        <w:tc>
          <w:tcPr/>
          <w:p>
            <w:pPr>
              <w:pStyle w:val="Compact"/>
              <w:jc w:val="left"/>
            </w:pPr>
            <w:r>
              <w:t xml:space="preserve">Low (today)</w:t>
            </w:r>
          </w:p>
        </w:tc>
        <w:tc>
          <w:tcPr/>
          <w:p>
            <w:pPr>
              <w:pStyle w:val="Compact"/>
              <w:jc w:val="left"/>
            </w:pPr>
            <w:r>
              <w:t xml:space="preserve">Deferred (ADR-001)</w:t>
            </w:r>
          </w:p>
        </w:tc>
        <w:tc>
          <w:tcPr/>
          <w:p>
            <w:pPr>
              <w:pStyle w:val="Compact"/>
              <w:jc w:val="left"/>
            </w:pPr>
            <w:r>
              <w:t xml:space="preserve">Quarterly trigger check</w:t>
            </w:r>
          </w:p>
        </w:tc>
      </w:tr>
      <w:tr>
        <w:tc>
          <w:tcPr/>
          <w:p>
            <w:pPr>
              <w:pStyle w:val="Compact"/>
              <w:jc w:val="left"/>
            </w:pPr>
            <w:r>
              <w:t xml:space="preserve">CR-02</w:t>
            </w:r>
          </w:p>
        </w:tc>
        <w:tc>
          <w:tcPr/>
          <w:p>
            <w:pPr>
              <w:pStyle w:val="Compact"/>
              <w:jc w:val="left"/>
            </w:pPr>
            <w:r>
              <w:t xml:space="preserve">Canonical naming</w:t>
            </w:r>
          </w:p>
        </w:tc>
        <w:tc>
          <w:tcPr/>
          <w:p>
            <w:pPr>
              <w:pStyle w:val="Compact"/>
              <w:jc w:val="left"/>
            </w:pPr>
            <w:r>
              <w:t xml:space="preserve">Non-conformant</w:t>
            </w:r>
          </w:p>
        </w:tc>
        <w:tc>
          <w:tcPr/>
          <w:p>
            <w:pPr>
              <w:pStyle w:val="Compact"/>
              <w:jc w:val="left"/>
            </w:pPr>
            <w:r>
              <w:t xml:space="preserve">Phase A.1 §4</w:t>
            </w:r>
          </w:p>
        </w:tc>
        <w:tc>
          <w:tcPr/>
          <w:p>
            <w:pPr>
              <w:pStyle w:val="Compact"/>
              <w:jc w:val="left"/>
            </w:pPr>
            <w:r>
              <w:t xml:space="preserve">Full</w:t>
            </w:r>
          </w:p>
        </w:tc>
        <w:tc>
          <w:tcPr/>
          <w:p>
            <w:pPr>
              <w:pStyle w:val="Compact"/>
              <w:jc w:val="left"/>
            </w:pPr>
            <w:r>
              <w:t xml:space="preserve">Documentation-only</w:t>
            </w:r>
          </w:p>
        </w:tc>
        <w:tc>
          <w:tcPr/>
          <w:p>
            <w:pPr>
              <w:pStyle w:val="Compact"/>
              <w:jc w:val="left"/>
            </w:pPr>
            <w:r>
              <w:t xml:space="preserve">Superseded (ADR-002)</w:t>
            </w:r>
          </w:p>
        </w:tc>
        <w:tc>
          <w:tcPr/>
          <w:p>
            <w:pPr>
              <w:pStyle w:val="Compact"/>
              <w:jc w:val="left"/>
            </w:pPr>
            <w:r>
              <w:t xml:space="preserve">One-time, upon doc revision</w:t>
            </w:r>
          </w:p>
        </w:tc>
      </w:tr>
      <w:tr>
        <w:tc>
          <w:tcPr/>
          <w:p>
            <w:pPr>
              <w:pStyle w:val="Compact"/>
              <w:jc w:val="left"/>
            </w:pPr>
            <w:r>
              <w:t xml:space="preserve">CR-03</w:t>
            </w:r>
          </w:p>
        </w:tc>
        <w:tc>
          <w:tcPr/>
          <w:p>
            <w:pPr>
              <w:pStyle w:val="Compact"/>
              <w:jc w:val="left"/>
            </w:pPr>
            <w:r>
              <w:t xml:space="preserve">Taxonomy reference pattern</w:t>
            </w:r>
          </w:p>
        </w:tc>
        <w:tc>
          <w:tcPr/>
          <w:p>
            <w:pPr>
              <w:pStyle w:val="Compact"/>
              <w:jc w:val="left"/>
            </w:pPr>
            <w:r>
              <w:t xml:space="preserve">Non-conformant</w:t>
            </w:r>
          </w:p>
        </w:tc>
        <w:tc>
          <w:tcPr/>
          <w:p>
            <w:pPr>
              <w:pStyle w:val="Compact"/>
              <w:jc w:val="left"/>
            </w:pPr>
            <w:r>
              <w:t xml:space="preserve">Phase A.1 §3–4</w:t>
            </w:r>
          </w:p>
        </w:tc>
        <w:tc>
          <w:tcPr/>
          <w:p>
            <w:pPr>
              <w:pStyle w:val="Compact"/>
              <w:jc w:val="left"/>
            </w:pPr>
            <w:r>
              <w:t xml:space="preserve">Full, conditionally acceptable</w:t>
            </w:r>
          </w:p>
        </w:tc>
        <w:tc>
          <w:tcPr/>
          <w:p>
            <w:pPr>
              <w:pStyle w:val="Compact"/>
              <w:jc w:val="left"/>
            </w:pPr>
            <w:r>
              <w:t xml:space="preserve">Medium latent</w:t>
            </w:r>
          </w:p>
        </w:tc>
        <w:tc>
          <w:tcPr/>
          <w:p>
            <w:pPr>
              <w:pStyle w:val="Compact"/>
              <w:jc w:val="left"/>
            </w:pPr>
            <w:r>
              <w:t xml:space="preserve">Accepted, conditional (ADR-003)</w:t>
            </w:r>
          </w:p>
        </w:tc>
        <w:tc>
          <w:tcPr/>
          <w:p>
            <w:pPr>
              <w:pStyle w:val="Compact"/>
              <w:jc w:val="left"/>
            </w:pPr>
            <w:r>
              <w:t xml:space="preserve">Per-release</w:t>
            </w:r>
          </w:p>
        </w:tc>
      </w:tr>
      <w:tr>
        <w:tc>
          <w:tcPr/>
          <w:p>
            <w:pPr>
              <w:pStyle w:val="Compact"/>
              <w:jc w:val="left"/>
            </w:pPr>
            <w:r>
              <w:t xml:space="preserve">CR-04</w:t>
            </w:r>
          </w:p>
        </w:tc>
        <w:tc>
          <w:tcPr/>
          <w:p>
            <w:pPr>
              <w:pStyle w:val="Compact"/>
              <w:jc w:val="left"/>
            </w:pPr>
            <w:r>
              <w:t xml:space="preserve">Partitioning</w:t>
            </w:r>
          </w:p>
        </w:tc>
        <w:tc>
          <w:tcPr/>
          <w:p>
            <w:pPr>
              <w:pStyle w:val="Compact"/>
              <w:jc w:val="left"/>
            </w:pPr>
            <w:r>
              <w:t xml:space="preserve">Non-conformant</w:t>
            </w:r>
          </w:p>
        </w:tc>
        <w:tc>
          <w:tcPr/>
          <w:p>
            <w:pPr>
              <w:pStyle w:val="Compact"/>
              <w:jc w:val="left"/>
            </w:pPr>
            <w:r>
              <w:t xml:space="preserve">Phase A.1 §7</w:t>
            </w:r>
          </w:p>
        </w:tc>
        <w:tc>
          <w:tcPr/>
          <w:p>
            <w:pPr>
              <w:pStyle w:val="Compact"/>
              <w:jc w:val="left"/>
            </w:pPr>
            <w:r>
              <w:t xml:space="preserve">Full</w:t>
            </w:r>
          </w:p>
        </w:tc>
        <w:tc>
          <w:tcPr/>
          <w:p>
            <w:pPr>
              <w:pStyle w:val="Compact"/>
              <w:jc w:val="left"/>
            </w:pPr>
            <w:r>
              <w:t xml:space="preserve">Medium, growing</w:t>
            </w:r>
          </w:p>
        </w:tc>
        <w:tc>
          <w:tcPr/>
          <w:p>
            <w:pPr>
              <w:pStyle w:val="Compact"/>
              <w:jc w:val="left"/>
            </w:pPr>
            <w:r>
              <w:t xml:space="preserve">Deferred (ADR-004)</w:t>
            </w:r>
          </w:p>
        </w:tc>
        <w:tc>
          <w:tcPr/>
          <w:p>
            <w:pPr>
              <w:pStyle w:val="Compact"/>
              <w:jc w:val="left"/>
            </w:pPr>
            <w:r>
              <w:t xml:space="preserve">Quarterly</w:t>
            </w:r>
          </w:p>
        </w:tc>
      </w:tr>
      <w:tr>
        <w:tc>
          <w:tcPr/>
          <w:p>
            <w:pPr>
              <w:pStyle w:val="Compact"/>
              <w:jc w:val="left"/>
            </w:pPr>
            <w:r>
              <w:t xml:space="preserve">CR-05</w:t>
            </w:r>
          </w:p>
        </w:tc>
        <w:tc>
          <w:tcPr/>
          <w:p>
            <w:pPr>
              <w:pStyle w:val="Compact"/>
              <w:jc w:val="left"/>
            </w:pPr>
            <w:r>
              <w:t xml:space="preserve">UUID PKs</w:t>
            </w:r>
          </w:p>
        </w:tc>
        <w:tc>
          <w:tcPr/>
          <w:p>
            <w:pPr>
              <w:pStyle w:val="Compact"/>
              <w:jc w:val="left"/>
            </w:pPr>
            <w:r>
              <w:rPr>
                <w:bCs/>
                <w:b/>
              </w:rPr>
              <w:t xml:space="preserve">Conformant</w:t>
            </w:r>
            <w:r>
              <w:t xml:space="preserve"> </w:t>
            </w:r>
            <w:r>
              <w:t xml:space="preserve">(exceeds via independent design)</w:t>
            </w:r>
          </w:p>
        </w:tc>
        <w:tc>
          <w:tcPr/>
          <w:p>
            <w:pPr>
              <w:pStyle w:val="Compact"/>
              <w:jc w:val="left"/>
            </w:pPr>
            <w:r>
              <w:t xml:space="preserve">Phase A.1 §2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Mandatory, retained</w:t>
            </w:r>
          </w:p>
        </w:tc>
        <w:tc>
          <w:tcPr/>
          <w:p>
            <w:pPr>
              <w:pStyle w:val="Compact"/>
              <w:jc w:val="left"/>
            </w:pPr>
            <w:r>
              <w:t xml:space="preserve">N/A</w:t>
            </w:r>
          </w:p>
        </w:tc>
      </w:tr>
      <w:tr>
        <w:tc>
          <w:tcPr/>
          <w:p>
            <w:pPr>
              <w:pStyle w:val="Compact"/>
              <w:jc w:val="left"/>
            </w:pPr>
            <w:r>
              <w:t xml:space="preserve">CR-06</w:t>
            </w:r>
          </w:p>
        </w:tc>
        <w:tc>
          <w:tcPr/>
          <w:p>
            <w:pPr>
              <w:pStyle w:val="Compact"/>
              <w:jc w:val="left"/>
            </w:pPr>
            <w:r>
              <w:rPr>
                <w:rStyle w:val="VerbatimChar"/>
              </w:rPr>
              <w:t xml:space="preserve">timestamptz</w:t>
            </w:r>
          </w:p>
        </w:tc>
        <w:tc>
          <w:tcPr/>
          <w:p>
            <w:pPr>
              <w:pStyle w:val="Compact"/>
              <w:jc w:val="left"/>
            </w:pPr>
            <w:r>
              <w:rPr>
                <w:bCs/>
                <w:b/>
              </w:rPr>
              <w:t xml:space="preserve">Conformant</w:t>
            </w:r>
          </w:p>
        </w:tc>
        <w:tc>
          <w:tcPr/>
          <w:p>
            <w:pPr>
              <w:pStyle w:val="Compact"/>
              <w:jc w:val="left"/>
            </w:pPr>
            <w:r>
              <w:t xml:space="preserve">Phase A.1 §2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Mandatory, retained</w:t>
            </w:r>
          </w:p>
        </w:tc>
        <w:tc>
          <w:tcPr/>
          <w:p>
            <w:pPr>
              <w:pStyle w:val="Compact"/>
              <w:jc w:val="left"/>
            </w:pPr>
            <w:r>
              <w:t xml:space="preserve">N/A</w:t>
            </w:r>
          </w:p>
        </w:tc>
      </w:tr>
      <w:tr>
        <w:tc>
          <w:tcPr/>
          <w:p>
            <w:pPr>
              <w:pStyle w:val="Compact"/>
              <w:jc w:val="left"/>
            </w:pPr>
            <w:r>
              <w:t xml:space="preserve">CR-07</w:t>
            </w:r>
          </w:p>
        </w:tc>
        <w:tc>
          <w:tcPr/>
          <w:p>
            <w:pPr>
              <w:pStyle w:val="Compact"/>
              <w:jc w:val="left"/>
            </w:pPr>
            <w:r>
              <w:t xml:space="preserve">RLS ownership pattern</w:t>
            </w:r>
          </w:p>
        </w:tc>
        <w:tc>
          <w:tcPr/>
          <w:p>
            <w:pPr>
              <w:pStyle w:val="Compact"/>
              <w:jc w:val="left"/>
            </w:pPr>
            <w:r>
              <w:t xml:space="preserve">Partially conformant, partially unverified</w:t>
            </w:r>
          </w:p>
        </w:tc>
        <w:tc>
          <w:tcPr/>
          <w:p>
            <w:pPr>
              <w:pStyle w:val="Compact"/>
              <w:jc w:val="left"/>
            </w:pPr>
            <w:r>
              <w:t xml:space="preserve">Phase A.1 §8</w:t>
            </w:r>
          </w:p>
        </w:tc>
        <w:tc>
          <w:tcPr/>
          <w:p>
            <w:pPr>
              <w:pStyle w:val="Compact"/>
              <w:jc w:val="left"/>
            </w:pPr>
            <w:r>
              <w:t xml:space="preserve">Partial</w:t>
            </w:r>
          </w:p>
        </w:tc>
        <w:tc>
          <w:tcPr/>
          <w:p>
            <w:pPr>
              <w:pStyle w:val="Compact"/>
              <w:jc w:val="left"/>
            </w:pPr>
            <w:r>
              <w:t xml:space="preserve">High until verified</w:t>
            </w:r>
          </w:p>
        </w:tc>
        <w:tc>
          <w:tcPr/>
          <w:p>
            <w:pPr>
              <w:pStyle w:val="Compact"/>
              <w:jc w:val="left"/>
            </w:pPr>
            <w:r>
              <w:t xml:space="preserve">Realize/verify (ADR-007)</w:t>
            </w:r>
          </w:p>
        </w:tc>
        <w:tc>
          <w:tcPr/>
          <w:p>
            <w:pPr>
              <w:pStyle w:val="Compact"/>
              <w:jc w:val="left"/>
            </w:pPr>
            <w:r>
              <w:t xml:space="preserve">Immediate, then per-release</w:t>
            </w:r>
          </w:p>
        </w:tc>
      </w:tr>
    </w:tbl>
    <w:p>
      <w:r>
        <w:pict>
          <v:rect style="width:0;height:1.5pt" o:hralign="center" o:hrstd="t" o:hr="t"/>
        </w:pict>
      </w:r>
    </w:p>
    <w:bookmarkEnd w:id="35"/>
    <w:bookmarkStart w:id="36" w:name="enterprise-variance-register"/>
    <w:p>
      <w:pPr>
        <w:pStyle w:val="Heading2"/>
      </w:pPr>
      <w:r>
        <w:t xml:space="preserve">7. Enterprise Variance Register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Variance ID</w:t>
            </w:r>
          </w:p>
        </w:tc>
        <w:tc>
          <w:tcPr/>
          <w:p>
            <w:pPr>
              <w:pStyle w:val="Compact"/>
              <w:jc w:val="left"/>
            </w:pPr>
            <w:r>
              <w:t xml:space="preserve">Description</w:t>
            </w:r>
          </w:p>
        </w:tc>
        <w:tc>
          <w:tcPr/>
          <w:p>
            <w:pPr>
              <w:pStyle w:val="Compact"/>
              <w:jc w:val="left"/>
            </w:pPr>
            <w:r>
              <w:t xml:space="preserve">Reason</w:t>
            </w:r>
          </w:p>
        </w:tc>
        <w:tc>
          <w:tcPr/>
          <w:p>
            <w:pPr>
              <w:pStyle w:val="Compact"/>
              <w:jc w:val="left"/>
            </w:pPr>
            <w:r>
              <w:t xml:space="preserve">Business Justification</w:t>
            </w:r>
          </w:p>
        </w:tc>
        <w:tc>
          <w:tcPr/>
          <w:p>
            <w:pPr>
              <w:pStyle w:val="Compact"/>
              <w:jc w:val="left"/>
            </w:pPr>
            <w:r>
              <w:t xml:space="preserve">Technical Justification</w:t>
            </w:r>
          </w:p>
        </w:tc>
        <w:tc>
          <w:tcPr/>
          <w:p>
            <w:pPr>
              <w:pStyle w:val="Compact"/>
              <w:jc w:val="left"/>
            </w:pPr>
            <w:r>
              <w:t xml:space="preserve">Risk Assessment</w:t>
            </w:r>
          </w:p>
        </w:tc>
        <w:tc>
          <w:tcPr/>
          <w:p>
            <w:pPr>
              <w:pStyle w:val="Compact"/>
              <w:jc w:val="left"/>
            </w:pPr>
            <w:r>
              <w:t xml:space="preserve">Approval Status</w:t>
            </w:r>
          </w:p>
        </w:tc>
        <w:tc>
          <w:tcPr/>
          <w:p>
            <w:pPr>
              <w:pStyle w:val="Compact"/>
              <w:jc w:val="left"/>
            </w:pPr>
            <w:r>
              <w:t xml:space="preserve">Review Date</w:t>
            </w:r>
          </w:p>
        </w:tc>
      </w:tr>
      <w:tr>
        <w:tc>
          <w:tcPr/>
          <w:p>
            <w:pPr>
              <w:pStyle w:val="Compact"/>
              <w:jc w:val="left"/>
            </w:pPr>
            <w:r>
              <w:t xml:space="preserve">VAR-01</w:t>
            </w:r>
          </w:p>
        </w:tc>
        <w:tc>
          <w:tcPr/>
          <w:p>
            <w:pPr>
              <w:pStyle w:val="Compact"/>
              <w:jc w:val="left"/>
            </w:pPr>
            <w:r>
              <w:t xml:space="preserve">No dedicated schema isolation</w:t>
            </w:r>
          </w:p>
        </w:tc>
        <w:tc>
          <w:tcPr/>
          <w:p>
            <w:pPr>
              <w:pStyle w:val="Compact"/>
              <w:jc w:val="left"/>
            </w:pPr>
            <w:r>
              <w:t xml:space="preserve">Not yet a real collision problem</w:t>
            </w:r>
          </w:p>
        </w:tc>
        <w:tc>
          <w:tcPr/>
          <w:p>
            <w:pPr>
              <w:pStyle w:val="Compact"/>
              <w:jc w:val="left"/>
            </w:pPr>
            <w:r>
              <w:t xml:space="preserve">Avoids unnecessary migration cost</w:t>
            </w:r>
          </w:p>
        </w:tc>
        <w:tc>
          <w:tcPr/>
          <w:p>
            <w:pPr>
              <w:pStyle w:val="Compact"/>
              <w:jc w:val="left"/>
            </w:pPr>
            <w:r>
              <w:t xml:space="preserve">Single-schema design has functioned without incident</w:t>
            </w:r>
          </w:p>
        </w:tc>
        <w:tc>
          <w:tcPr/>
          <w:p>
            <w:pPr>
              <w:pStyle w:val="Compact"/>
              <w:jc w:val="left"/>
            </w:pPr>
            <w:r>
              <w:t xml:space="preserve">Low, monitored via ADR-001 trigger</w:t>
            </w:r>
          </w:p>
        </w:tc>
        <w:tc>
          <w:tcPr/>
          <w:p>
            <w:pPr>
              <w:pStyle w:val="Compact"/>
              <w:jc w:val="left"/>
            </w:pPr>
            <w:r>
              <w:rPr>
                <w:bCs/>
                <w:b/>
              </w:rPr>
              <w:t xml:space="preserve">Approved, deferred</w:t>
            </w:r>
          </w:p>
        </w:tc>
        <w:tc>
          <w:tcPr/>
          <w:p>
            <w:pPr>
              <w:pStyle w:val="Compact"/>
              <w:jc w:val="left"/>
            </w:pPr>
            <w:r>
              <w:t xml:space="preserve">Quarterly</w:t>
            </w:r>
          </w:p>
        </w:tc>
      </w:tr>
      <w:tr>
        <w:tc>
          <w:tcPr/>
          <w:p>
            <w:pPr>
              <w:pStyle w:val="Compact"/>
              <w:jc w:val="left"/>
            </w:pPr>
            <w:r>
              <w:t xml:space="preserve">VAR-02</w:t>
            </w:r>
          </w:p>
        </w:tc>
        <w:tc>
          <w:tcPr/>
          <w:p>
            <w:pPr>
              <w:pStyle w:val="Compact"/>
              <w:jc w:val="left"/>
            </w:pPr>
            <w:r>
              <w:t xml:space="preserve">Table/entity structure differs from Phase A</w:t>
            </w:r>
          </w:p>
        </w:tc>
        <w:tc>
          <w:tcPr/>
          <w:p>
            <w:pPr>
              <w:pStyle w:val="Compact"/>
              <w:jc w:val="left"/>
            </w:pPr>
            <w:r>
              <w:t xml:space="preserve">Implementation independently arrived at a more granular, arguably better design</w:t>
            </w:r>
          </w:p>
        </w:tc>
        <w:tc>
          <w:tcPr/>
          <w:p>
            <w:pPr>
              <w:pStyle w:val="Compact"/>
              <w:jc w:val="left"/>
            </w:pPr>
            <w:r>
              <w:t xml:space="preserve">Zero migration cost; implementation quality is not in question</w:t>
            </w:r>
          </w:p>
        </w:tc>
        <w:tc>
          <w:tcPr/>
          <w:p>
            <w:pPr>
              <w:pStyle w:val="Compact"/>
              <w:jc w:val="left"/>
            </w:pPr>
            <w:r>
              <w:t xml:space="preserve">More normalized cognitive/activity modeling than originally specified</w:t>
            </w:r>
          </w:p>
        </w:tc>
        <w:tc>
          <w:tcPr/>
          <w:p>
            <w:pPr>
              <w:pStyle w:val="Compact"/>
              <w:jc w:val="left"/>
            </w:pPr>
            <w:r>
              <w:t xml:space="preserve">None — this is treated as a positive variance</w:t>
            </w:r>
          </w:p>
        </w:tc>
        <w:tc>
          <w:tcPr/>
          <w:p>
            <w:pPr>
              <w:pStyle w:val="Compact"/>
              <w:jc w:val="left"/>
            </w:pPr>
            <w:r>
              <w:rPr>
                <w:bCs/>
                <w:b/>
              </w:rPr>
              <w:t xml:space="preserve">Approved, superseding architecture</w:t>
            </w:r>
          </w:p>
        </w:tc>
        <w:tc>
          <w:tcPr/>
          <w:p>
            <w:pPr>
              <w:pStyle w:val="Compact"/>
              <w:jc w:val="left"/>
            </w:pPr>
            <w:r>
              <w:t xml:space="preserve">One-time</w:t>
            </w:r>
          </w:p>
        </w:tc>
      </w:tr>
      <w:tr>
        <w:tc>
          <w:tcPr/>
          <w:p>
            <w:pPr>
              <w:pStyle w:val="Compact"/>
              <w:jc w:val="left"/>
            </w:pPr>
            <w:r>
              <w:t xml:space="preserve">VAR-03</w:t>
            </w:r>
          </w:p>
        </w:tc>
        <w:tc>
          <w:tcPr/>
          <w:p>
            <w:pPr>
              <w:pStyle w:val="Compact"/>
              <w:jc w:val="left"/>
            </w:pPr>
            <w:r>
              <w:t xml:space="preserve">Direct-FK taxonomy references instead of code+version</w:t>
            </w:r>
          </w:p>
        </w:tc>
        <w:tc>
          <w:tcPr/>
          <w:p>
            <w:pPr>
              <w:pStyle w:val="Compact"/>
              <w:jc w:val="left"/>
            </w:pPr>
            <w:r>
              <w:t xml:space="preserve">Simpler design, adequate at current taxonomy stability</w:t>
            </w:r>
          </w:p>
        </w:tc>
        <w:tc>
          <w:tcPr/>
          <w:p>
            <w:pPr>
              <w:pStyle w:val="Compact"/>
              <w:jc w:val="left"/>
            </w:pPr>
            <w:r>
              <w:t xml:space="preserve">Lower engineering overhead</w:t>
            </w:r>
          </w:p>
        </w:tc>
        <w:tc>
          <w:tcPr/>
          <w:p>
            <w:pPr>
              <w:pStyle w:val="Compact"/>
              <w:jc w:val="left"/>
            </w:pPr>
            <w:r>
              <w:t xml:space="preserve">No evidence of the specific denormalization failure mode architecture was designed to prevent</w:t>
            </w:r>
          </w:p>
        </w:tc>
        <w:tc>
          <w:tcPr/>
          <w:p>
            <w:pPr>
              <w:pStyle w:val="Compact"/>
              <w:jc w:val="left"/>
            </w:pPr>
            <w:r>
              <w:t xml:space="preserve">Medium latent, conditionally monitored</w:t>
            </w:r>
          </w:p>
        </w:tc>
        <w:tc>
          <w:tcPr/>
          <w:p>
            <w:pPr>
              <w:pStyle w:val="Compact"/>
              <w:jc w:val="left"/>
            </w:pPr>
            <w:r>
              <w:rPr>
                <w:bCs/>
                <w:b/>
              </w:rPr>
              <w:t xml:space="preserve">Approved, conditional</w:t>
            </w:r>
            <w:r>
              <w:t xml:space="preserve"> </w:t>
            </w:r>
            <w:r>
              <w:t xml:space="preserve">(ADR-003)</w:t>
            </w:r>
          </w:p>
        </w:tc>
        <w:tc>
          <w:tcPr/>
          <w:p>
            <w:pPr>
              <w:pStyle w:val="Compact"/>
              <w:jc w:val="left"/>
            </w:pPr>
            <w:r>
              <w:t xml:space="preserve">Per-release</w:t>
            </w:r>
          </w:p>
        </w:tc>
      </w:tr>
      <w:tr>
        <w:tc>
          <w:tcPr/>
          <w:p>
            <w:pPr>
              <w:pStyle w:val="Compact"/>
              <w:jc w:val="left"/>
            </w:pPr>
            <w:r>
              <w:t xml:space="preserve">VAR-04</w:t>
            </w:r>
          </w:p>
        </w:tc>
        <w:tc>
          <w:tcPr/>
          <w:p>
            <w:pPr>
              <w:pStyle w:val="Compact"/>
              <w:jc w:val="left"/>
            </w:pPr>
            <w:r>
              <w:t xml:space="preserve">No partitioning on 4 tables</w:t>
            </w:r>
          </w:p>
        </w:tc>
        <w:tc>
          <w:tcPr/>
          <w:p>
            <w:pPr>
              <w:pStyle w:val="Compact"/>
              <w:jc w:val="left"/>
            </w:pPr>
            <w:r>
              <w:t xml:space="preserve">Not yet at triggering scale</w:t>
            </w:r>
          </w:p>
        </w:tc>
        <w:tc>
          <w:tcPr/>
          <w:p>
            <w:pPr>
              <w:pStyle w:val="Compact"/>
              <w:jc w:val="left"/>
            </w:pPr>
            <w:r>
              <w:t xml:space="preserve">Avoids speculative engineering cost</w:t>
            </w:r>
          </w:p>
        </w:tc>
        <w:tc>
          <w:tcPr/>
          <w:p>
            <w:pPr>
              <w:pStyle w:val="Compact"/>
              <w:jc w:val="left"/>
            </w:pPr>
            <w:r>
              <w:t xml:space="preserve">Team has demonstrated partitioning capability elsewhere when needed</w:t>
            </w:r>
          </w:p>
        </w:tc>
        <w:tc>
          <w:tcPr/>
          <w:p>
            <w:pPr>
              <w:pStyle w:val="Compact"/>
              <w:jc w:val="left"/>
            </w:pPr>
            <w:r>
              <w:t xml:space="preserve">Medium, growing</w:t>
            </w:r>
          </w:p>
        </w:tc>
        <w:tc>
          <w:tcPr/>
          <w:p>
            <w:pPr>
              <w:pStyle w:val="Compact"/>
              <w:jc w:val="left"/>
            </w:pPr>
            <w:r>
              <w:rPr>
                <w:bCs/>
                <w:b/>
              </w:rPr>
              <w:t xml:space="preserve">Approved, deferred</w:t>
            </w:r>
          </w:p>
        </w:tc>
        <w:tc>
          <w:tcPr/>
          <w:p>
            <w:pPr>
              <w:pStyle w:val="Compact"/>
              <w:jc w:val="left"/>
            </w:pPr>
            <w:r>
              <w:t xml:space="preserve">Quarterly</w:t>
            </w:r>
          </w:p>
        </w:tc>
      </w:tr>
    </w:tbl>
    <w:p>
      <w:r>
        <w:pict>
          <v:rect style="width:0;height:1.5pt" o:hralign="center" o:hrstd="t" o:hr="t"/>
        </w:pict>
      </w:r>
    </w:p>
    <w:bookmarkEnd w:id="36"/>
    <w:bookmarkStart w:id="37" w:name="enterprise-technical-debt-governance"/>
    <w:p>
      <w:pPr>
        <w:pStyle w:val="Heading2"/>
      </w:pPr>
      <w:r>
        <w:t xml:space="preserve">8. Enterprise Technical Debt Governance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Item</w:t>
            </w:r>
          </w:p>
        </w:tc>
        <w:tc>
          <w:tcPr/>
          <w:p>
            <w:pPr>
              <w:pStyle w:val="Compact"/>
              <w:jc w:val="left"/>
            </w:pPr>
            <w:r>
              <w:t xml:space="preserve">Debt Class</w:t>
            </w:r>
          </w:p>
        </w:tc>
        <w:tc>
          <w:tcPr/>
          <w:p>
            <w:pPr>
              <w:pStyle w:val="Compact"/>
              <w:jc w:val="left"/>
            </w:pPr>
            <w:r>
              <w:t xml:space="preserve">Owner</w:t>
            </w:r>
          </w:p>
        </w:tc>
        <w:tc>
          <w:tcPr/>
          <w:p>
            <w:pPr>
              <w:pStyle w:val="Compact"/>
              <w:jc w:val="left"/>
            </w:pPr>
            <w:r>
              <w:t xml:space="preserve">Resolution Strategy</w:t>
            </w:r>
          </w:p>
        </w:tc>
        <w:tc>
          <w:tcPr/>
          <w:p>
            <w:pPr>
              <w:pStyle w:val="Compact"/>
              <w:jc w:val="left"/>
            </w:pPr>
            <w:r>
              <w:t xml:space="preserve">Target Release</w:t>
            </w:r>
          </w:p>
        </w:tc>
        <w:tc>
          <w:tcPr/>
          <w:p>
            <w:pPr>
              <w:pStyle w:val="Compact"/>
              <w:jc w:val="left"/>
            </w:pPr>
            <w:r>
              <w:t xml:space="preserve">Review Date</w:t>
            </w:r>
          </w:p>
        </w:tc>
      </w:tr>
      <w:tr>
        <w:tc>
          <w:tcPr/>
          <w:p>
            <w:pPr>
              <w:pStyle w:val="Compact"/>
              <w:jc w:val="left"/>
            </w:pPr>
            <w:r>
              <w:t xml:space="preserve">Architecture/implementation divergence (Phase A vs. live schema)</w:t>
            </w:r>
          </w:p>
        </w:tc>
        <w:tc>
          <w:tcPr/>
          <w:p>
            <w:pPr>
              <w:pStyle w:val="Compact"/>
              <w:jc w:val="left"/>
            </w:pPr>
            <w:r>
              <w:rPr>
                <w:bCs/>
                <w:b/>
              </w:rPr>
              <w:t xml:space="preserve">Strategic Debt</w:t>
            </w:r>
          </w:p>
        </w:tc>
        <w:tc>
          <w:tcPr/>
          <w:p>
            <w:pPr>
              <w:pStyle w:val="Compact"/>
              <w:jc w:val="left"/>
            </w:pPr>
            <w:r>
              <w:t xml:space="preserve">Enterprise architecture owner (unassigned)</w:t>
            </w:r>
          </w:p>
        </w:tc>
        <w:tc>
          <w:tcPr/>
          <w:p>
            <w:pPr>
              <w:pStyle w:val="Compact"/>
              <w:jc w:val="left"/>
            </w:pPr>
            <w:r>
              <w:t xml:space="preserve">Supersede via revised Phase A document (ADR-002)</w:t>
            </w:r>
          </w:p>
        </w:tc>
        <w:tc>
          <w:tcPr/>
          <w:p>
            <w:pPr>
              <w:pStyle w:val="Compact"/>
              <w:jc w:val="left"/>
            </w:pPr>
            <w:r>
              <w:t xml:space="preserve">Next ERP cycle</w:t>
            </w:r>
          </w:p>
        </w:tc>
        <w:tc>
          <w:tcPr/>
          <w:p>
            <w:pPr>
              <w:pStyle w:val="Compact"/>
              <w:jc w:val="left"/>
            </w:pPr>
            <w:r>
              <w:t xml:space="preserve">Immediate</w:t>
            </w:r>
          </w:p>
        </w:tc>
      </w:tr>
      <w:tr>
        <w:tc>
          <w:tcPr/>
          <w:p>
            <w:pPr>
              <w:pStyle w:val="Compact"/>
              <w:jc w:val="left"/>
            </w:pPr>
            <w:r>
              <w:t xml:space="preserve">No taxonomy-versioning concept</w:t>
            </w:r>
          </w:p>
        </w:tc>
        <w:tc>
          <w:tcPr/>
          <w:p>
            <w:pPr>
              <w:pStyle w:val="Compact"/>
              <w:jc w:val="left"/>
            </w:pPr>
            <w:r>
              <w:rPr>
                <w:bCs/>
                <w:b/>
              </w:rPr>
              <w:t xml:space="preserve">Acceptable Debt</w:t>
            </w:r>
            <w:r>
              <w:t xml:space="preserve"> </w:t>
            </w:r>
            <w:r>
              <w:t xml:space="preserve">(conditional)</w:t>
            </w:r>
          </w:p>
        </w:tc>
        <w:tc>
          <w:tcPr/>
          <w:p>
            <w:pPr>
              <w:pStyle w:val="Compact"/>
              <w:jc w:val="left"/>
            </w:pPr>
            <w:r>
              <w:t xml:space="preserve">Data governance (unassigned)</w:t>
            </w:r>
          </w:p>
        </w:tc>
        <w:tc>
          <w:tcPr/>
          <w:p>
            <w:pPr>
              <w:pStyle w:val="Compact"/>
              <w:jc w:val="left"/>
            </w:pPr>
            <w:r>
              <w:t xml:space="preserve">Monitor per ADR-003’s condition; retrofit only if triggered</w:t>
            </w:r>
          </w:p>
        </w:tc>
        <w:tc>
          <w:tcPr/>
          <w:p>
            <w:pPr>
              <w:pStyle w:val="Compact"/>
              <w:jc w:val="left"/>
            </w:pPr>
            <w:r>
              <w:t xml:space="preserve">Trigger-based</w:t>
            </w:r>
          </w:p>
        </w:tc>
        <w:tc>
          <w:tcPr/>
          <w:p>
            <w:pPr>
              <w:pStyle w:val="Compact"/>
              <w:jc w:val="left"/>
            </w:pPr>
            <w:r>
              <w:t xml:space="preserve">Per-release</w:t>
            </w:r>
          </w:p>
        </w:tc>
      </w:tr>
      <w:tr>
        <w:tc>
          <w:tcPr/>
          <w:p>
            <w:pPr>
              <w:pStyle w:val="Compact"/>
              <w:jc w:val="left"/>
            </w:pPr>
            <w:r>
              <w:t xml:space="preserve">No partitioning on growing tables</w:t>
            </w:r>
          </w:p>
        </w:tc>
        <w:tc>
          <w:tcPr/>
          <w:p>
            <w:pPr>
              <w:pStyle w:val="Compact"/>
              <w:jc w:val="left"/>
            </w:pPr>
            <w:r>
              <w:rPr>
                <w:bCs/>
                <w:b/>
              </w:rPr>
              <w:t xml:space="preserve">Tactical Debt</w:t>
            </w:r>
          </w:p>
        </w:tc>
        <w:tc>
          <w:tcPr/>
          <w:p>
            <w:pPr>
              <w:pStyle w:val="Compact"/>
              <w:jc w:val="left"/>
            </w:pPr>
            <w:r>
              <w:t xml:space="preserve">Platform engineering (unassigned)</w:t>
            </w:r>
          </w:p>
        </w:tc>
        <w:tc>
          <w:tcPr/>
          <w:p>
            <w:pPr>
              <w:pStyle w:val="Compact"/>
              <w:jc w:val="left"/>
            </w:pPr>
            <w:r>
              <w:t xml:space="preserve">Implement at trigger per ADR-004</w:t>
            </w:r>
          </w:p>
        </w:tc>
        <w:tc>
          <w:tcPr/>
          <w:p>
            <w:pPr>
              <w:pStyle w:val="Compact"/>
              <w:jc w:val="left"/>
            </w:pPr>
            <w:r>
              <w:t xml:space="preserve">Trigger-based</w:t>
            </w:r>
          </w:p>
        </w:tc>
        <w:tc>
          <w:tcPr/>
          <w:p>
            <w:pPr>
              <w:pStyle w:val="Compact"/>
              <w:jc w:val="left"/>
            </w:pPr>
            <w:r>
              <w:t xml:space="preserve">Quarterly</w:t>
            </w:r>
          </w:p>
        </w:tc>
      </w:tr>
      <w:tr>
        <w:tc>
          <w:tcPr/>
          <w:p>
            <w:pPr>
              <w:pStyle w:val="Compact"/>
              <w:jc w:val="left"/>
            </w:pPr>
            <w:r>
              <w:t xml:space="preserve">Unverified RLS coverage</w:t>
            </w:r>
          </w:p>
        </w:tc>
        <w:tc>
          <w:tcPr/>
          <w:p>
            <w:pPr>
              <w:pStyle w:val="Compact"/>
              <w:jc w:val="left"/>
            </w:pPr>
            <w:r>
              <w:rPr>
                <w:bCs/>
                <w:b/>
              </w:rPr>
              <w:t xml:space="preserve">Critical Debt</w:t>
            </w:r>
            <w:r>
              <w:t xml:space="preserve"> </w:t>
            </w:r>
            <w:r>
              <w:t xml:space="preserve">(until verified)</w:t>
            </w:r>
          </w:p>
        </w:tc>
        <w:tc>
          <w:tcPr/>
          <w:p>
            <w:pPr>
              <w:pStyle w:val="Compact"/>
              <w:jc w:val="left"/>
            </w:pPr>
            <w:r>
              <w:t xml:space="preserve">Security/platform engineering (unassigned)</w:t>
            </w:r>
          </w:p>
        </w:tc>
        <w:tc>
          <w:tcPr/>
          <w:p>
            <w:pPr>
              <w:pStyle w:val="Compact"/>
              <w:jc w:val="left"/>
            </w:pPr>
            <w:r>
              <w:t xml:space="preserve">Verify immediately (ADR-007 / ERP-01-WP-02)</w:t>
            </w:r>
          </w:p>
        </w:tc>
        <w:tc>
          <w:tcPr/>
          <w:p>
            <w:pPr>
              <w:pStyle w:val="Compact"/>
              <w:jc w:val="left"/>
            </w:pPr>
            <w:r>
              <w:t xml:space="preserve">Immediate</w:t>
            </w:r>
          </w:p>
        </w:tc>
        <w:tc>
          <w:tcPr/>
          <w:p>
            <w:pPr>
              <w:pStyle w:val="Compact"/>
              <w:jc w:val="left"/>
            </w:pPr>
            <w:r>
              <w:t xml:space="preserve">Immediate</w:t>
            </w:r>
          </w:p>
        </w:tc>
      </w:tr>
      <w:tr>
        <w:tc>
          <w:tcPr/>
          <w:p>
            <w:pPr>
              <w:pStyle w:val="Compact"/>
              <w:jc w:val="left"/>
            </w:pPr>
            <w:r>
              <w:t xml:space="preserve">No supersession/versioning model</w:t>
            </w:r>
          </w:p>
        </w:tc>
        <w:tc>
          <w:tcPr/>
          <w:p>
            <w:pPr>
              <w:pStyle w:val="Compact"/>
              <w:jc w:val="left"/>
            </w:pPr>
            <w:r>
              <w:rPr>
                <w:bCs/>
                <w:b/>
              </w:rPr>
              <w:t xml:space="preserve">Temporary Debt</w:t>
            </w:r>
            <w:r>
              <w:t xml:space="preserve">, with irreversibility caveat</w:t>
            </w:r>
          </w:p>
        </w:tc>
        <w:tc>
          <w:tcPr/>
          <w:p>
            <w:pPr>
              <w:pStyle w:val="Compact"/>
              <w:jc w:val="left"/>
            </w:pPr>
            <w:r>
              <w:t xml:space="preserve">Compliance/data governance (unassigned)</w:t>
            </w:r>
          </w:p>
        </w:tc>
        <w:tc>
          <w:tcPr/>
          <w:p>
            <w:pPr>
              <w:pStyle w:val="Compact"/>
              <w:jc w:val="left"/>
            </w:pPr>
            <w:r>
              <w:t xml:space="preserve">Defer per ADR-006; be aware deferral has a one-way cost</w:t>
            </w:r>
          </w:p>
        </w:tc>
        <w:tc>
          <w:tcPr/>
          <w:p>
            <w:pPr>
              <w:pStyle w:val="Compact"/>
              <w:jc w:val="left"/>
            </w:pPr>
            <w:r>
              <w:t xml:space="preserve">Trigger-based</w:t>
            </w:r>
          </w:p>
        </w:tc>
        <w:tc>
          <w:tcPr/>
          <w:p>
            <w:pPr>
              <w:pStyle w:val="Compact"/>
              <w:jc w:val="left"/>
            </w:pPr>
            <w:r>
              <w:t xml:space="preserve">Upon compliance scope change</w:t>
            </w:r>
          </w:p>
        </w:tc>
      </w:tr>
    </w:tbl>
    <w:p>
      <w:pPr>
        <w:pStyle w:val="BodyText"/>
      </w:pPr>
      <w:r>
        <w:rPr>
          <w:bCs/>
          <w:b/>
        </w:rPr>
        <w:t xml:space="preserve">Cross-cutting observation:</w:t>
      </w:r>
      <w:r>
        <w:t xml:space="preserve"> </w:t>
      </w:r>
      <w:r>
        <w:t xml:space="preserve">every item in this register lists its owner as</w:t>
      </w:r>
      <w:r>
        <w:t xml:space="preserve"> </w:t>
      </w:r>
      <w:r>
        <w:t xml:space="preserve">“</w:t>
      </w:r>
      <w:r>
        <w:t xml:space="preserve">unassigned in repository.</w:t>
      </w:r>
      <w:r>
        <w:t xml:space="preserve">”</w:t>
      </w:r>
      <w:r>
        <w:t xml:space="preserve"> </w:t>
      </w:r>
      <w:r>
        <w:t xml:space="preserve">That is itself a governance gap this document did not originally have a category for — recorded here as its own finding (§10).</w:t>
      </w:r>
    </w:p>
    <w:p>
      <w:r>
        <w:pict>
          <v:rect style="width:0;height:1.5pt" o:hralign="center" o:hrstd="t" o:hr="t"/>
        </w:pict>
      </w:r>
    </w:p>
    <w:bookmarkEnd w:id="37"/>
    <w:bookmarkStart w:id="38" w:name="architecture-evolution-roadmap"/>
    <w:p>
      <w:pPr>
        <w:pStyle w:val="Heading2"/>
      </w:pPr>
      <w:r>
        <w:t xml:space="preserve">9. Architecture Evolution Roadmap</w:t>
      </w:r>
    </w:p>
    <w:p>
      <w:pPr>
        <w:pStyle w:val="FirstParagraph"/>
      </w:pPr>
      <w:r>
        <w:rPr>
          <w:bCs/>
          <w:b/>
        </w:rPr>
        <w:t xml:space="preserve">Immediate (0–3 months):</w:t>
      </w:r>
      <w:r>
        <w:t xml:space="preserve"> </w:t>
      </w:r>
      <w:r>
        <w:t xml:space="preserve">- Verify RLS coverage on all student-owned tables (ADR-007 / ERP-01-WP-02).</w:t>
      </w:r>
      <w:r>
        <w:t xml:space="preserve"> </w:t>
      </w:r>
      <w:r>
        <w:t xml:space="preserve">- Begin drafting the revised EEP-01 Phase A document reflecting actual schema (ADR-002).</w:t>
      </w:r>
      <w:r>
        <w:t xml:space="preserve"> </w:t>
      </w:r>
      <w:r>
        <w:t xml:space="preserve">- Assign named owners to the architecture and data-governance roles this document repeatedly found unassigned (§10).</w:t>
      </w:r>
    </w:p>
    <w:p>
      <w:pPr>
        <w:pStyle w:val="BodyText"/>
      </w:pPr>
      <w:r>
        <w:rPr>
          <w:bCs/>
          <w:b/>
        </w:rPr>
        <w:t xml:space="preserve">Near Term (3–6 months):</w:t>
      </w:r>
      <w:r>
        <w:t xml:space="preserve"> </w:t>
      </w:r>
      <w:r>
        <w:t xml:space="preserve">- Publish the revised Phase A document; retire the original as historical record, not current architecture.</w:t>
      </w:r>
      <w:r>
        <w:t xml:space="preserve"> </w:t>
      </w:r>
      <w:r>
        <w:t xml:space="preserve">- Establish the per-release taxonomy-denormalization check (ADR-003 condition).</w:t>
      </w:r>
    </w:p>
    <w:p>
      <w:pPr>
        <w:pStyle w:val="BodyText"/>
      </w:pPr>
      <w:r>
        <w:rPr>
          <w:bCs/>
          <w:b/>
        </w:rPr>
        <w:t xml:space="preserve">Medium Term (6–12 months):</w:t>
      </w:r>
      <w:r>
        <w:t xml:space="preserve"> </w:t>
      </w:r>
      <w:r>
        <w:t xml:space="preserve">- Begin quarterly monitoring of ADR-001 (schema isolation) and ADR-004 (partitioning) triggers against actual production metrics.</w:t>
      </w:r>
    </w:p>
    <w:p>
      <w:pPr>
        <w:pStyle w:val="BodyText"/>
      </w:pPr>
      <w:r>
        <w:rPr>
          <w:bCs/>
          <w:b/>
        </w:rPr>
        <w:t xml:space="preserve">Long Term (12–24 months):</w:t>
      </w:r>
      <w:r>
        <w:t xml:space="preserve"> </w:t>
      </w:r>
      <w:r>
        <w:t xml:space="preserve">- Revisit ADR-005 (qualification/selection separation) and ADR-006 (supersession model) if product or compliance scope has changed.</w:t>
      </w:r>
    </w:p>
    <w:p>
      <w:pPr>
        <w:pStyle w:val="BodyText"/>
      </w:pPr>
      <w:r>
        <w:rPr>
          <w:bCs/>
          <w:b/>
        </w:rPr>
        <w:t xml:space="preserve">Future (24+ months):</w:t>
      </w:r>
      <w:r>
        <w:t xml:space="preserve"> </w:t>
      </w:r>
      <w:r>
        <w:t xml:space="preserve">- Full architecture re-certification cycle: re-run a Phase A.1-style realization assessment against whatever EEP-01 Phase A looks like post-supersession, to confirm the</w:t>
      </w:r>
      <w:r>
        <w:t xml:space="preserve"> </w:t>
      </w:r>
      <w:r>
        <w:t xml:space="preserve">“</w:t>
      </w:r>
      <w:r>
        <w:t xml:space="preserve">verify the verifiers</w:t>
      </w:r>
      <w:r>
        <w:t xml:space="preserve">”</w:t>
      </w:r>
      <w:r>
        <w:t xml:space="preserve"> </w:t>
      </w:r>
      <w:r>
        <w:t xml:space="preserve">discipline (per EEP-01 Phase J) is holding over time.</w:t>
      </w:r>
    </w:p>
    <w:p>
      <w:pPr>
        <w:pStyle w:val="BodyText"/>
      </w:pPr>
      <w:r>
        <w:t xml:space="preserve">Every item above is trigger-gated, not calendar-gated, except the Immediate and Near Term items, which are gated on effort availability rather than external triggers since their cost is low and their risk-reduction is immediate.</w:t>
      </w:r>
    </w:p>
    <w:p>
      <w:r>
        <w:pict>
          <v:rect style="width:0;height:1.5pt" o:hralign="center" o:hrstd="t" o:hr="t"/>
        </w:pict>
      </w:r>
    </w:p>
    <w:bookmarkEnd w:id="38"/>
    <w:bookmarkStart w:id="39" w:name="enterprise-governance-scorecard"/>
    <w:p>
      <w:pPr>
        <w:pStyle w:val="Heading2"/>
      </w:pPr>
      <w:r>
        <w:t xml:space="preserve">10. Enterprise Governance Scorecard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 /100</w:t>
            </w:r>
          </w:p>
        </w:tc>
        <w:tc>
          <w:tcPr/>
          <w:p>
            <w:pPr>
              <w:pStyle w:val="Compact"/>
              <w:jc w:val="left"/>
            </w:pPr>
            <w:r>
              <w:t xml:space="preserve">Evidence</w:t>
            </w:r>
          </w:p>
        </w:tc>
      </w:tr>
      <w:tr>
        <w:tc>
          <w:tcPr/>
          <w:p>
            <w:pPr>
              <w:pStyle w:val="Compact"/>
              <w:jc w:val="left"/>
            </w:pPr>
            <w:r>
              <w:t xml:space="preserve">Architecture Governance</w:t>
            </w:r>
          </w:p>
        </w:tc>
        <w:tc>
          <w:tcPr/>
          <w:p>
            <w:pPr>
              <w:pStyle w:val="Compact"/>
              <w:jc w:val="left"/>
            </w:pPr>
            <w:r>
              <w:t xml:space="preserve">45</w:t>
            </w:r>
          </w:p>
        </w:tc>
        <w:tc>
          <w:tcPr/>
          <w:p>
            <w:pPr>
              <w:pStyle w:val="Compact"/>
              <w:jc w:val="left"/>
            </w:pPr>
            <w:r>
              <w:t xml:space="preserve">A real governance process now exists (this document), but it’s reactive — triggered by this engagement, not by a standing practice</w:t>
            </w:r>
          </w:p>
        </w:tc>
      </w:tr>
      <w:tr>
        <w:tc>
          <w:tcPr/>
          <w:p>
            <w:pPr>
              <w:pStyle w:val="Compact"/>
              <w:jc w:val="left"/>
            </w:pPr>
            <w:r>
              <w:t xml:space="preserve">Decision Traceability</w:t>
            </w:r>
          </w:p>
        </w:tc>
        <w:tc>
          <w:tcPr/>
          <w:p>
            <w:pPr>
              <w:pStyle w:val="Compact"/>
              <w:jc w:val="left"/>
            </w:pPr>
            <w:r>
              <w:t xml:space="preserve">70</w:t>
            </w:r>
          </w:p>
        </w:tc>
        <w:tc>
          <w:tcPr/>
          <w:p>
            <w:pPr>
              <w:pStyle w:val="Compact"/>
              <w:jc w:val="left"/>
            </w:pPr>
            <w:r>
              <w:t xml:space="preserve">Every ADR here traces directly to a specific Phase A.1 finding with file-level evidence</w:t>
            </w:r>
          </w:p>
        </w:tc>
      </w:tr>
      <w:tr>
        <w:tc>
          <w:tcPr/>
          <w:p>
            <w:pPr>
              <w:pStyle w:val="Compact"/>
              <w:jc w:val="left"/>
            </w:pPr>
            <w:r>
              <w:t xml:space="preserve">Architecture Compliance</w:t>
            </w:r>
          </w:p>
        </w:tc>
        <w:tc>
          <w:tcPr/>
          <w:p>
            <w:pPr>
              <w:pStyle w:val="Compact"/>
              <w:jc w:val="left"/>
            </w:pPr>
            <w:r>
              <w:t xml:space="preserve">35</w:t>
            </w:r>
          </w:p>
        </w:tc>
        <w:tc>
          <w:tcPr/>
          <w:p>
            <w:pPr>
              <w:pStyle w:val="Compact"/>
              <w:jc w:val="left"/>
            </w:pPr>
            <w:r>
              <w:t xml:space="preserve">Matches Phase A.1’s own conformance score (35/100); this document doesn’t change the underlying compliance, only how it’s governed</w:t>
            </w:r>
          </w:p>
        </w:tc>
      </w:tr>
      <w:tr>
        <w:tc>
          <w:tcPr/>
          <w:p>
            <w:pPr>
              <w:pStyle w:val="Compact"/>
              <w:jc w:val="left"/>
            </w:pPr>
            <w:r>
              <w:t xml:space="preserve">Documentation Accuracy</w:t>
            </w:r>
          </w:p>
        </w:tc>
        <w:tc>
          <w:tcPr/>
          <w:p>
            <w:pPr>
              <w:pStyle w:val="Compact"/>
              <w:jc w:val="left"/>
            </w:pPr>
            <w:r>
              <w:t xml:space="preserve">30</w:t>
            </w:r>
          </w:p>
        </w:tc>
        <w:tc>
          <w:tcPr/>
          <w:p>
            <w:pPr>
              <w:pStyle w:val="Compact"/>
              <w:jc w:val="left"/>
            </w:pPr>
            <w:r>
              <w:t xml:space="preserve">Currently low (Phase A doesn’t match reality); ADR-002’s execution is the direct remedy, not yet completed</w:t>
            </w:r>
          </w:p>
        </w:tc>
      </w:tr>
      <w:tr>
        <w:tc>
          <w:tcPr/>
          <w:p>
            <w:pPr>
              <w:pStyle w:val="Compact"/>
              <w:jc w:val="left"/>
            </w:pPr>
            <w:r>
              <w:t xml:space="preserve">Technical Debt Governance</w:t>
            </w:r>
          </w:p>
        </w:tc>
        <w:tc>
          <w:tcPr/>
          <w:p>
            <w:pPr>
              <w:pStyle w:val="Compact"/>
              <w:jc w:val="left"/>
            </w:pPr>
            <w:r>
              <w:t xml:space="preserve">55</w:t>
            </w:r>
          </w:p>
        </w:tc>
        <w:tc>
          <w:tcPr/>
          <w:p>
            <w:pPr>
              <w:pStyle w:val="Compact"/>
              <w:jc w:val="left"/>
            </w:pPr>
            <w:r>
              <w:t xml:space="preserve">Debt is now classified and owned-in-principle, but every actual owner field is unassigned (§8)</w:t>
            </w:r>
          </w:p>
        </w:tc>
      </w:tr>
      <w:tr>
        <w:tc>
          <w:tcPr/>
          <w:p>
            <w:pPr>
              <w:pStyle w:val="Compact"/>
              <w:jc w:val="left"/>
            </w:pPr>
            <w:r>
              <w:t xml:space="preserve">Risk Governance</w:t>
            </w:r>
          </w:p>
        </w:tc>
        <w:tc>
          <w:tcPr/>
          <w:p>
            <w:pPr>
              <w:pStyle w:val="Compact"/>
              <w:jc w:val="left"/>
            </w:pPr>
            <w:r>
              <w:t xml:space="preserve">60</w:t>
            </w:r>
          </w:p>
        </w:tc>
        <w:tc>
          <w:tcPr/>
          <w:p>
            <w:pPr>
              <w:pStyle w:val="Compact"/>
              <w:jc w:val="left"/>
            </w:pPr>
            <w:r>
              <w:t xml:space="preserve">Real risks identified and triggers defined; ADR-006’s irreversibility risk is explicitly flagged, which is good practice</w:t>
            </w:r>
          </w:p>
        </w:tc>
      </w:tr>
      <w:tr>
        <w:tc>
          <w:tcPr/>
          <w:p>
            <w:pPr>
              <w:pStyle w:val="Compact"/>
              <w:jc w:val="left"/>
            </w:pPr>
            <w:r>
              <w:t xml:space="preserve">Architecture Evolution Readiness</w:t>
            </w:r>
          </w:p>
        </w:tc>
        <w:tc>
          <w:tcPr/>
          <w:p>
            <w:pPr>
              <w:pStyle w:val="Compact"/>
              <w:jc w:val="left"/>
            </w:pPr>
            <w:r>
              <w:t xml:space="preserve">50</w:t>
            </w:r>
          </w:p>
        </w:tc>
        <w:tc>
          <w:tcPr/>
          <w:p>
            <w:pPr>
              <w:pStyle w:val="Compact"/>
              <w:jc w:val="left"/>
            </w:pPr>
            <w:r>
              <w:t xml:space="preserve">A clear roadmap exists (§9); execution has not started</w:t>
            </w:r>
          </w:p>
        </w:tc>
      </w:tr>
      <w:tr>
        <w:tc>
          <w:tcPr/>
          <w:p>
            <w:pPr>
              <w:pStyle w:val="Compact"/>
              <w:jc w:val="left"/>
            </w:pPr>
            <w:r>
              <w:t xml:space="preserve">Implementation Governance</w:t>
            </w:r>
          </w:p>
        </w:tc>
        <w:tc>
          <w:tcPr/>
          <w:p>
            <w:pPr>
              <w:pStyle w:val="Compact"/>
              <w:jc w:val="left"/>
            </w:pPr>
            <w:r>
              <w:t xml:space="preserve">40</w:t>
            </w:r>
          </w:p>
        </w:tc>
        <w:tc>
          <w:tcPr/>
          <w:p>
            <w:pPr>
              <w:pStyle w:val="Compact"/>
              <w:jc w:val="left"/>
            </w:pPr>
            <w:r>
              <w:t xml:space="preserve">No standing process yet confirms new work stays aligned with (revised) architecture as it’s built</w:t>
            </w:r>
          </w:p>
        </w:tc>
      </w:tr>
      <w:tr>
        <w:tc>
          <w:tcPr/>
          <w:p>
            <w:pPr>
              <w:pStyle w:val="Compact"/>
              <w:jc w:val="left"/>
            </w:pPr>
            <w:r>
              <w:rPr>
                <w:bCs/>
                <w:b/>
              </w:rPr>
              <w:t xml:space="preserve">Overall Enterprise Governance</w:t>
            </w:r>
          </w:p>
        </w:tc>
        <w:tc>
          <w:tcPr/>
          <w:p>
            <w:pPr>
              <w:pStyle w:val="Compact"/>
              <w:jc w:val="left"/>
            </w:pPr>
            <w:r>
              <w:rPr>
                <w:bCs/>
                <w:b/>
              </w:rPr>
              <w:t xml:space="preserve">48</w:t>
            </w:r>
          </w:p>
        </w:tc>
        <w:tc>
          <w:tcPr/>
          <w:p>
            <w:pPr>
              <w:pStyle w:val="Compact"/>
              <w:jc w:val="left"/>
            </w:pPr>
            <w:r>
              <w:t xml:space="preserve">Weighted down primarily by the unassigned-ownership finding (§10) and Documentation Accuracy — this document establishes the framework but does not itself close the gaps it identifies</w:t>
            </w:r>
          </w:p>
        </w:tc>
      </w:tr>
    </w:tbl>
    <w:p>
      <w:r>
        <w:pict>
          <v:rect style="width:0;height:1.5pt" o:hralign="center" o:hrstd="t" o:hr="t"/>
        </w:pict>
      </w:r>
    </w:p>
    <w:bookmarkEnd w:id="39"/>
    <w:bookmarkStart w:id="40" w:name="executive-recommendations"/>
    <w:p>
      <w:pPr>
        <w:pStyle w:val="Heading2"/>
      </w:pPr>
      <w:r>
        <w:t xml:space="preserve">11. Executive Recommendations</w:t>
      </w:r>
    </w:p>
    <w:p>
      <w:pPr>
        <w:pStyle w:val="FirstParagraph"/>
      </w:pPr>
      <w:r>
        <w:rPr>
          <w:bCs/>
          <w:b/>
        </w:rPr>
        <w:t xml:space="preserve">Implement Immediately:</w:t>
      </w:r>
      <w:r>
        <w:t xml:space="preserve"> </w:t>
      </w:r>
      <w:r>
        <w:t xml:space="preserve">RLS verification across all student-owned tables (ADR-007). Assign named owners to the architecture-governance and data-governance roles this document found unassigned throughout.</w:t>
      </w:r>
    </w:p>
    <w:p>
      <w:pPr>
        <w:pStyle w:val="BodyText"/>
      </w:pPr>
      <w:r>
        <w:rPr>
          <w:bCs/>
          <w:b/>
        </w:rPr>
        <w:t xml:space="preserve">Implement in Future (trigger-gated):</w:t>
      </w:r>
      <w:r>
        <w:t xml:space="preserve"> </w:t>
      </w:r>
      <w:r>
        <w:t xml:space="preserve">Schema isolation (ADR-001), partitioning (ADR-004), qualification/selection separation (ADR-005), supersession model (ADR-006) — each with a defined, monitorable trigger.</w:t>
      </w:r>
    </w:p>
    <w:p>
      <w:pPr>
        <w:pStyle w:val="BodyText"/>
      </w:pPr>
      <w:r>
        <w:rPr>
          <w:bCs/>
          <w:b/>
        </w:rPr>
        <w:t xml:space="preserve">Monitor:</w:t>
      </w:r>
      <w:r>
        <w:t xml:space="preserve"> </w:t>
      </w:r>
      <w:r>
        <w:t xml:space="preserve">Taxonomy denormalization condition (ADR-003); row-count and query-latency trends against ADR-004’s partitioning trigger.</w:t>
      </w:r>
    </w:p>
    <w:p>
      <w:pPr>
        <w:pStyle w:val="BodyText"/>
      </w:pPr>
      <w:r>
        <w:rPr>
          <w:bCs/>
          <w:b/>
        </w:rPr>
        <w:t xml:space="preserve">Accept as Current Standard:</w:t>
      </w:r>
      <w:r>
        <w:t xml:space="preserve"> </w:t>
      </w:r>
      <w:r>
        <w:t xml:space="preserve">UUID primary keys,</w:t>
      </w:r>
      <w:r>
        <w:t xml:space="preserve"> </w:t>
      </w:r>
      <w:r>
        <w:rPr>
          <w:rStyle w:val="VerbatimChar"/>
        </w:rPr>
        <w:t xml:space="preserve">timestamptz</w:t>
      </w:r>
      <w:r>
        <w:t xml:space="preserve"> </w:t>
      </w:r>
      <w:r>
        <w:t xml:space="preserve">discipline, migration naming/idempotency conventions, RLS ownership-pattern design (pending full coverage verification).</w:t>
      </w:r>
    </w:p>
    <w:p>
      <w:pPr>
        <w:pStyle w:val="BodyText"/>
      </w:pPr>
      <w:r>
        <w:rPr>
          <w:bCs/>
          <w:b/>
        </w:rPr>
        <w:t xml:space="preserve">Update Enterprise Architecture:</w:t>
      </w:r>
      <w:r>
        <w:t xml:space="preserve"> </w:t>
      </w:r>
      <w:r>
        <w:t xml:space="preserve">Revise EEP-01 Phase A to describe the actual live schema as canonical (ADR-002) — the single highest-leverage recommendation in this document, since it resolves the top-rated risk from Phase A.1 (documentation/maintainability risk) at near-zero cost.</w:t>
      </w:r>
    </w:p>
    <w:p>
      <w:pPr>
        <w:pStyle w:val="BodyText"/>
      </w:pPr>
      <w:r>
        <w:rPr>
          <w:bCs/>
          <w:b/>
        </w:rPr>
        <w:t xml:space="preserve">Retire Existing Requirement:</w:t>
      </w:r>
      <w:r>
        <w:t xml:space="preserve"> </w:t>
      </w:r>
      <w:r>
        <w:t xml:space="preserve">The specific 26-table canonical naming scheme, as a literal naming target — retired in favor of documenting what’s real (ADR-002). The underlying</w:t>
      </w:r>
      <w:r>
        <w:t xml:space="preserve"> </w:t>
      </w:r>
      <w:r>
        <w:rPr>
          <w:iCs/>
          <w:i/>
        </w:rPr>
        <w:t xml:space="preserve">principles</w:t>
      </w:r>
      <w:r>
        <w:t xml:space="preserve"> </w:t>
      </w:r>
      <w:r>
        <w:t xml:space="preserve">behind it (clear ownership, no ambiguous names) are retained; only the specific target names are retired.</w:t>
      </w:r>
    </w:p>
    <w:p>
      <w:pPr>
        <w:pStyle w:val="BodyText"/>
      </w:pPr>
      <w:r>
        <w:rPr>
          <w:bCs/>
          <w:b/>
        </w:rPr>
        <w:t xml:space="preserve">No Action Required:</w:t>
      </w:r>
      <w:r>
        <w:t xml:space="preserve"> </w:t>
      </w:r>
      <w:r>
        <w:t xml:space="preserve">Migration quality, idempotency, and rollback practices — already exceed Phase A’s own bar.</w:t>
      </w:r>
    </w:p>
    <w:p>
      <w:r>
        <w:pict>
          <v:rect style="width:0;height:1.5pt" o:hralign="center" o:hrstd="t" o:hr="t"/>
        </w:pict>
      </w:r>
    </w:p>
    <w:bookmarkEnd w:id="40"/>
    <w:bookmarkStart w:id="41" w:name="Xcd4edeafdffe0b81dd1e061e900bd624cb46410"/>
    <w:p>
      <w:pPr>
        <w:pStyle w:val="Heading2"/>
      </w:pPr>
      <w:r>
        <w:t xml:space="preserve">12. Governance Gap Found In The Course Of This Assessment</w:t>
      </w:r>
    </w:p>
    <w:p>
      <w:pPr>
        <w:pStyle w:val="FirstParagraph"/>
      </w:pPr>
      <w:r>
        <w:t xml:space="preserve">Every ADR and register entry in this document lists its owner as</w:t>
      </w:r>
      <w:r>
        <w:t xml:space="preserve"> </w:t>
      </w:r>
      <w:r>
        <w:t xml:space="preserve">“</w:t>
      </w:r>
      <w:r>
        <w:t xml:space="preserve">unassigned in repository.</w:t>
      </w:r>
      <w:r>
        <w:t xml:space="preserve">”</w:t>
      </w:r>
      <w:r>
        <w:t xml:space="preserve"> </w:t>
      </w:r>
      <w:r>
        <w:t xml:space="preserve">This was not a finding this document set out to make — it emerged from simply trying to fill in a standard ADR field. A governance framework with no named owners for architecture, data-governance, security, platform, and compliance decisions is a framework that can produce good documents (like this one) without a mechanism to ensure any of its dispositions are actually acted on. Recommend this be the first item resolved, ahead of any individual ADR’s own trigger — it is a precondition for every other recommendation in this document being executable rather than aspirational.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2026-07-08T11:24:24Z</dcterms:created>
  <dcterms:modified xsi:type="dcterms:W3CDTF">2026-07-08T11:24:24Z</dcterms:modified>
</cp:coreProperties>
</file>

<file path=docProps/custom.xml><?xml version="1.0" encoding="utf-8"?>
<Properties xmlns="http://schemas.openxmlformats.org/officeDocument/2006/custom-properties" xmlns:vt="http://schemas.openxmlformats.org/officeDocument/2006/docPropsVTypes"/>
</file>