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2A44"/>
          <w:sz w:val="44"/>
          <w:szCs w:val="44"/>
        </w:rPr>
        <w:t xml:space="preserve">ERP-01 — Phase A.3</w:t>
      </w:r>
    </w:p>
    <w:p>
      <w:pPr>
        <w:spacing w:after="80"/>
      </w:pPr>
      <w:r>
        <w:rPr>
          <w:b/>
          <w:bCs/>
          <w:color w:val="2E5C8A"/>
          <w:sz w:val="30"/>
          <w:szCs w:val="30"/>
        </w:rPr>
        <w:t xml:space="preserve">Enterprise Architecture Baseline &amp; Resolution Repository</w:t>
      </w:r>
    </w:p>
    <w:p>
      <w:pPr>
        <w:spacing w:after="160"/>
      </w:pPr>
      <w:r>
        <w:rPr>
          <w:i/>
          <w:iCs/>
          <w:sz w:val="22"/>
          <w:szCs w:val="22"/>
        </w:rPr>
        <w:t xml:space="preserve">HireRise Career Intelligence Platform</w:t>
      </w:r>
    </w:p>
    <w:p>
      <w:pPr>
        <w:spacing w:after="120"/>
      </w:pPr>
      <w:r>
        <w:rPr>
          <w:sz w:val="20"/>
          <w:szCs w:val="20"/>
        </w:rPr>
        <w:t xml:space="preserve">Version 1.0 | Status: DRAFT FOR REVIEW</w:t>
      </w:r>
    </w:p>
    <w:p>
      <w:pPr>
        <w:spacing w:after="120"/>
      </w:pPr>
      <w:r>
        <w:rPr>
          <w:sz w:val="20"/>
          <w:szCs w:val="20"/>
        </w:rPr>
        <w:t xml:space="preserve">Canonical evidence sources: ERP-01 Phase A.1 — Enterprise Physical Data Model Realization Assessment; ERP-01 Phase A.2 — Enterprise Architecture Governance &amp; Disposition Assessment.</w:t>
      </w:r>
    </w:p>
    <w:p>
      <w:pPr>
        <w:pStyle w:val="Heading1"/>
        <w:spacing w:after="120" w:before="300"/>
      </w:pPr>
      <w:r>
        <w:t xml:space="preserve">A Note on Scope and Method</w:t>
      </w:r>
    </w:p>
    <w:p>
      <w:pPr>
        <w:spacing w:after="120"/>
      </w:pPr>
      <w:r>
        <w:rPr>
          <w:sz w:val="20"/>
          <w:szCs w:val="20"/>
        </w:rPr>
        <w:t xml:space="preserve">This phase performs no new repository inspection and redesigns no architecture. It consolidates every finding, gap, ADR, and disposition already produced in Phase A.1 and Phase A.2 into permanent, cross-referenced enterprise identifiers. Where A.1/A.2 already assigned identifiers (Gaps G-01–G-07, ADR-001–007, Variances VAR-01–04, Conformance Requirements CR-01–07), this document maps them 1:1 onto the ID families below rather than re-deriving the underlying findings.</w:t>
      </w:r>
    </w:p>
    <w:p>
      <w:pPr>
        <w:spacing w:after="120"/>
      </w:pPr>
      <w:r>
        <w:rPr>
          <w:sz w:val="20"/>
          <w:szCs w:val="20"/>
        </w:rPr>
        <w:t xml:space="preserve">One correction is carried forward unchanged from Phase A.2: EEP-02 Phases A–J are not an approved architecture — Phases A–H do not exist in the repository, and Phases I–J exist only as unratified working drafts. Nothing below cites EEP-02 as evidence; every entry traces to EEP-01 Phase A and to Phase A.1/A.2 directly.</w:t>
      </w:r>
    </w:p>
    <w:p>
      <w:pPr>
        <w:spacing w:after="120"/>
      </w:pPr>
      <w:r>
        <w:rPr>
          <w:sz w:val="20"/>
          <w:szCs w:val="20"/>
        </w:rPr>
        <w:t xml:space="preserve">Permanent ID families introduced here, to be referenced (not reissued) by every subsequent ERP-01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2A44" w:val="clear"/>
            <w:tcMar>
              <w:top w:type="dxa" w:w="60"/>
              <w:left w:type="dxa" w:w="80"/>
              <w:bottom w:type="dxa" w:w="60"/>
              <w:right w:type="dxa" w:w="80"/>
            </w:tcMar>
          </w:tcPr>
          <w:p>
            <w:r>
              <w:rPr>
                <w:b/>
                <w:bCs/>
                <w:color w:val="FFFFFF"/>
                <w:sz w:val="17"/>
                <w:szCs w:val="17"/>
              </w:rPr>
              <w:t xml:space="preserve">Family</w:t>
            </w:r>
          </w:p>
        </w:tc>
        <w:tc>
          <w:tcPr>
            <w:shd w:fill="1F2A44" w:val="clear"/>
            <w:tcMar>
              <w:top w:type="dxa" w:w="60"/>
              <w:left w:type="dxa" w:w="80"/>
              <w:bottom w:type="dxa" w:w="60"/>
              <w:right w:type="dxa" w:w="80"/>
            </w:tcMar>
          </w:tcPr>
          <w:p>
            <w:r>
              <w:rPr>
                <w:b/>
                <w:bCs/>
                <w:color w:val="FFFFFF"/>
                <w:sz w:val="17"/>
                <w:szCs w:val="17"/>
              </w:rPr>
              <w:t xml:space="preserve">Meaning</w:t>
            </w:r>
          </w:p>
        </w:tc>
        <w:tc>
          <w:tcPr>
            <w:shd w:fill="1F2A44" w:val="clear"/>
            <w:tcMar>
              <w:top w:type="dxa" w:w="60"/>
              <w:left w:type="dxa" w:w="80"/>
              <w:bottom w:type="dxa" w:w="60"/>
              <w:right w:type="dxa" w:w="80"/>
            </w:tcMar>
          </w:tcPr>
          <w:p>
            <w:r>
              <w:rPr>
                <w:b/>
                <w:bCs/>
                <w:color w:val="FFFFFF"/>
                <w:sz w:val="17"/>
                <w:szCs w:val="17"/>
              </w:rPr>
              <w:t xml:space="preserve">Count established in this baseline</w:t>
            </w:r>
          </w:p>
        </w:tc>
      </w:tr>
      <w:tr>
        <w:tc>
          <w:tcPr>
            <w:tcMar>
              <w:top w:type="dxa" w:w="60"/>
              <w:left w:type="dxa" w:w="80"/>
              <w:bottom w:type="dxa" w:w="60"/>
              <w:right w:type="dxa" w:w="80"/>
            </w:tcMar>
          </w:tcPr>
          <w:p>
            <w:r>
              <w:rPr>
                <w:b w:val="false"/>
                <w:bCs w:val="false"/>
                <w:sz w:val="17"/>
                <w:szCs w:val="17"/>
              </w:rPr>
              <w:t xml:space="preserve">AP-xxx</w:t>
            </w:r>
          </w:p>
        </w:tc>
        <w:tc>
          <w:tcPr>
            <w:tcMar>
              <w:top w:type="dxa" w:w="60"/>
              <w:left w:type="dxa" w:w="80"/>
              <w:bottom w:type="dxa" w:w="60"/>
              <w:right w:type="dxa" w:w="80"/>
            </w:tcMar>
          </w:tcPr>
          <w:p>
            <w:r>
              <w:rPr>
                <w:b w:val="false"/>
                <w:bCs w:val="false"/>
                <w:sz w:val="17"/>
                <w:szCs w:val="17"/>
              </w:rPr>
              <w:t xml:space="preserve">Enterprise Architecture Principle</w:t>
            </w:r>
          </w:p>
        </w:tc>
        <w:tc>
          <w:tcPr>
            <w:tcMar>
              <w:top w:type="dxa" w:w="60"/>
              <w:left w:type="dxa" w:w="80"/>
              <w:bottom w:type="dxa" w:w="60"/>
              <w:right w:type="dxa" w:w="80"/>
            </w:tcMar>
          </w:tcPr>
          <w:p>
            <w:r>
              <w:rPr>
                <w:b w:val="false"/>
                <w:bCs w:val="false"/>
                <w:sz w:val="17"/>
                <w:szCs w:val="17"/>
              </w:rPr>
              <w:t xml:space="preserve">9</w:t>
            </w:r>
          </w:p>
        </w:tc>
      </w:tr>
      <w:tr>
        <w:tc>
          <w:tcPr>
            <w:shd w:fill="EFF3F7" w:val="clear"/>
            <w:tcMar>
              <w:top w:type="dxa" w:w="60"/>
              <w:left w:type="dxa" w:w="80"/>
              <w:bottom w:type="dxa" w:w="60"/>
              <w:right w:type="dxa" w:w="80"/>
            </w:tcMar>
          </w:tcPr>
          <w:p>
            <w:r>
              <w:rPr>
                <w:b w:val="false"/>
                <w:bCs w:val="false"/>
                <w:sz w:val="17"/>
                <w:szCs w:val="17"/>
              </w:rPr>
              <w:t xml:space="preserve">AR-xxxx</w:t>
            </w:r>
          </w:p>
        </w:tc>
        <w:tc>
          <w:tcPr>
            <w:shd w:fill="EFF3F7" w:val="clear"/>
            <w:tcMar>
              <w:top w:type="dxa" w:w="60"/>
              <w:left w:type="dxa" w:w="80"/>
              <w:bottom w:type="dxa" w:w="60"/>
              <w:right w:type="dxa" w:w="80"/>
            </w:tcMar>
          </w:tcPr>
          <w:p>
            <w:r>
              <w:rPr>
                <w:b w:val="false"/>
                <w:bCs w:val="false"/>
                <w:sz w:val="17"/>
                <w:szCs w:val="17"/>
              </w:rPr>
              <w:t xml:space="preserve">Architecture Requirement</w:t>
            </w:r>
          </w:p>
        </w:tc>
        <w:tc>
          <w:tcPr>
            <w:shd w:fill="EFF3F7" w:val="clear"/>
            <w:tcMar>
              <w:top w:type="dxa" w:w="60"/>
              <w:left w:type="dxa" w:w="80"/>
              <w:bottom w:type="dxa" w:w="60"/>
              <w:right w:type="dxa" w:w="80"/>
            </w:tcMar>
          </w:tcPr>
          <w:p>
            <w:r>
              <w:rPr>
                <w:b w:val="false"/>
                <w:bCs w:val="false"/>
                <w:sz w:val="17"/>
                <w:szCs w:val="17"/>
              </w:rPr>
              <w:t xml:space="preserve">10</w:t>
            </w:r>
          </w:p>
        </w:tc>
      </w:tr>
      <w:tr>
        <w:tc>
          <w:tcPr>
            <w:tcMar>
              <w:top w:type="dxa" w:w="60"/>
              <w:left w:type="dxa" w:w="80"/>
              <w:bottom w:type="dxa" w:w="60"/>
              <w:right w:type="dxa" w:w="80"/>
            </w:tcMar>
          </w:tcPr>
          <w:p>
            <w:r>
              <w:rPr>
                <w:b w:val="false"/>
                <w:bCs w:val="false"/>
                <w:sz w:val="17"/>
                <w:szCs w:val="17"/>
              </w:rPr>
              <w:t xml:space="preserve">EGD-xxxx</w:t>
            </w:r>
          </w:p>
        </w:tc>
        <w:tc>
          <w:tcPr>
            <w:tcMar>
              <w:top w:type="dxa" w:w="60"/>
              <w:left w:type="dxa" w:w="80"/>
              <w:bottom w:type="dxa" w:w="60"/>
              <w:right w:type="dxa" w:w="80"/>
            </w:tcMar>
          </w:tcPr>
          <w:p>
            <w:r>
              <w:rPr>
                <w:b w:val="false"/>
                <w:bCs w:val="false"/>
                <w:sz w:val="17"/>
                <w:szCs w:val="17"/>
              </w:rPr>
              <w:t xml:space="preserve">Enterprise Governance Decision</w:t>
            </w:r>
          </w:p>
        </w:tc>
        <w:tc>
          <w:tcPr>
            <w:tcMar>
              <w:top w:type="dxa" w:w="60"/>
              <w:left w:type="dxa" w:w="80"/>
              <w:bottom w:type="dxa" w:w="60"/>
              <w:right w:type="dxa" w:w="80"/>
            </w:tcMar>
          </w:tcPr>
          <w:p>
            <w:r>
              <w:rPr>
                <w:b w:val="false"/>
                <w:bCs w:val="false"/>
                <w:sz w:val="17"/>
                <w:szCs w:val="17"/>
              </w:rPr>
              <w:t xml:space="preserve">9</w:t>
            </w:r>
          </w:p>
        </w:tc>
      </w:tr>
      <w:tr>
        <w:tc>
          <w:tcPr>
            <w:shd w:fill="EFF3F7" w:val="clear"/>
            <w:tcMar>
              <w:top w:type="dxa" w:w="60"/>
              <w:left w:type="dxa" w:w="80"/>
              <w:bottom w:type="dxa" w:w="60"/>
              <w:right w:type="dxa" w:w="80"/>
            </w:tcMar>
          </w:tcPr>
          <w:p>
            <w:r>
              <w:rPr>
                <w:b w:val="false"/>
                <w:bCs w:val="false"/>
                <w:sz w:val="17"/>
                <w:szCs w:val="17"/>
              </w:rPr>
              <w:t xml:space="preserve">ER-xxxx</w:t>
            </w:r>
          </w:p>
        </w:tc>
        <w:tc>
          <w:tcPr>
            <w:shd w:fill="EFF3F7" w:val="clear"/>
            <w:tcMar>
              <w:top w:type="dxa" w:w="60"/>
              <w:left w:type="dxa" w:w="80"/>
              <w:bottom w:type="dxa" w:w="60"/>
              <w:right w:type="dxa" w:w="80"/>
            </w:tcMar>
          </w:tcPr>
          <w:p>
            <w:r>
              <w:rPr>
                <w:b w:val="false"/>
                <w:bCs w:val="false"/>
                <w:sz w:val="17"/>
                <w:szCs w:val="17"/>
              </w:rPr>
              <w:t xml:space="preserve">Enterprise Resolution</w:t>
            </w:r>
          </w:p>
        </w:tc>
        <w:tc>
          <w:tcPr>
            <w:shd w:fill="EFF3F7" w:val="clear"/>
            <w:tcMar>
              <w:top w:type="dxa" w:w="60"/>
              <w:left w:type="dxa" w:w="80"/>
              <w:bottom w:type="dxa" w:w="60"/>
              <w:right w:type="dxa" w:w="80"/>
            </w:tcMar>
          </w:tcPr>
          <w:p>
            <w:r>
              <w:rPr>
                <w:b w:val="false"/>
                <w:bCs w:val="false"/>
                <w:sz w:val="17"/>
                <w:szCs w:val="17"/>
              </w:rPr>
              <w:t xml:space="preserve">10</w:t>
            </w:r>
          </w:p>
        </w:tc>
      </w:tr>
      <w:tr>
        <w:tc>
          <w:tcPr>
            <w:tcMar>
              <w:top w:type="dxa" w:w="60"/>
              <w:left w:type="dxa" w:w="80"/>
              <w:bottom w:type="dxa" w:w="60"/>
              <w:right w:type="dxa" w:w="80"/>
            </w:tcMar>
          </w:tcPr>
          <w:p>
            <w:r>
              <w:rPr>
                <w:b w:val="false"/>
                <w:bCs w:val="false"/>
                <w:sz w:val="17"/>
                <w:szCs w:val="17"/>
              </w:rPr>
              <w:t xml:space="preserve">VAR-xx</w:t>
            </w:r>
          </w:p>
        </w:tc>
        <w:tc>
          <w:tcPr>
            <w:tcMar>
              <w:top w:type="dxa" w:w="60"/>
              <w:left w:type="dxa" w:w="80"/>
              <w:bottom w:type="dxa" w:w="60"/>
              <w:right w:type="dxa" w:w="80"/>
            </w:tcMar>
          </w:tcPr>
          <w:p>
            <w:r>
              <w:rPr>
                <w:b w:val="false"/>
                <w:bCs w:val="false"/>
                <w:sz w:val="17"/>
                <w:szCs w:val="17"/>
              </w:rPr>
              <w:t xml:space="preserve">Variance (reused verbatim from Phase A.2 §7)</w:t>
            </w:r>
          </w:p>
        </w:tc>
        <w:tc>
          <w:tcPr>
            <w:tcMar>
              <w:top w:type="dxa" w:w="60"/>
              <w:left w:type="dxa" w:w="80"/>
              <w:bottom w:type="dxa" w:w="60"/>
              <w:right w:type="dxa" w:w="80"/>
            </w:tcMar>
          </w:tcPr>
          <w:p>
            <w:r>
              <w:rPr>
                <w:b w:val="false"/>
                <w:bCs w:val="false"/>
                <w:sz w:val="17"/>
                <w:szCs w:val="17"/>
              </w:rPr>
              <w:t xml:space="preserve">4</w:t>
            </w:r>
          </w:p>
        </w:tc>
      </w:tr>
      <w:tr>
        <w:tc>
          <w:tcPr>
            <w:shd w:fill="EFF3F7" w:val="clear"/>
            <w:tcMar>
              <w:top w:type="dxa" w:w="60"/>
              <w:left w:type="dxa" w:w="80"/>
              <w:bottom w:type="dxa" w:w="60"/>
              <w:right w:type="dxa" w:w="80"/>
            </w:tcMar>
          </w:tcPr>
          <w:p>
            <w:r>
              <w:rPr>
                <w:b w:val="false"/>
                <w:bCs w:val="false"/>
                <w:sz w:val="17"/>
                <w:szCs w:val="17"/>
              </w:rPr>
              <w:t xml:space="preserve">WP-xxxx</w:t>
            </w:r>
          </w:p>
        </w:tc>
        <w:tc>
          <w:tcPr>
            <w:shd w:fill="EFF3F7" w:val="clear"/>
            <w:tcMar>
              <w:top w:type="dxa" w:w="60"/>
              <w:left w:type="dxa" w:w="80"/>
              <w:bottom w:type="dxa" w:w="60"/>
              <w:right w:type="dxa" w:w="80"/>
            </w:tcMar>
          </w:tcPr>
          <w:p>
            <w:r>
              <w:rPr>
                <w:b w:val="false"/>
                <w:bCs w:val="false"/>
                <w:sz w:val="17"/>
                <w:szCs w:val="17"/>
              </w:rPr>
              <w:t xml:space="preserve">Work Package</w:t>
            </w:r>
          </w:p>
        </w:tc>
        <w:tc>
          <w:tcPr>
            <w:shd w:fill="EFF3F7" w:val="clear"/>
            <w:tcMar>
              <w:top w:type="dxa" w:w="60"/>
              <w:left w:type="dxa" w:w="80"/>
              <w:bottom w:type="dxa" w:w="60"/>
              <w:right w:type="dxa" w:w="80"/>
            </w:tcMar>
          </w:tcPr>
          <w:p>
            <w:r>
              <w:rPr>
                <w:b w:val="false"/>
                <w:bCs w:val="false"/>
                <w:sz w:val="17"/>
                <w:szCs w:val="17"/>
              </w:rPr>
              <w:t xml:space="preserve">6</w:t>
            </w:r>
          </w:p>
        </w:tc>
      </w:tr>
      <w:tr>
        <w:tc>
          <w:tcPr>
            <w:tcMar>
              <w:top w:type="dxa" w:w="60"/>
              <w:left w:type="dxa" w:w="80"/>
              <w:bottom w:type="dxa" w:w="60"/>
              <w:right w:type="dxa" w:w="80"/>
            </w:tcMar>
          </w:tcPr>
          <w:p>
            <w:r>
              <w:rPr>
                <w:b w:val="false"/>
                <w:bCs w:val="false"/>
                <w:sz w:val="17"/>
                <w:szCs w:val="17"/>
              </w:rPr>
              <w:t xml:space="preserve">KPI-xx</w:t>
            </w:r>
          </w:p>
        </w:tc>
        <w:tc>
          <w:tcPr>
            <w:tcMar>
              <w:top w:type="dxa" w:w="60"/>
              <w:left w:type="dxa" w:w="80"/>
              <w:bottom w:type="dxa" w:w="60"/>
              <w:right w:type="dxa" w:w="80"/>
            </w:tcMar>
          </w:tcPr>
          <w:p>
            <w:r>
              <w:rPr>
                <w:b w:val="false"/>
                <w:bCs w:val="false"/>
                <w:sz w:val="17"/>
                <w:szCs w:val="17"/>
              </w:rPr>
              <w:t xml:space="preserve">Key Performance Indicator</w:t>
            </w:r>
          </w:p>
        </w:tc>
        <w:tc>
          <w:tcPr>
            <w:tcMar>
              <w:top w:type="dxa" w:w="60"/>
              <w:left w:type="dxa" w:w="80"/>
              <w:bottom w:type="dxa" w:w="60"/>
              <w:right w:type="dxa" w:w="80"/>
            </w:tcMar>
          </w:tcPr>
          <w:p>
            <w:r>
              <w:rPr>
                <w:b w:val="false"/>
                <w:bCs w:val="false"/>
                <w:sz w:val="17"/>
                <w:szCs w:val="17"/>
              </w:rPr>
              <w:t xml:space="preserve">10</w:t>
            </w:r>
          </w:p>
        </w:tc>
      </w:tr>
    </w:tbl>
    <w:p>
      <w:r>
        <w:br w:type="page"/>
      </w:r>
    </w:p>
    <w:p>
      <w:pPr>
        <w:pStyle w:val="Heading1"/>
        <w:spacing w:after="120" w:before="300"/>
      </w:pPr>
      <w:r>
        <w:t xml:space="preserve">1. Enterprise Architecture Baseline</w:t>
      </w:r>
    </w:p>
    <w:p>
      <w:pPr>
        <w:spacing w:after="120"/>
      </w:pPr>
      <w:r>
        <w:rPr>
          <w:sz w:val="20"/>
          <w:szCs w:val="20"/>
        </w:rPr>
        <w:t xml:space="preserve">Current enterprise state, in one view. Full detail for each line is in the registers that follow.</w:t>
      </w:r>
    </w:p>
    <w:p>
      <w:pPr>
        <w:pStyle w:val="Heading2"/>
        <w:spacing w:after="100" w:before="220"/>
      </w:pPr>
      <w:r>
        <w:t xml:space="preserve">1.1 Current Repository Baseline</w:t>
      </w:r>
    </w:p>
    <w:p>
      <w:pPr>
        <w:spacing w:after="120"/>
      </w:pPr>
      <w:r>
        <w:rPr>
          <w:sz w:val="20"/>
          <w:szCs w:val="20"/>
        </w:rPr>
        <w:t xml:space="preserve">The live schema is a single, unscoped public-schema table set (student_education_profiles, student_academic_records, student_academic_subjects, student_activities plus achievement/reflection tables, student_cognitive_responses and related cognitive tables, student_signal_vectors and related intelligence-signal tables), independently engineered with UUID primary keys, timestamptz throughout, updated_at triggers, native enums, and check constraints. Confirmed RLS coverage exists on student_academic_records and student_academic_subjects; coverage on activity/cognitive/signal tables is unverified (AR-0007).</w:t>
      </w:r>
    </w:p>
    <w:p>
      <w:pPr>
        <w:pStyle w:val="Heading2"/>
        <w:spacing w:after="100" w:before="220"/>
      </w:pPr>
      <w:r>
        <w:t xml:space="preserve">1.2 Approved Architecture Baseline</w:t>
      </w:r>
    </w:p>
    <w:p>
      <w:pPr>
        <w:spacing w:after="120"/>
      </w:pPr>
      <w:r>
        <w:rPr>
          <w:sz w:val="20"/>
          <w:szCs w:val="20"/>
        </w:rPr>
        <w:t xml:space="preserve">EEP-01 Phase A's specific named design (academic_domain schema, 26 canonical tables, _code+taxonomy_version_id pattern, native partitioning) is not the operative baseline going forward. Per EGD-0002 (Supersede), the live schema — once formally documented — becomes the canonical baseline. The underlying engineering principles Phase A was protecting (naming clarity, referential integrity, ownership-scoped security) remain in force; the specific target table names and schema-isolation design do not.</w:t>
      </w:r>
    </w:p>
    <w:p>
      <w:pPr>
        <w:pStyle w:val="Heading2"/>
        <w:spacing w:after="100" w:before="220"/>
      </w:pPr>
      <w:r>
        <w:t xml:space="preserve">1.3 Approved Variances</w:t>
      </w:r>
    </w:p>
    <w:p>
      <w:pPr>
        <w:spacing w:after="120"/>
      </w:pPr>
      <w:r>
        <w:rPr>
          <w:sz w:val="20"/>
          <w:szCs w:val="20"/>
        </w:rPr>
        <w:t xml:space="preserve">Four variances are approved and logged in the Variance Register (§6): schema non-isolation (VAR-01), structural divergence from Phase A's entity design (VAR-02, treated as a positive variance), direct-FK taxonomy references (VAR-03, conditional), and absence of partitioning (VAR-04).</w:t>
      </w:r>
    </w:p>
    <w:p>
      <w:pPr>
        <w:pStyle w:val="Heading2"/>
        <w:spacing w:after="100" w:before="220"/>
      </w:pPr>
      <w:r>
        <w:t xml:space="preserve">1.4 Deferred Decisions</w:t>
      </w:r>
    </w:p>
    <w:p>
      <w:pPr>
        <w:spacing w:after="120"/>
      </w:pPr>
      <w:r>
        <w:rPr>
          <w:sz w:val="20"/>
          <w:szCs w:val="20"/>
        </w:rPr>
        <w:t xml:space="preserve">Four decisions are deferred with explicit, monitorable triggers rather than accepted or rejected outright: schema isolation (EGD-0001), partitioning (EGD-0004), qualification/subject-selection separation (EGD-0005), and the supersession/versioning model (EGD-0006, flagged as the one deferral with a genuinely irreversible cost).</w:t>
      </w:r>
    </w:p>
    <w:p>
      <w:pPr>
        <w:pStyle w:val="Heading2"/>
        <w:spacing w:after="100" w:before="220"/>
      </w:pPr>
      <w:r>
        <w:t xml:space="preserve">1.5 Accepted Decisions</w:t>
      </w:r>
    </w:p>
    <w:p>
      <w:pPr>
        <w:spacing w:after="120"/>
      </w:pPr>
      <w:r>
        <w:rPr>
          <w:sz w:val="20"/>
          <w:szCs w:val="20"/>
        </w:rPr>
        <w:t xml:space="preserve">Direct-FK taxonomy referencing is accepted conditionally (EGD-0003). UUID primary keys, timestamptz discipline, and migration idempotency/rollback practice are accepted unconditionally as the current mandatory standard (EGD-0008, EGD-0009) — the implementation exceeds Phase A's own bar on these dimensions.</w:t>
      </w:r>
    </w:p>
    <w:p>
      <w:pPr>
        <w:pStyle w:val="Heading2"/>
        <w:spacing w:after="100" w:before="220"/>
      </w:pPr>
      <w:r>
        <w:t xml:space="preserve">1.6 Superseded Architecture</w:t>
      </w:r>
    </w:p>
    <w:p>
      <w:pPr>
        <w:spacing w:after="120"/>
      </w:pPr>
      <w:r>
        <w:rPr>
          <w:sz w:val="20"/>
          <w:szCs w:val="20"/>
        </w:rPr>
        <w:t xml:space="preserve">The specific 26-table canonical naming scheme (student_profile, ref_board, academic_qualification, etc.) is superseded as a literal target (EGD-0002). It is retained only as historical record once the revised Phase A document (WP-0001) is published.</w:t>
      </w:r>
    </w:p>
    <w:p>
      <w:pPr>
        <w:pStyle w:val="Heading2"/>
        <w:spacing w:after="100" w:before="220"/>
      </w:pPr>
      <w:r>
        <w:t xml:space="preserve">1.7 Pending Realization</w:t>
      </w:r>
    </w:p>
    <w:p>
      <w:pPr>
        <w:spacing w:after="120"/>
      </w:pPr>
      <w:r>
        <w:rPr>
          <w:sz w:val="20"/>
          <w:szCs w:val="20"/>
        </w:rPr>
        <w:t xml:space="preserve">RLS coverage verification across all student-owned tables is accepted for immediate execution, not deferred (EGD-0007 / WP-0002) — the only item in this baseline treated as an open unknown rather than a governed variance.</w:t>
      </w:r>
    </w:p>
    <w:p>
      <w:pPr>
        <w:pStyle w:val="Heading2"/>
        <w:spacing w:after="100" w:before="220"/>
      </w:pPr>
      <w:r>
        <w:t xml:space="preserve">1.8 Future Architecture</w:t>
      </w:r>
    </w:p>
    <w:p>
      <w:pPr>
        <w:spacing w:after="120"/>
      </w:pPr>
      <w:r>
        <w:rPr>
          <w:sz w:val="20"/>
          <w:szCs w:val="20"/>
        </w:rPr>
        <w:t xml:space="preserve">Qualification/subject-selection separation and the supersession/versioning model remain valid future architecture, gated on product and compliance triggers respectively (§9, Architecture Evolution Roadmap). Schema isolation and partitioning remain valid future architecture, gated on measurable scale/collision triggers.</w:t>
      </w:r>
    </w:p>
    <w:p>
      <w:r>
        <w:br w:type="page"/>
      </w:r>
    </w:p>
    <w:p>
      <w:pPr>
        <w:pStyle w:val="Heading1"/>
        <w:spacing w:after="120" w:before="300"/>
      </w:pPr>
      <w:r>
        <w:t xml:space="preserve">2. Enterprise Architecture Principles Register</w:t>
      </w:r>
    </w:p>
    <w:p>
      <w:pPr>
        <w:spacing w:after="120"/>
      </w:pPr>
      <w:r>
        <w:rPr>
          <w:sz w:val="20"/>
          <w:szCs w:val="20"/>
        </w:rPr>
        <w:t xml:space="preserve">Nine permanent principles. AP-001–008 restate this program's stated governance principles; AP-009 is elevated from a finding that recurred across every ADR and register entry in Phase A.2 and is treated here as a first-class principle rather than a footnote.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2A44" w:val="clear"/>
            <w:tcMar>
              <w:top w:type="dxa" w:w="60"/>
              <w:left w:type="dxa" w:w="80"/>
              <w:bottom w:type="dxa" w:w="60"/>
              <w:right w:type="dxa" w:w="80"/>
            </w:tcMar>
          </w:tcPr>
          <w:p>
            <w:r>
              <w:rPr>
                <w:b/>
                <w:bCs/>
                <w:color w:val="FFFFFF"/>
                <w:sz w:val="17"/>
                <w:szCs w:val="17"/>
              </w:rPr>
              <w:t xml:space="preserve">ID</w:t>
            </w:r>
          </w:p>
        </w:tc>
        <w:tc>
          <w:tcPr>
            <w:shd w:fill="1F2A44" w:val="clear"/>
            <w:tcMar>
              <w:top w:type="dxa" w:w="60"/>
              <w:left w:type="dxa" w:w="80"/>
              <w:bottom w:type="dxa" w:w="60"/>
              <w:right w:type="dxa" w:w="80"/>
            </w:tcMar>
          </w:tcPr>
          <w:p>
            <w:r>
              <w:rPr>
                <w:b/>
                <w:bCs/>
                <w:color w:val="FFFFFF"/>
                <w:sz w:val="17"/>
                <w:szCs w:val="17"/>
              </w:rPr>
              <w:t xml:space="preserve">Statement</w:t>
            </w:r>
          </w:p>
        </w:tc>
        <w:tc>
          <w:tcPr>
            <w:shd w:fill="1F2A44" w:val="clear"/>
            <w:tcMar>
              <w:top w:type="dxa" w:w="60"/>
              <w:left w:type="dxa" w:w="80"/>
              <w:bottom w:type="dxa" w:w="60"/>
              <w:right w:type="dxa" w:w="80"/>
            </w:tcMar>
          </w:tcPr>
          <w:p>
            <w:r>
              <w:rPr>
                <w:b/>
                <w:bCs/>
                <w:color w:val="FFFFFF"/>
                <w:sz w:val="17"/>
                <w:szCs w:val="17"/>
              </w:rPr>
              <w:t xml:space="preserve">Rationale</w:t>
            </w:r>
          </w:p>
        </w:tc>
        <w:tc>
          <w:tcPr>
            <w:shd w:fill="1F2A44" w:val="clear"/>
            <w:tcMar>
              <w:top w:type="dxa" w:w="60"/>
              <w:left w:type="dxa" w:w="80"/>
              <w:bottom w:type="dxa" w:w="60"/>
              <w:right w:type="dxa" w:w="80"/>
            </w:tcMar>
          </w:tcPr>
          <w:p>
            <w:r>
              <w:rPr>
                <w:b/>
                <w:bCs/>
                <w:color w:val="FFFFFF"/>
                <w:sz w:val="17"/>
                <w:szCs w:val="17"/>
              </w:rPr>
              <w:t xml:space="preserve">Business Impact</w:t>
            </w:r>
          </w:p>
        </w:tc>
        <w:tc>
          <w:tcPr>
            <w:shd w:fill="1F2A44" w:val="clear"/>
            <w:tcMar>
              <w:top w:type="dxa" w:w="60"/>
              <w:left w:type="dxa" w:w="80"/>
              <w:bottom w:type="dxa" w:w="60"/>
              <w:right w:type="dxa" w:w="80"/>
            </w:tcMar>
          </w:tcPr>
          <w:p>
            <w:r>
              <w:rPr>
                <w:b/>
                <w:bCs/>
                <w:color w:val="FFFFFF"/>
                <w:sz w:val="17"/>
                <w:szCs w:val="17"/>
              </w:rPr>
              <w:t xml:space="preserve">Technical Impact</w:t>
            </w:r>
          </w:p>
        </w:tc>
        <w:tc>
          <w:tcPr>
            <w:shd w:fill="1F2A44" w:val="clear"/>
            <w:tcMar>
              <w:top w:type="dxa" w:w="60"/>
              <w:left w:type="dxa" w:w="80"/>
              <w:bottom w:type="dxa" w:w="60"/>
              <w:right w:type="dxa" w:w="80"/>
            </w:tcMar>
          </w:tcPr>
          <w:p>
            <w:r>
              <w:rPr>
                <w:b/>
                <w:bCs/>
                <w:color w:val="FFFFFF"/>
                <w:sz w:val="17"/>
                <w:szCs w:val="17"/>
              </w:rPr>
              <w:t xml:space="preserve">Governance Status</w:t>
            </w:r>
          </w:p>
        </w:tc>
        <w:tc>
          <w:tcPr>
            <w:shd w:fill="1F2A44" w:val="clear"/>
            <w:tcMar>
              <w:top w:type="dxa" w:w="60"/>
              <w:left w:type="dxa" w:w="80"/>
              <w:bottom w:type="dxa" w:w="60"/>
              <w:right w:type="dxa" w:w="80"/>
            </w:tcMar>
          </w:tcPr>
          <w:p>
            <w:r>
              <w:rPr>
                <w:b/>
                <w:bCs/>
                <w:color w:val="FFFFFF"/>
                <w:sz w:val="17"/>
                <w:szCs w:val="17"/>
              </w:rPr>
              <w:t xml:space="preserve">Compliance Requirement</w:t>
            </w:r>
          </w:p>
        </w:tc>
      </w:tr>
      <w:tr>
        <w:tc>
          <w:tcPr>
            <w:tcMar>
              <w:top w:type="dxa" w:w="60"/>
              <w:left w:type="dxa" w:w="80"/>
              <w:bottom w:type="dxa" w:w="60"/>
              <w:right w:type="dxa" w:w="80"/>
            </w:tcMar>
          </w:tcPr>
          <w:p>
            <w:r>
              <w:rPr>
                <w:b w:val="false"/>
                <w:bCs w:val="false"/>
                <w:sz w:val="17"/>
                <w:szCs w:val="17"/>
              </w:rPr>
              <w:t xml:space="preserve">AP-001</w:t>
            </w:r>
          </w:p>
        </w:tc>
        <w:tc>
          <w:tcPr>
            <w:tcMar>
              <w:top w:type="dxa" w:w="60"/>
              <w:left w:type="dxa" w:w="80"/>
              <w:bottom w:type="dxa" w:w="60"/>
              <w:right w:type="dxa" w:w="80"/>
            </w:tcMar>
          </w:tcPr>
          <w:p>
            <w:r>
              <w:rPr>
                <w:b w:val="false"/>
                <w:bCs w:val="false"/>
                <w:sz w:val="17"/>
                <w:szCs w:val="17"/>
              </w:rPr>
              <w:t xml:space="preserve">Architecture is the strategic source of truth, but is corrigible by evidence.</w:t>
            </w:r>
          </w:p>
        </w:tc>
        <w:tc>
          <w:tcPr>
            <w:tcMar>
              <w:top w:type="dxa" w:w="60"/>
              <w:left w:type="dxa" w:w="80"/>
              <w:bottom w:type="dxa" w:w="60"/>
              <w:right w:type="dxa" w:w="80"/>
            </w:tcMar>
          </w:tcPr>
          <w:p>
            <w:r>
              <w:rPr>
                <w:b w:val="false"/>
                <w:bCs w:val="false"/>
                <w:sz w:val="17"/>
                <w:szCs w:val="17"/>
              </w:rPr>
              <w:t xml:space="preserve">Phase A.2 explicitly rejects both 'implementation is superior because it exists' and 'architecture is always correct' — the deciding factor is evidence, not precedence.</w:t>
            </w:r>
          </w:p>
        </w:tc>
        <w:tc>
          <w:tcPr>
            <w:tcMar>
              <w:top w:type="dxa" w:w="60"/>
              <w:left w:type="dxa" w:w="80"/>
              <w:bottom w:type="dxa" w:w="60"/>
              <w:right w:type="dxa" w:w="80"/>
            </w:tcMar>
          </w:tcPr>
          <w:p>
            <w:r>
              <w:rPr>
                <w:b w:val="false"/>
                <w:bCs w:val="false"/>
                <w:sz w:val="17"/>
                <w:szCs w:val="17"/>
              </w:rPr>
              <w:t xml:space="preserve">Prevents both stale documentation and undisciplined drift.</w:t>
            </w:r>
          </w:p>
        </w:tc>
        <w:tc>
          <w:tcPr>
            <w:tcMar>
              <w:top w:type="dxa" w:w="60"/>
              <w:left w:type="dxa" w:w="80"/>
              <w:bottom w:type="dxa" w:w="60"/>
              <w:right w:type="dxa" w:w="80"/>
            </w:tcMar>
          </w:tcPr>
          <w:p>
            <w:r>
              <w:rPr>
                <w:b w:val="false"/>
                <w:bCs w:val="false"/>
                <w:sz w:val="17"/>
                <w:szCs w:val="17"/>
              </w:rPr>
              <w:t xml:space="preserve">Anchors every ADR's disposition logic.</w:t>
            </w:r>
          </w:p>
        </w:tc>
        <w:tc>
          <w:tcPr>
            <w:tcMar>
              <w:top w:type="dxa" w:w="60"/>
              <w:left w:type="dxa" w:w="80"/>
              <w:bottom w:type="dxa" w:w="60"/>
              <w:right w:type="dxa" w:w="80"/>
            </w:tcMar>
          </w:tcPr>
          <w:p>
            <w:r>
              <w:rPr>
                <w:b w:val="false"/>
                <w:bCs w:val="false"/>
                <w:sz w:val="17"/>
                <w:szCs w:val="17"/>
              </w:rPr>
              <w:t xml:space="preserve">Active</w:t>
            </w:r>
          </w:p>
        </w:tc>
        <w:tc>
          <w:tcPr>
            <w:tcMar>
              <w:top w:type="dxa" w:w="60"/>
              <w:left w:type="dxa" w:w="80"/>
              <w:bottom w:type="dxa" w:w="60"/>
              <w:right w:type="dxa" w:w="80"/>
            </w:tcMar>
          </w:tcPr>
          <w:p>
            <w:r>
              <w:rPr>
                <w:b w:val="false"/>
                <w:bCs w:val="false"/>
                <w:sz w:val="17"/>
                <w:szCs w:val="17"/>
              </w:rPr>
              <w:t xml:space="preserve">Every architecture claim must cite repository evidence.</w:t>
            </w:r>
          </w:p>
        </w:tc>
      </w:tr>
      <w:tr>
        <w:tc>
          <w:tcPr>
            <w:shd w:fill="EFF3F7" w:val="clear"/>
            <w:tcMar>
              <w:top w:type="dxa" w:w="60"/>
              <w:left w:type="dxa" w:w="80"/>
              <w:bottom w:type="dxa" w:w="60"/>
              <w:right w:type="dxa" w:w="80"/>
            </w:tcMar>
          </w:tcPr>
          <w:p>
            <w:r>
              <w:rPr>
                <w:b w:val="false"/>
                <w:bCs w:val="false"/>
                <w:sz w:val="17"/>
                <w:szCs w:val="17"/>
              </w:rPr>
              <w:t xml:space="preserve">AP-002</w:t>
            </w:r>
          </w:p>
        </w:tc>
        <w:tc>
          <w:tcPr>
            <w:shd w:fill="EFF3F7" w:val="clear"/>
            <w:tcMar>
              <w:top w:type="dxa" w:w="60"/>
              <w:left w:type="dxa" w:w="80"/>
              <w:bottom w:type="dxa" w:w="60"/>
              <w:right w:type="dxa" w:w="80"/>
            </w:tcMar>
          </w:tcPr>
          <w:p>
            <w:r>
              <w:rPr>
                <w:b w:val="false"/>
                <w:bCs w:val="false"/>
                <w:sz w:val="17"/>
                <w:szCs w:val="17"/>
              </w:rPr>
              <w:t xml:space="preserve">Repository evidence governs implementation decisions.</w:t>
            </w:r>
          </w:p>
        </w:tc>
        <w:tc>
          <w:tcPr>
            <w:shd w:fill="EFF3F7" w:val="clear"/>
            <w:tcMar>
              <w:top w:type="dxa" w:w="60"/>
              <w:left w:type="dxa" w:w="80"/>
              <w:bottom w:type="dxa" w:w="60"/>
              <w:right w:type="dxa" w:w="80"/>
            </w:tcMar>
          </w:tcPr>
          <w:p>
            <w:r>
              <w:rPr>
                <w:b w:val="false"/>
                <w:bCs w:val="false"/>
                <w:sz w:val="17"/>
                <w:szCs w:val="17"/>
              </w:rPr>
              <w:t xml:space="preserve">Phase A.1's entire method: conformance was checked against migration files, not intent.</w:t>
            </w:r>
          </w:p>
        </w:tc>
        <w:tc>
          <w:tcPr>
            <w:shd w:fill="EFF3F7" w:val="clear"/>
            <w:tcMar>
              <w:top w:type="dxa" w:w="60"/>
              <w:left w:type="dxa" w:w="80"/>
              <w:bottom w:type="dxa" w:w="60"/>
              <w:right w:type="dxa" w:w="80"/>
            </w:tcMar>
          </w:tcPr>
          <w:p>
            <w:r>
              <w:rPr>
                <w:b w:val="false"/>
                <w:bCs w:val="false"/>
                <w:sz w:val="17"/>
                <w:szCs w:val="17"/>
              </w:rPr>
              <w:t xml:space="preserve">Grounds decisions in what is actually running.</w:t>
            </w:r>
          </w:p>
        </w:tc>
        <w:tc>
          <w:tcPr>
            <w:shd w:fill="EFF3F7" w:val="clear"/>
            <w:tcMar>
              <w:top w:type="dxa" w:w="60"/>
              <w:left w:type="dxa" w:w="80"/>
              <w:bottom w:type="dxa" w:w="60"/>
              <w:right w:type="dxa" w:w="80"/>
            </w:tcMar>
          </w:tcPr>
          <w:p>
            <w:r>
              <w:rPr>
                <w:b w:val="false"/>
                <w:bCs w:val="false"/>
                <w:sz w:val="17"/>
                <w:szCs w:val="17"/>
              </w:rPr>
              <w:t xml:space="preserve">Requires evidence citation on every finding.</w:t>
            </w:r>
          </w:p>
        </w:tc>
        <w:tc>
          <w:tcPr>
            <w:shd w:fill="EFF3F7" w:val="clear"/>
            <w:tcMar>
              <w:top w:type="dxa" w:w="60"/>
              <w:left w:type="dxa" w:w="80"/>
              <w:bottom w:type="dxa" w:w="60"/>
              <w:right w:type="dxa" w:w="80"/>
            </w:tcMar>
          </w:tcPr>
          <w:p>
            <w:r>
              <w:rPr>
                <w:b w:val="false"/>
                <w:bCs w:val="false"/>
                <w:sz w:val="17"/>
                <w:szCs w:val="17"/>
              </w:rPr>
              <w:t xml:space="preserve">Active</w:t>
            </w:r>
          </w:p>
        </w:tc>
        <w:tc>
          <w:tcPr>
            <w:shd w:fill="EFF3F7" w:val="clear"/>
            <w:tcMar>
              <w:top w:type="dxa" w:w="60"/>
              <w:left w:type="dxa" w:w="80"/>
              <w:bottom w:type="dxa" w:w="60"/>
              <w:right w:type="dxa" w:w="80"/>
            </w:tcMar>
          </w:tcPr>
          <w:p>
            <w:r>
              <w:rPr>
                <w:b w:val="false"/>
                <w:bCs w:val="false"/>
                <w:sz w:val="17"/>
                <w:szCs w:val="17"/>
              </w:rPr>
              <w:t xml:space="preserve">No finding without a file/line citation.</w:t>
            </w:r>
          </w:p>
        </w:tc>
      </w:tr>
      <w:tr>
        <w:tc>
          <w:tcPr>
            <w:tcMar>
              <w:top w:type="dxa" w:w="60"/>
              <w:left w:type="dxa" w:w="80"/>
              <w:bottom w:type="dxa" w:w="60"/>
              <w:right w:type="dxa" w:w="80"/>
            </w:tcMar>
          </w:tcPr>
          <w:p>
            <w:r>
              <w:rPr>
                <w:b w:val="false"/>
                <w:bCs w:val="false"/>
                <w:sz w:val="17"/>
                <w:szCs w:val="17"/>
              </w:rPr>
              <w:t xml:space="preserve">AP-003</w:t>
            </w:r>
          </w:p>
        </w:tc>
        <w:tc>
          <w:tcPr>
            <w:tcMar>
              <w:top w:type="dxa" w:w="60"/>
              <w:left w:type="dxa" w:w="80"/>
              <w:bottom w:type="dxa" w:w="60"/>
              <w:right w:type="dxa" w:w="80"/>
            </w:tcMar>
          </w:tcPr>
          <w:p>
            <w:r>
              <w:rPr>
                <w:b w:val="false"/>
                <w:bCs w:val="false"/>
                <w:sz w:val="17"/>
                <w:szCs w:val="17"/>
              </w:rPr>
              <w:t xml:space="preserve">Implementation may evolve architecture only through formal governance.</w:t>
            </w:r>
          </w:p>
        </w:tc>
        <w:tc>
          <w:tcPr>
            <w:tcMar>
              <w:top w:type="dxa" w:w="60"/>
              <w:left w:type="dxa" w:w="80"/>
              <w:bottom w:type="dxa" w:w="60"/>
              <w:right w:type="dxa" w:w="80"/>
            </w:tcMar>
          </w:tcPr>
          <w:p>
            <w:r>
              <w:rPr>
                <w:b w:val="false"/>
                <w:bCs w:val="false"/>
                <w:sz w:val="17"/>
                <w:szCs w:val="17"/>
              </w:rPr>
              <w:t xml:space="preserve">Every Phase A.1 gap was resolved via an ADR in Phase A.2, never by silent documentation edit.</w:t>
            </w:r>
          </w:p>
        </w:tc>
        <w:tc>
          <w:tcPr>
            <w:tcMar>
              <w:top w:type="dxa" w:w="60"/>
              <w:left w:type="dxa" w:w="80"/>
              <w:bottom w:type="dxa" w:w="60"/>
              <w:right w:type="dxa" w:w="80"/>
            </w:tcMar>
          </w:tcPr>
          <w:p>
            <w:r>
              <w:rPr>
                <w:b w:val="false"/>
                <w:bCs w:val="false"/>
                <w:sz w:val="17"/>
                <w:szCs w:val="17"/>
              </w:rPr>
              <w:t xml:space="preserve">Prevents architecture drift by fiat.</w:t>
            </w:r>
          </w:p>
        </w:tc>
        <w:tc>
          <w:tcPr>
            <w:tcMar>
              <w:top w:type="dxa" w:w="60"/>
              <w:left w:type="dxa" w:w="80"/>
              <w:bottom w:type="dxa" w:w="60"/>
              <w:right w:type="dxa" w:w="80"/>
            </w:tcMar>
          </w:tcPr>
          <w:p>
            <w:r>
              <w:rPr>
                <w:b w:val="false"/>
                <w:bCs w:val="false"/>
                <w:sz w:val="17"/>
                <w:szCs w:val="17"/>
              </w:rPr>
              <w:t xml:space="preserve">ADR process is mandatory before any baseline change.</w:t>
            </w:r>
          </w:p>
        </w:tc>
        <w:tc>
          <w:tcPr>
            <w:tcMar>
              <w:top w:type="dxa" w:w="60"/>
              <w:left w:type="dxa" w:w="80"/>
              <w:bottom w:type="dxa" w:w="60"/>
              <w:right w:type="dxa" w:w="80"/>
            </w:tcMar>
          </w:tcPr>
          <w:p>
            <w:r>
              <w:rPr>
                <w:b w:val="false"/>
                <w:bCs w:val="false"/>
                <w:sz w:val="17"/>
                <w:szCs w:val="17"/>
              </w:rPr>
              <w:t xml:space="preserve">Active</w:t>
            </w:r>
          </w:p>
        </w:tc>
        <w:tc>
          <w:tcPr>
            <w:tcMar>
              <w:top w:type="dxa" w:w="60"/>
              <w:left w:type="dxa" w:w="80"/>
              <w:bottom w:type="dxa" w:w="60"/>
              <w:right w:type="dxa" w:w="80"/>
            </w:tcMar>
          </w:tcPr>
          <w:p>
            <w:r>
              <w:rPr>
                <w:b w:val="false"/>
                <w:bCs w:val="false"/>
                <w:sz w:val="17"/>
                <w:szCs w:val="17"/>
              </w:rPr>
              <w:t xml:space="preserve">Baseline changes require an EGD entry.</w:t>
            </w:r>
          </w:p>
        </w:tc>
      </w:tr>
      <w:tr>
        <w:tc>
          <w:tcPr>
            <w:shd w:fill="EFF3F7" w:val="clear"/>
            <w:tcMar>
              <w:top w:type="dxa" w:w="60"/>
              <w:left w:type="dxa" w:w="80"/>
              <w:bottom w:type="dxa" w:w="60"/>
              <w:right w:type="dxa" w:w="80"/>
            </w:tcMar>
          </w:tcPr>
          <w:p>
            <w:r>
              <w:rPr>
                <w:b w:val="false"/>
                <w:bCs w:val="false"/>
                <w:sz w:val="17"/>
                <w:szCs w:val="17"/>
              </w:rPr>
              <w:t xml:space="preserve">AP-004</w:t>
            </w:r>
          </w:p>
        </w:tc>
        <w:tc>
          <w:tcPr>
            <w:shd w:fill="EFF3F7" w:val="clear"/>
            <w:tcMar>
              <w:top w:type="dxa" w:w="60"/>
              <w:left w:type="dxa" w:w="80"/>
              <w:bottom w:type="dxa" w:w="60"/>
              <w:right w:type="dxa" w:w="80"/>
            </w:tcMar>
          </w:tcPr>
          <w:p>
            <w:r>
              <w:rPr>
                <w:b w:val="false"/>
                <w:bCs w:val="false"/>
                <w:sz w:val="17"/>
                <w:szCs w:val="17"/>
              </w:rPr>
              <w:t xml:space="preserve">No migration without measurable business value or an adoption trigger.</w:t>
            </w:r>
          </w:p>
        </w:tc>
        <w:tc>
          <w:tcPr>
            <w:shd w:fill="EFF3F7" w:val="clear"/>
            <w:tcMar>
              <w:top w:type="dxa" w:w="60"/>
              <w:left w:type="dxa" w:w="80"/>
              <w:bottom w:type="dxa" w:w="60"/>
              <w:right w:type="dxa" w:w="80"/>
            </w:tcMar>
          </w:tcPr>
          <w:p>
            <w:r>
              <w:rPr>
                <w:b w:val="false"/>
                <w:bCs w:val="false"/>
                <w:sz w:val="17"/>
                <w:szCs w:val="17"/>
              </w:rPr>
              <w:t xml:space="preserve">ADR-001, ADR-004, ADR-005, ADR-006 were each deferred specifically because no trigger had fired.</w:t>
            </w:r>
          </w:p>
        </w:tc>
        <w:tc>
          <w:tcPr>
            <w:shd w:fill="EFF3F7" w:val="clear"/>
            <w:tcMar>
              <w:top w:type="dxa" w:w="60"/>
              <w:left w:type="dxa" w:w="80"/>
              <w:bottom w:type="dxa" w:w="60"/>
              <w:right w:type="dxa" w:w="80"/>
            </w:tcMar>
          </w:tcPr>
          <w:p>
            <w:r>
              <w:rPr>
                <w:b w:val="false"/>
                <w:bCs w:val="false"/>
                <w:sz w:val="17"/>
                <w:szCs w:val="17"/>
              </w:rPr>
              <w:t xml:space="preserve">Avoids speculative engineering cost.</w:t>
            </w:r>
          </w:p>
        </w:tc>
        <w:tc>
          <w:tcPr>
            <w:shd w:fill="EFF3F7" w:val="clear"/>
            <w:tcMar>
              <w:top w:type="dxa" w:w="60"/>
              <w:left w:type="dxa" w:w="80"/>
              <w:bottom w:type="dxa" w:w="60"/>
              <w:right w:type="dxa" w:w="80"/>
            </w:tcMar>
          </w:tcPr>
          <w:p>
            <w:r>
              <w:rPr>
                <w:b w:val="false"/>
                <w:bCs w:val="false"/>
                <w:sz w:val="17"/>
                <w:szCs w:val="17"/>
              </w:rPr>
              <w:t xml:space="preserve">Ties implementation work to monitored thresholds, not calendars.</w:t>
            </w:r>
          </w:p>
        </w:tc>
        <w:tc>
          <w:tcPr>
            <w:shd w:fill="EFF3F7" w:val="clear"/>
            <w:tcMar>
              <w:top w:type="dxa" w:w="60"/>
              <w:left w:type="dxa" w:w="80"/>
              <w:bottom w:type="dxa" w:w="60"/>
              <w:right w:type="dxa" w:w="80"/>
            </w:tcMar>
          </w:tcPr>
          <w:p>
            <w:r>
              <w:rPr>
                <w:b w:val="false"/>
                <w:bCs w:val="false"/>
                <w:sz w:val="17"/>
                <w:szCs w:val="17"/>
              </w:rPr>
              <w:t xml:space="preserve">Active</w:t>
            </w:r>
          </w:p>
        </w:tc>
        <w:tc>
          <w:tcPr>
            <w:shd w:fill="EFF3F7" w:val="clear"/>
            <w:tcMar>
              <w:top w:type="dxa" w:w="60"/>
              <w:left w:type="dxa" w:w="80"/>
              <w:bottom w:type="dxa" w:w="60"/>
              <w:right w:type="dxa" w:w="80"/>
            </w:tcMar>
          </w:tcPr>
          <w:p>
            <w:r>
              <w:rPr>
                <w:b w:val="false"/>
                <w:bCs w:val="false"/>
                <w:sz w:val="17"/>
                <w:szCs w:val="17"/>
              </w:rPr>
              <w:t xml:space="preserve">Every deferral must name its trigger.</w:t>
            </w:r>
          </w:p>
        </w:tc>
      </w:tr>
      <w:tr>
        <w:tc>
          <w:tcPr>
            <w:tcMar>
              <w:top w:type="dxa" w:w="60"/>
              <w:left w:type="dxa" w:w="80"/>
              <w:bottom w:type="dxa" w:w="60"/>
              <w:right w:type="dxa" w:w="80"/>
            </w:tcMar>
          </w:tcPr>
          <w:p>
            <w:r>
              <w:rPr>
                <w:b w:val="false"/>
                <w:bCs w:val="false"/>
                <w:sz w:val="17"/>
                <w:szCs w:val="17"/>
              </w:rPr>
              <w:t xml:space="preserve">AP-005</w:t>
            </w:r>
          </w:p>
        </w:tc>
        <w:tc>
          <w:tcPr>
            <w:tcMar>
              <w:top w:type="dxa" w:w="60"/>
              <w:left w:type="dxa" w:w="80"/>
              <w:bottom w:type="dxa" w:w="60"/>
              <w:right w:type="dxa" w:w="80"/>
            </w:tcMar>
          </w:tcPr>
          <w:p>
            <w:r>
              <w:rPr>
                <w:b w:val="false"/>
                <w:bCs w:val="false"/>
                <w:sz w:val="17"/>
                <w:szCs w:val="17"/>
              </w:rPr>
              <w:t xml:space="preserve">Architecture and governance decisions must remain fully traceable to evidence.</w:t>
            </w:r>
          </w:p>
        </w:tc>
        <w:tc>
          <w:tcPr>
            <w:tcMar>
              <w:top w:type="dxa" w:w="60"/>
              <w:left w:type="dxa" w:w="80"/>
              <w:bottom w:type="dxa" w:w="60"/>
              <w:right w:type="dxa" w:w="80"/>
            </w:tcMar>
          </w:tcPr>
          <w:p>
            <w:r>
              <w:rPr>
                <w:b w:val="false"/>
                <w:bCs w:val="false"/>
                <w:sz w:val="17"/>
                <w:szCs w:val="17"/>
              </w:rPr>
              <w:t xml:space="preserve">Phase A.2's own scorecard rates Decision Traceability at 70/100 precisely because most, not all, ADRs cite file-level evidence.</w:t>
            </w:r>
          </w:p>
        </w:tc>
        <w:tc>
          <w:tcPr>
            <w:tcMar>
              <w:top w:type="dxa" w:w="60"/>
              <w:left w:type="dxa" w:w="80"/>
              <w:bottom w:type="dxa" w:w="60"/>
              <w:right w:type="dxa" w:w="80"/>
            </w:tcMar>
          </w:tcPr>
          <w:p>
            <w:r>
              <w:rPr>
                <w:b w:val="false"/>
                <w:bCs w:val="false"/>
                <w:sz w:val="17"/>
                <w:szCs w:val="17"/>
              </w:rPr>
              <w:t xml:space="preserve">Supports audit and executive reporting.</w:t>
            </w:r>
          </w:p>
        </w:tc>
        <w:tc>
          <w:tcPr>
            <w:tcMar>
              <w:top w:type="dxa" w:w="60"/>
              <w:left w:type="dxa" w:w="80"/>
              <w:bottom w:type="dxa" w:w="60"/>
              <w:right w:type="dxa" w:w="80"/>
            </w:tcMar>
          </w:tcPr>
          <w:p>
            <w:r>
              <w:rPr>
                <w:b w:val="false"/>
                <w:bCs w:val="false"/>
                <w:sz w:val="17"/>
                <w:szCs w:val="17"/>
              </w:rPr>
              <w:t xml:space="preserve">Enables the Traceability Matrix (§7).</w:t>
            </w:r>
          </w:p>
        </w:tc>
        <w:tc>
          <w:tcPr>
            <w:tcMar>
              <w:top w:type="dxa" w:w="60"/>
              <w:left w:type="dxa" w:w="80"/>
              <w:bottom w:type="dxa" w:w="60"/>
              <w:right w:type="dxa" w:w="80"/>
            </w:tcMar>
          </w:tcPr>
          <w:p>
            <w:r>
              <w:rPr>
                <w:b w:val="false"/>
                <w:bCs w:val="false"/>
                <w:sz w:val="17"/>
                <w:szCs w:val="17"/>
              </w:rPr>
              <w:t xml:space="preserve">Active</w:t>
            </w:r>
          </w:p>
        </w:tc>
        <w:tc>
          <w:tcPr>
            <w:tcMar>
              <w:top w:type="dxa" w:w="60"/>
              <w:left w:type="dxa" w:w="80"/>
              <w:bottom w:type="dxa" w:w="60"/>
              <w:right w:type="dxa" w:w="80"/>
            </w:tcMar>
          </w:tcPr>
          <w:p>
            <w:r>
              <w:rPr>
                <w:b w:val="false"/>
                <w:bCs w:val="false"/>
                <w:sz w:val="17"/>
                <w:szCs w:val="17"/>
              </w:rPr>
              <w:t xml:space="preserve">Every EGD must cite its source Gap/AR.</w:t>
            </w:r>
          </w:p>
        </w:tc>
      </w:tr>
      <w:tr>
        <w:tc>
          <w:tcPr>
            <w:shd w:fill="EFF3F7" w:val="clear"/>
            <w:tcMar>
              <w:top w:type="dxa" w:w="60"/>
              <w:left w:type="dxa" w:w="80"/>
              <w:bottom w:type="dxa" w:w="60"/>
              <w:right w:type="dxa" w:w="80"/>
            </w:tcMar>
          </w:tcPr>
          <w:p>
            <w:r>
              <w:rPr>
                <w:b w:val="false"/>
                <w:bCs w:val="false"/>
                <w:sz w:val="17"/>
                <w:szCs w:val="17"/>
              </w:rPr>
              <w:t xml:space="preserve">AP-006</w:t>
            </w:r>
          </w:p>
        </w:tc>
        <w:tc>
          <w:tcPr>
            <w:shd w:fill="EFF3F7" w:val="clear"/>
            <w:tcMar>
              <w:top w:type="dxa" w:w="60"/>
              <w:left w:type="dxa" w:w="80"/>
              <w:bottom w:type="dxa" w:w="60"/>
              <w:right w:type="dxa" w:w="80"/>
            </w:tcMar>
          </w:tcPr>
          <w:p>
            <w:r>
              <w:rPr>
                <w:b w:val="false"/>
                <w:bCs w:val="false"/>
                <w:sz w:val="17"/>
                <w:szCs w:val="17"/>
              </w:rPr>
              <w:t xml:space="preserve">Every implementation gap requires an explicit disposition; silence is not accepted.</w:t>
            </w:r>
          </w:p>
        </w:tc>
        <w:tc>
          <w:tcPr>
            <w:shd w:fill="EFF3F7" w:val="clear"/>
            <w:tcMar>
              <w:top w:type="dxa" w:w="60"/>
              <w:left w:type="dxa" w:w="80"/>
              <w:bottom w:type="dxa" w:w="60"/>
              <w:right w:type="dxa" w:w="80"/>
            </w:tcMar>
          </w:tcPr>
          <w:p>
            <w:r>
              <w:rPr>
                <w:b w:val="false"/>
                <w:bCs w:val="false"/>
                <w:sz w:val="17"/>
                <w:szCs w:val="17"/>
              </w:rPr>
              <w:t xml:space="preserve">All seven Phase A.1 gaps received one of Realize/Supersede/Accept/Defer/Reject — none were left unaddressed.</w:t>
            </w:r>
          </w:p>
        </w:tc>
        <w:tc>
          <w:tcPr>
            <w:shd w:fill="EFF3F7" w:val="clear"/>
            <w:tcMar>
              <w:top w:type="dxa" w:w="60"/>
              <w:left w:type="dxa" w:w="80"/>
              <w:bottom w:type="dxa" w:w="60"/>
              <w:right w:type="dxa" w:w="80"/>
            </w:tcMar>
          </w:tcPr>
          <w:p>
            <w:r>
              <w:rPr>
                <w:b w:val="false"/>
                <w:bCs w:val="false"/>
                <w:sz w:val="17"/>
                <w:szCs w:val="17"/>
              </w:rPr>
              <w:t xml:space="preserve">Forces a decision instead of accumulating undocumented debt.</w:t>
            </w:r>
          </w:p>
        </w:tc>
        <w:tc>
          <w:tcPr>
            <w:shd w:fill="EFF3F7" w:val="clear"/>
            <w:tcMar>
              <w:top w:type="dxa" w:w="60"/>
              <w:left w:type="dxa" w:w="80"/>
              <w:bottom w:type="dxa" w:w="60"/>
              <w:right w:type="dxa" w:w="80"/>
            </w:tcMar>
          </w:tcPr>
          <w:p>
            <w:r>
              <w:rPr>
                <w:b w:val="false"/>
                <w:bCs w:val="false"/>
                <w:sz w:val="17"/>
                <w:szCs w:val="17"/>
              </w:rPr>
              <w:t xml:space="preserve">Produces a complete EGD register with no open items.</w:t>
            </w:r>
          </w:p>
        </w:tc>
        <w:tc>
          <w:tcPr>
            <w:shd w:fill="EFF3F7" w:val="clear"/>
            <w:tcMar>
              <w:top w:type="dxa" w:w="60"/>
              <w:left w:type="dxa" w:w="80"/>
              <w:bottom w:type="dxa" w:w="60"/>
              <w:right w:type="dxa" w:w="80"/>
            </w:tcMar>
          </w:tcPr>
          <w:p>
            <w:r>
              <w:rPr>
                <w:b w:val="false"/>
                <w:bCs w:val="false"/>
                <w:sz w:val="17"/>
                <w:szCs w:val="17"/>
              </w:rPr>
              <w:t xml:space="preserve">Active</w:t>
            </w:r>
          </w:p>
        </w:tc>
        <w:tc>
          <w:tcPr>
            <w:shd w:fill="EFF3F7" w:val="clear"/>
            <w:tcMar>
              <w:top w:type="dxa" w:w="60"/>
              <w:left w:type="dxa" w:w="80"/>
              <w:bottom w:type="dxa" w:w="60"/>
              <w:right w:type="dxa" w:w="80"/>
            </w:tcMar>
          </w:tcPr>
          <w:p>
            <w:r>
              <w:rPr>
                <w:b w:val="false"/>
                <w:bCs w:val="false"/>
                <w:sz w:val="17"/>
                <w:szCs w:val="17"/>
              </w:rPr>
              <w:t xml:space="preserve">No AR may lack a corresponding EGD.</w:t>
            </w:r>
          </w:p>
        </w:tc>
      </w:tr>
      <w:tr>
        <w:tc>
          <w:tcPr>
            <w:tcMar>
              <w:top w:type="dxa" w:w="60"/>
              <w:left w:type="dxa" w:w="80"/>
              <w:bottom w:type="dxa" w:w="60"/>
              <w:right w:type="dxa" w:w="80"/>
            </w:tcMar>
          </w:tcPr>
          <w:p>
            <w:r>
              <w:rPr>
                <w:b w:val="false"/>
                <w:bCs w:val="false"/>
                <w:sz w:val="17"/>
                <w:szCs w:val="17"/>
              </w:rPr>
              <w:t xml:space="preserve">AP-007</w:t>
            </w:r>
          </w:p>
        </w:tc>
        <w:tc>
          <w:tcPr>
            <w:tcMar>
              <w:top w:type="dxa" w:w="60"/>
              <w:left w:type="dxa" w:w="80"/>
              <w:bottom w:type="dxa" w:w="60"/>
              <w:right w:type="dxa" w:w="80"/>
            </w:tcMar>
          </w:tcPr>
          <w:p>
            <w:r>
              <w:rPr>
                <w:b w:val="false"/>
                <w:bCs w:val="false"/>
                <w:sz w:val="17"/>
                <w:szCs w:val="17"/>
              </w:rPr>
              <w:t xml:space="preserve">No undocumented variance — all divergence is recorded with an approval status.</w:t>
            </w:r>
          </w:p>
        </w:tc>
        <w:tc>
          <w:tcPr>
            <w:tcMar>
              <w:top w:type="dxa" w:w="60"/>
              <w:left w:type="dxa" w:w="80"/>
              <w:bottom w:type="dxa" w:w="60"/>
              <w:right w:type="dxa" w:w="80"/>
            </w:tcMar>
          </w:tcPr>
          <w:p>
            <w:r>
              <w:rPr>
                <w:b w:val="false"/>
                <w:bCs w:val="false"/>
                <w:sz w:val="17"/>
                <w:szCs w:val="17"/>
              </w:rPr>
              <w:t xml:space="preserve">Phase A.2 §7 formally approves four variances rather than treating divergence as an unstated fact.</w:t>
            </w:r>
          </w:p>
        </w:tc>
        <w:tc>
          <w:tcPr>
            <w:tcMar>
              <w:top w:type="dxa" w:w="60"/>
              <w:left w:type="dxa" w:w="80"/>
              <w:bottom w:type="dxa" w:w="60"/>
              <w:right w:type="dxa" w:w="80"/>
            </w:tcMar>
          </w:tcPr>
          <w:p>
            <w:r>
              <w:rPr>
                <w:b w:val="false"/>
                <w:bCs w:val="false"/>
                <w:sz w:val="17"/>
                <w:szCs w:val="17"/>
              </w:rPr>
              <w:t xml:space="preserve">Protects documentation from silently going stale again.</w:t>
            </w:r>
          </w:p>
        </w:tc>
        <w:tc>
          <w:tcPr>
            <w:tcMar>
              <w:top w:type="dxa" w:w="60"/>
              <w:left w:type="dxa" w:w="80"/>
              <w:bottom w:type="dxa" w:w="60"/>
              <w:right w:type="dxa" w:w="80"/>
            </w:tcMar>
          </w:tcPr>
          <w:p>
            <w:r>
              <w:rPr>
                <w:b w:val="false"/>
                <w:bCs w:val="false"/>
                <w:sz w:val="17"/>
                <w:szCs w:val="17"/>
              </w:rPr>
              <w:t xml:space="preserve">Feeds the Variance Register (§6).</w:t>
            </w:r>
          </w:p>
        </w:tc>
        <w:tc>
          <w:tcPr>
            <w:tcMar>
              <w:top w:type="dxa" w:w="60"/>
              <w:left w:type="dxa" w:w="80"/>
              <w:bottom w:type="dxa" w:w="60"/>
              <w:right w:type="dxa" w:w="80"/>
            </w:tcMar>
          </w:tcPr>
          <w:p>
            <w:r>
              <w:rPr>
                <w:b w:val="false"/>
                <w:bCs w:val="false"/>
                <w:sz w:val="17"/>
                <w:szCs w:val="17"/>
              </w:rPr>
              <w:t xml:space="preserve">Active</w:t>
            </w:r>
          </w:p>
        </w:tc>
        <w:tc>
          <w:tcPr>
            <w:tcMar>
              <w:top w:type="dxa" w:w="60"/>
              <w:left w:type="dxa" w:w="80"/>
              <w:bottom w:type="dxa" w:w="60"/>
              <w:right w:type="dxa" w:w="80"/>
            </w:tcMar>
          </w:tcPr>
          <w:p>
            <w:r>
              <w:rPr>
                <w:b w:val="false"/>
                <w:bCs w:val="false"/>
                <w:sz w:val="17"/>
                <w:szCs w:val="17"/>
              </w:rPr>
              <w:t xml:space="preserve">Every VAR must have an approval status and review date.</w:t>
            </w:r>
          </w:p>
        </w:tc>
      </w:tr>
      <w:tr>
        <w:tc>
          <w:tcPr>
            <w:shd w:fill="EFF3F7" w:val="clear"/>
            <w:tcMar>
              <w:top w:type="dxa" w:w="60"/>
              <w:left w:type="dxa" w:w="80"/>
              <w:bottom w:type="dxa" w:w="60"/>
              <w:right w:type="dxa" w:w="80"/>
            </w:tcMar>
          </w:tcPr>
          <w:p>
            <w:r>
              <w:rPr>
                <w:b w:val="false"/>
                <w:bCs w:val="false"/>
                <w:sz w:val="17"/>
                <w:szCs w:val="17"/>
              </w:rPr>
              <w:t xml:space="preserve">AP-008</w:t>
            </w:r>
          </w:p>
        </w:tc>
        <w:tc>
          <w:tcPr>
            <w:shd w:fill="EFF3F7" w:val="clear"/>
            <w:tcMar>
              <w:top w:type="dxa" w:w="60"/>
              <w:left w:type="dxa" w:w="80"/>
              <w:bottom w:type="dxa" w:w="60"/>
              <w:right w:type="dxa" w:w="80"/>
            </w:tcMar>
          </w:tcPr>
          <w:p>
            <w:r>
              <w:rPr>
                <w:b w:val="false"/>
                <w:bCs w:val="false"/>
                <w:sz w:val="17"/>
                <w:szCs w:val="17"/>
              </w:rPr>
              <w:t xml:space="preserve">Enterprise architecture is continuously evolved via trigger-based review, not periodic rewrite.</w:t>
            </w:r>
          </w:p>
        </w:tc>
        <w:tc>
          <w:tcPr>
            <w:shd w:fill="EFF3F7" w:val="clear"/>
            <w:tcMar>
              <w:top w:type="dxa" w:w="60"/>
              <w:left w:type="dxa" w:w="80"/>
              <w:bottom w:type="dxa" w:w="60"/>
              <w:right w:type="dxa" w:w="80"/>
            </w:tcMar>
          </w:tcPr>
          <w:p>
            <w:r>
              <w:rPr>
                <w:b w:val="false"/>
                <w:bCs w:val="false"/>
                <w:sz w:val="17"/>
                <w:szCs w:val="17"/>
              </w:rPr>
              <w:t xml:space="preserve">Phase A.2 §9's roadmap is trigger-gated except for two low-cost, near-zero-risk immediate items.</w:t>
            </w:r>
          </w:p>
        </w:tc>
        <w:tc>
          <w:tcPr>
            <w:shd w:fill="EFF3F7" w:val="clear"/>
            <w:tcMar>
              <w:top w:type="dxa" w:w="60"/>
              <w:left w:type="dxa" w:w="80"/>
              <w:bottom w:type="dxa" w:w="60"/>
              <w:right w:type="dxa" w:w="80"/>
            </w:tcMar>
          </w:tcPr>
          <w:p>
            <w:r>
              <w:rPr>
                <w:b w:val="false"/>
                <w:bCs w:val="false"/>
                <w:sz w:val="17"/>
                <w:szCs w:val="17"/>
              </w:rPr>
              <w:t xml:space="preserve">Matches effort to actual risk emergence.</w:t>
            </w:r>
          </w:p>
        </w:tc>
        <w:tc>
          <w:tcPr>
            <w:shd w:fill="EFF3F7" w:val="clear"/>
            <w:tcMar>
              <w:top w:type="dxa" w:w="60"/>
              <w:left w:type="dxa" w:w="80"/>
              <w:bottom w:type="dxa" w:w="60"/>
              <w:right w:type="dxa" w:w="80"/>
            </w:tcMar>
          </w:tcPr>
          <w:p>
            <w:r>
              <w:rPr>
                <w:b w:val="false"/>
                <w:bCs w:val="false"/>
                <w:sz w:val="17"/>
                <w:szCs w:val="17"/>
              </w:rPr>
              <w:t xml:space="preserve">Requires quarterly trigger monitoring (KPI-05).</w:t>
            </w:r>
          </w:p>
        </w:tc>
        <w:tc>
          <w:tcPr>
            <w:shd w:fill="EFF3F7" w:val="clear"/>
            <w:tcMar>
              <w:top w:type="dxa" w:w="60"/>
              <w:left w:type="dxa" w:w="80"/>
              <w:bottom w:type="dxa" w:w="60"/>
              <w:right w:type="dxa" w:w="80"/>
            </w:tcMar>
          </w:tcPr>
          <w:p>
            <w:r>
              <w:rPr>
                <w:b w:val="false"/>
                <w:bCs w:val="false"/>
                <w:sz w:val="17"/>
                <w:szCs w:val="17"/>
              </w:rPr>
              <w:t xml:space="preserve">Active</w:t>
            </w:r>
          </w:p>
        </w:tc>
        <w:tc>
          <w:tcPr>
            <w:shd w:fill="EFF3F7" w:val="clear"/>
            <w:tcMar>
              <w:top w:type="dxa" w:w="60"/>
              <w:left w:type="dxa" w:w="80"/>
              <w:bottom w:type="dxa" w:w="60"/>
              <w:right w:type="dxa" w:w="80"/>
            </w:tcMar>
          </w:tcPr>
          <w:p>
            <w:r>
              <w:rPr>
                <w:b w:val="false"/>
                <w:bCs w:val="false"/>
                <w:sz w:val="17"/>
                <w:szCs w:val="17"/>
              </w:rPr>
              <w:t xml:space="preserve">Each deferred EGD must be reviewed at its stated frequency.</w:t>
            </w:r>
          </w:p>
        </w:tc>
      </w:tr>
      <w:tr>
        <w:tc>
          <w:tcPr>
            <w:tcMar>
              <w:top w:type="dxa" w:w="60"/>
              <w:left w:type="dxa" w:w="80"/>
              <w:bottom w:type="dxa" w:w="60"/>
              <w:right w:type="dxa" w:w="80"/>
            </w:tcMar>
          </w:tcPr>
          <w:p>
            <w:r>
              <w:rPr>
                <w:b w:val="false"/>
                <w:bCs w:val="false"/>
                <w:sz w:val="17"/>
                <w:szCs w:val="17"/>
              </w:rPr>
              <w:t xml:space="preserve">AP-009</w:t>
            </w:r>
          </w:p>
        </w:tc>
        <w:tc>
          <w:tcPr>
            <w:tcMar>
              <w:top w:type="dxa" w:w="60"/>
              <w:left w:type="dxa" w:w="80"/>
              <w:bottom w:type="dxa" w:w="60"/>
              <w:right w:type="dxa" w:w="80"/>
            </w:tcMar>
          </w:tcPr>
          <w:p>
            <w:r>
              <w:rPr>
                <w:b w:val="false"/>
                <w:bCs w:val="false"/>
                <w:sz w:val="17"/>
                <w:szCs w:val="17"/>
              </w:rPr>
              <w:t xml:space="preserve">Every governance decision requires a named, accountable owner.</w:t>
            </w:r>
          </w:p>
        </w:tc>
        <w:tc>
          <w:tcPr>
            <w:tcMar>
              <w:top w:type="dxa" w:w="60"/>
              <w:left w:type="dxa" w:w="80"/>
              <w:bottom w:type="dxa" w:w="60"/>
              <w:right w:type="dxa" w:w="80"/>
            </w:tcMar>
          </w:tcPr>
          <w:p>
            <w:r>
              <w:rPr>
                <w:b w:val="false"/>
                <w:bCs w:val="false"/>
                <w:sz w:val="17"/>
                <w:szCs w:val="17"/>
              </w:rPr>
              <w:t xml:space="preserve">Phase A.2 §12: every single ADR and register entry in this program lists its owner as 'unassigned' — found not by design, but by simply trying to fill in a standard field.</w:t>
            </w:r>
          </w:p>
        </w:tc>
        <w:tc>
          <w:tcPr>
            <w:tcMar>
              <w:top w:type="dxa" w:w="60"/>
              <w:left w:type="dxa" w:w="80"/>
              <w:bottom w:type="dxa" w:w="60"/>
              <w:right w:type="dxa" w:w="80"/>
            </w:tcMar>
          </w:tcPr>
          <w:p>
            <w:r>
              <w:rPr>
                <w:b w:val="false"/>
                <w:bCs w:val="false"/>
                <w:sz w:val="17"/>
                <w:szCs w:val="17"/>
              </w:rPr>
              <w:t xml:space="preserve">Without this, dispositions are aspirational, not executable.</w:t>
            </w:r>
          </w:p>
        </w:tc>
        <w:tc>
          <w:tcPr>
            <w:tcMar>
              <w:top w:type="dxa" w:w="60"/>
              <w:left w:type="dxa" w:w="80"/>
              <w:bottom w:type="dxa" w:w="60"/>
              <w:right w:type="dxa" w:w="80"/>
            </w:tcMar>
          </w:tcPr>
          <w:p>
            <w:r>
              <w:rPr>
                <w:b w:val="false"/>
                <w:bCs w:val="false"/>
                <w:sz w:val="17"/>
                <w:szCs w:val="17"/>
              </w:rPr>
              <w:t xml:space="preserve">Blocks execution tracking for every WP in this baseline.</w:t>
            </w:r>
          </w:p>
        </w:tc>
        <w:tc>
          <w:tcPr>
            <w:tcMar>
              <w:top w:type="dxa" w:w="60"/>
              <w:left w:type="dxa" w:w="80"/>
              <w:bottom w:type="dxa" w:w="60"/>
              <w:right w:type="dxa" w:w="80"/>
            </w:tcMar>
          </w:tcPr>
          <w:p>
            <w:r>
              <w:rPr>
                <w:b w:val="false"/>
                <w:bCs w:val="false"/>
                <w:sz w:val="17"/>
                <w:szCs w:val="17"/>
              </w:rPr>
              <w:t xml:space="preserve">Gap — 0% satisfied</w:t>
            </w:r>
          </w:p>
        </w:tc>
        <w:tc>
          <w:tcPr>
            <w:tcMar>
              <w:top w:type="dxa" w:w="60"/>
              <w:left w:type="dxa" w:w="80"/>
              <w:bottom w:type="dxa" w:w="60"/>
              <w:right w:type="dxa" w:w="80"/>
            </w:tcMar>
          </w:tcPr>
          <w:p>
            <w:r>
              <w:rPr>
                <w:b w:val="false"/>
                <w:bCs w:val="false"/>
                <w:sz w:val="17"/>
                <w:szCs w:val="17"/>
              </w:rPr>
              <w:t xml:space="preserve">Recommended as the first item resolved, ahead of any individual EGD's own trigger (WP-0006).</w:t>
            </w:r>
          </w:p>
        </w:tc>
      </w:tr>
    </w:tbl>
    <w:p>
      <w:r>
        <w:br w:type="page"/>
      </w:r>
    </w:p>
    <w:p>
      <w:pPr>
        <w:pStyle w:val="Heading1"/>
        <w:spacing w:after="120" w:before="300"/>
      </w:pPr>
      <w:r>
        <w:t xml:space="preserve">3. Enterprise Architecture Requirements Catalog</w:t>
      </w:r>
    </w:p>
    <w:p>
      <w:pPr>
        <w:spacing w:after="120"/>
      </w:pPr>
      <w:r>
        <w:rPr>
          <w:sz w:val="20"/>
          <w:szCs w:val="20"/>
        </w:rPr>
        <w:t xml:space="preserve">Ten permanent Architecture Requirement IDs, covering the seven Phase A.1 gaps plus the three dimensions Phase A.1 found already conformant. These IDs are cited by every subsequent register in this document and remain stable through the rest of ERP.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2A44" w:val="clear"/>
            <w:tcMar>
              <w:top w:type="dxa" w:w="60"/>
              <w:left w:type="dxa" w:w="80"/>
              <w:bottom w:type="dxa" w:w="60"/>
              <w:right w:type="dxa" w:w="80"/>
            </w:tcMar>
          </w:tcPr>
          <w:p>
            <w:r>
              <w:rPr>
                <w:b/>
                <w:bCs/>
                <w:color w:val="FFFFFF"/>
                <w:sz w:val="17"/>
                <w:szCs w:val="17"/>
              </w:rPr>
              <w:t xml:space="preserve">AR ID</w:t>
            </w:r>
          </w:p>
        </w:tc>
        <w:tc>
          <w:tcPr>
            <w:shd w:fill="1F2A44" w:val="clear"/>
            <w:tcMar>
              <w:top w:type="dxa" w:w="60"/>
              <w:left w:type="dxa" w:w="80"/>
              <w:bottom w:type="dxa" w:w="60"/>
              <w:right w:type="dxa" w:w="80"/>
            </w:tcMar>
          </w:tcPr>
          <w:p>
            <w:r>
              <w:rPr>
                <w:b/>
                <w:bCs/>
                <w:color w:val="FFFFFF"/>
                <w:sz w:val="17"/>
                <w:szCs w:val="17"/>
              </w:rPr>
              <w:t xml:space="preserve">Category</w:t>
            </w:r>
          </w:p>
        </w:tc>
        <w:tc>
          <w:tcPr>
            <w:shd w:fill="1F2A44" w:val="clear"/>
            <w:tcMar>
              <w:top w:type="dxa" w:w="60"/>
              <w:left w:type="dxa" w:w="80"/>
              <w:bottom w:type="dxa" w:w="60"/>
              <w:right w:type="dxa" w:w="80"/>
            </w:tcMar>
          </w:tcPr>
          <w:p>
            <w:r>
              <w:rPr>
                <w:b/>
                <w:bCs/>
                <w:color w:val="FFFFFF"/>
                <w:sz w:val="17"/>
                <w:szCs w:val="17"/>
              </w:rPr>
              <w:t xml:space="preserve">Description</w:t>
            </w:r>
          </w:p>
        </w:tc>
        <w:tc>
          <w:tcPr>
            <w:shd w:fill="1F2A44" w:val="clear"/>
            <w:tcMar>
              <w:top w:type="dxa" w:w="60"/>
              <w:left w:type="dxa" w:w="80"/>
              <w:bottom w:type="dxa" w:w="60"/>
              <w:right w:type="dxa" w:w="80"/>
            </w:tcMar>
          </w:tcPr>
          <w:p>
            <w:r>
              <w:rPr>
                <w:b/>
                <w:bCs/>
                <w:color w:val="FFFFFF"/>
                <w:sz w:val="17"/>
                <w:szCs w:val="17"/>
              </w:rPr>
              <w:t xml:space="preserve">Priority</w:t>
            </w:r>
          </w:p>
        </w:tc>
        <w:tc>
          <w:tcPr>
            <w:shd w:fill="1F2A44" w:val="clear"/>
            <w:tcMar>
              <w:top w:type="dxa" w:w="60"/>
              <w:left w:type="dxa" w:w="80"/>
              <w:bottom w:type="dxa" w:w="60"/>
              <w:right w:type="dxa" w:w="80"/>
            </w:tcMar>
          </w:tcPr>
          <w:p>
            <w:r>
              <w:rPr>
                <w:b/>
                <w:bCs/>
                <w:color w:val="FFFFFF"/>
                <w:sz w:val="17"/>
                <w:szCs w:val="17"/>
              </w:rPr>
              <w:t xml:space="preserve">Class</w:t>
            </w:r>
          </w:p>
        </w:tc>
        <w:tc>
          <w:tcPr>
            <w:shd w:fill="1F2A44" w:val="clear"/>
            <w:tcMar>
              <w:top w:type="dxa" w:w="60"/>
              <w:left w:type="dxa" w:w="80"/>
              <w:bottom w:type="dxa" w:w="60"/>
              <w:right w:type="dxa" w:w="80"/>
            </w:tcMar>
          </w:tcPr>
          <w:p>
            <w:r>
              <w:rPr>
                <w:b/>
                <w:bCs/>
                <w:color w:val="FFFFFF"/>
                <w:sz w:val="17"/>
                <w:szCs w:val="17"/>
              </w:rPr>
              <w:t xml:space="preserve">Current Status</w:t>
            </w:r>
          </w:p>
        </w:tc>
        <w:tc>
          <w:tcPr>
            <w:shd w:fill="1F2A44" w:val="clear"/>
            <w:tcMar>
              <w:top w:type="dxa" w:w="60"/>
              <w:left w:type="dxa" w:w="80"/>
              <w:bottom w:type="dxa" w:w="60"/>
              <w:right w:type="dxa" w:w="80"/>
            </w:tcMar>
          </w:tcPr>
          <w:p>
            <w:r>
              <w:rPr>
                <w:b/>
                <w:bCs/>
                <w:color w:val="FFFFFF"/>
                <w:sz w:val="17"/>
                <w:szCs w:val="17"/>
              </w:rPr>
              <w:t xml:space="preserve">Related EGD / WP</w:t>
            </w:r>
          </w:p>
        </w:tc>
      </w:tr>
      <w:tr>
        <w:tc>
          <w:tcPr>
            <w:tcMar>
              <w:top w:type="dxa" w:w="60"/>
              <w:left w:type="dxa" w:w="80"/>
              <w:bottom w:type="dxa" w:w="60"/>
              <w:right w:type="dxa" w:w="80"/>
            </w:tcMar>
          </w:tcPr>
          <w:p>
            <w:r>
              <w:rPr>
                <w:b w:val="false"/>
                <w:bCs w:val="false"/>
                <w:sz w:val="17"/>
                <w:szCs w:val="17"/>
              </w:rPr>
              <w:t xml:space="preserve">AR-0001</w:t>
            </w:r>
          </w:p>
        </w:tc>
        <w:tc>
          <w:tcPr>
            <w:tcMar>
              <w:top w:type="dxa" w:w="60"/>
              <w:left w:type="dxa" w:w="80"/>
              <w:bottom w:type="dxa" w:w="60"/>
              <w:right w:type="dxa" w:w="80"/>
            </w:tcMar>
          </w:tcPr>
          <w:p>
            <w:r>
              <w:rPr>
                <w:b w:val="false"/>
                <w:bCs w:val="false"/>
                <w:sz w:val="17"/>
                <w:szCs w:val="17"/>
              </w:rPr>
              <w:t xml:space="preserve">Schema Design</w:t>
            </w:r>
          </w:p>
        </w:tc>
        <w:tc>
          <w:tcPr>
            <w:tcMar>
              <w:top w:type="dxa" w:w="60"/>
              <w:left w:type="dxa" w:w="80"/>
              <w:bottom w:type="dxa" w:w="60"/>
              <w:right w:type="dxa" w:w="80"/>
            </w:tcMar>
          </w:tcPr>
          <w:p>
            <w:r>
              <w:rPr>
                <w:b w:val="false"/>
                <w:bCs w:val="false"/>
                <w:sz w:val="17"/>
                <w:szCs w:val="17"/>
              </w:rPr>
              <w:t xml:space="preserve">Dedicated academic_domain PostgreSQL schema, isolated from public.</w:t>
            </w:r>
          </w:p>
        </w:tc>
        <w:tc>
          <w:tcPr>
            <w:tcMar>
              <w:top w:type="dxa" w:w="60"/>
              <w:left w:type="dxa" w:w="80"/>
              <w:bottom w:type="dxa" w:w="60"/>
              <w:right w:type="dxa" w:w="80"/>
            </w:tcMar>
          </w:tcPr>
          <w:p>
            <w:r>
              <w:rPr>
                <w:b w:val="false"/>
                <w:bCs w:val="false"/>
                <w:sz w:val="17"/>
                <w:szCs w:val="17"/>
              </w:rPr>
              <w:t xml:space="preserve">High</w:t>
            </w:r>
          </w:p>
        </w:tc>
        <w:tc>
          <w:tcPr>
            <w:tcMar>
              <w:top w:type="dxa" w:w="60"/>
              <w:left w:type="dxa" w:w="80"/>
              <w:bottom w:type="dxa" w:w="60"/>
              <w:right w:type="dxa" w:w="80"/>
            </w:tcMar>
          </w:tcPr>
          <w:p>
            <w:r>
              <w:rPr>
                <w:b w:val="false"/>
                <w:bCs w:val="false"/>
                <w:sz w:val="17"/>
                <w:szCs w:val="17"/>
              </w:rPr>
              <w:t xml:space="preserve">Originally Mandatory</w:t>
            </w:r>
          </w:p>
        </w:tc>
        <w:tc>
          <w:tcPr>
            <w:tcMar>
              <w:top w:type="dxa" w:w="60"/>
              <w:left w:type="dxa" w:w="80"/>
              <w:bottom w:type="dxa" w:w="60"/>
              <w:right w:type="dxa" w:w="80"/>
            </w:tcMar>
          </w:tcPr>
          <w:p>
            <w:r>
              <w:rPr>
                <w:b w:val="false"/>
                <w:bCs w:val="false"/>
                <w:sz w:val="17"/>
                <w:szCs w:val="17"/>
              </w:rPr>
              <w:t xml:space="preserve">Non-conformant (G-01)</w:t>
            </w:r>
          </w:p>
        </w:tc>
        <w:tc>
          <w:tcPr>
            <w:tcMar>
              <w:top w:type="dxa" w:w="60"/>
              <w:left w:type="dxa" w:w="80"/>
              <w:bottom w:type="dxa" w:w="60"/>
              <w:right w:type="dxa" w:w="80"/>
            </w:tcMar>
          </w:tcPr>
          <w:p>
            <w:r>
              <w:rPr>
                <w:b w:val="false"/>
                <w:bCs w:val="false"/>
                <w:sz w:val="17"/>
                <w:szCs w:val="17"/>
              </w:rPr>
              <w:t xml:space="preserve">EGD-0001 / —</w:t>
            </w:r>
          </w:p>
        </w:tc>
      </w:tr>
      <w:tr>
        <w:tc>
          <w:tcPr>
            <w:shd w:fill="EFF3F7" w:val="clear"/>
            <w:tcMar>
              <w:top w:type="dxa" w:w="60"/>
              <w:left w:type="dxa" w:w="80"/>
              <w:bottom w:type="dxa" w:w="60"/>
              <w:right w:type="dxa" w:w="80"/>
            </w:tcMar>
          </w:tcPr>
          <w:p>
            <w:r>
              <w:rPr>
                <w:b w:val="false"/>
                <w:bCs w:val="false"/>
                <w:sz w:val="17"/>
                <w:szCs w:val="17"/>
              </w:rPr>
              <w:t xml:space="preserve">AR-0002</w:t>
            </w:r>
          </w:p>
        </w:tc>
        <w:tc>
          <w:tcPr>
            <w:shd w:fill="EFF3F7" w:val="clear"/>
            <w:tcMar>
              <w:top w:type="dxa" w:w="60"/>
              <w:left w:type="dxa" w:w="80"/>
              <w:bottom w:type="dxa" w:w="60"/>
              <w:right w:type="dxa" w:w="80"/>
            </w:tcMar>
          </w:tcPr>
          <w:p>
            <w:r>
              <w:rPr>
                <w:b w:val="false"/>
                <w:bCs w:val="false"/>
                <w:sz w:val="17"/>
                <w:szCs w:val="17"/>
              </w:rPr>
              <w:t xml:space="preserve">Naming Governance</w:t>
            </w:r>
          </w:p>
        </w:tc>
        <w:tc>
          <w:tcPr>
            <w:shd w:fill="EFF3F7" w:val="clear"/>
            <w:tcMar>
              <w:top w:type="dxa" w:w="60"/>
              <w:left w:type="dxa" w:w="80"/>
              <w:bottom w:type="dxa" w:w="60"/>
              <w:right w:type="dxa" w:w="80"/>
            </w:tcMar>
          </w:tcPr>
          <w:p>
            <w:r>
              <w:rPr>
                <w:b w:val="false"/>
                <w:bCs w:val="false"/>
                <w:sz w:val="17"/>
                <w:szCs w:val="17"/>
              </w:rPr>
              <w:t xml:space="preserve">26 canonically-named tables using ref_ prefix convention, no domain-repeating prefixes.</w:t>
            </w:r>
          </w:p>
        </w:tc>
        <w:tc>
          <w:tcPr>
            <w:shd w:fill="EFF3F7" w:val="clear"/>
            <w:tcMar>
              <w:top w:type="dxa" w:w="60"/>
              <w:left w:type="dxa" w:w="80"/>
              <w:bottom w:type="dxa" w:w="60"/>
              <w:right w:type="dxa" w:w="80"/>
            </w:tcMar>
          </w:tcPr>
          <w:p>
            <w:r>
              <w:rPr>
                <w:b w:val="false"/>
                <w:bCs w:val="false"/>
                <w:sz w:val="17"/>
                <w:szCs w:val="17"/>
              </w:rPr>
              <w:t xml:space="preserve">High</w:t>
            </w:r>
          </w:p>
        </w:tc>
        <w:tc>
          <w:tcPr>
            <w:shd w:fill="EFF3F7" w:val="clear"/>
            <w:tcMar>
              <w:top w:type="dxa" w:w="60"/>
              <w:left w:type="dxa" w:w="80"/>
              <w:bottom w:type="dxa" w:w="60"/>
              <w:right w:type="dxa" w:w="80"/>
            </w:tcMar>
          </w:tcPr>
          <w:p>
            <w:r>
              <w:rPr>
                <w:b w:val="false"/>
                <w:bCs w:val="false"/>
                <w:sz w:val="17"/>
                <w:szCs w:val="17"/>
              </w:rPr>
              <w:t xml:space="preserve">Originally Mandatory</w:t>
            </w:r>
          </w:p>
        </w:tc>
        <w:tc>
          <w:tcPr>
            <w:shd w:fill="EFF3F7" w:val="clear"/>
            <w:tcMar>
              <w:top w:type="dxa" w:w="60"/>
              <w:left w:type="dxa" w:w="80"/>
              <w:bottom w:type="dxa" w:w="60"/>
              <w:right w:type="dxa" w:w="80"/>
            </w:tcMar>
          </w:tcPr>
          <w:p>
            <w:r>
              <w:rPr>
                <w:b w:val="false"/>
                <w:bCs w:val="false"/>
                <w:sz w:val="17"/>
                <w:szCs w:val="17"/>
              </w:rPr>
              <w:t xml:space="preserve">Non-conformant (G-02)</w:t>
            </w:r>
          </w:p>
        </w:tc>
        <w:tc>
          <w:tcPr>
            <w:shd w:fill="EFF3F7" w:val="clear"/>
            <w:tcMar>
              <w:top w:type="dxa" w:w="60"/>
              <w:left w:type="dxa" w:w="80"/>
              <w:bottom w:type="dxa" w:w="60"/>
              <w:right w:type="dxa" w:w="80"/>
            </w:tcMar>
          </w:tcPr>
          <w:p>
            <w:r>
              <w:rPr>
                <w:b w:val="false"/>
                <w:bCs w:val="false"/>
                <w:sz w:val="17"/>
                <w:szCs w:val="17"/>
              </w:rPr>
              <w:t xml:space="preserve">EGD-0002 / WP-0001</w:t>
            </w:r>
          </w:p>
        </w:tc>
      </w:tr>
      <w:tr>
        <w:tc>
          <w:tcPr>
            <w:tcMar>
              <w:top w:type="dxa" w:w="60"/>
              <w:left w:type="dxa" w:w="80"/>
              <w:bottom w:type="dxa" w:w="60"/>
              <w:right w:type="dxa" w:w="80"/>
            </w:tcMar>
          </w:tcPr>
          <w:p>
            <w:r>
              <w:rPr>
                <w:b w:val="false"/>
                <w:bCs w:val="false"/>
                <w:sz w:val="17"/>
                <w:szCs w:val="17"/>
              </w:rPr>
              <w:t xml:space="preserve">AR-0003</w:t>
            </w:r>
          </w:p>
        </w:tc>
        <w:tc>
          <w:tcPr>
            <w:tcMar>
              <w:top w:type="dxa" w:w="60"/>
              <w:left w:type="dxa" w:w="80"/>
              <w:bottom w:type="dxa" w:w="60"/>
              <w:right w:type="dxa" w:w="80"/>
            </w:tcMar>
          </w:tcPr>
          <w:p>
            <w:r>
              <w:rPr>
                <w:b w:val="false"/>
                <w:bCs w:val="false"/>
                <w:sz w:val="17"/>
                <w:szCs w:val="17"/>
              </w:rPr>
              <w:t xml:space="preserve">Data Governance</w:t>
            </w:r>
          </w:p>
        </w:tc>
        <w:tc>
          <w:tcPr>
            <w:tcMar>
              <w:top w:type="dxa" w:w="60"/>
              <w:left w:type="dxa" w:w="80"/>
              <w:bottom w:type="dxa" w:w="60"/>
              <w:right w:type="dxa" w:w="80"/>
            </w:tcMar>
          </w:tcPr>
          <w:p>
            <w:r>
              <w:rPr>
                <w:b w:val="false"/>
                <w:bCs w:val="false"/>
                <w:sz w:val="17"/>
                <w:szCs w:val="17"/>
              </w:rPr>
              <w:t xml:space="preserve">_code + taxonomy_version_id reference pattern for all taxonomy lookups.</w:t>
            </w:r>
          </w:p>
        </w:tc>
        <w:tc>
          <w:tcPr>
            <w:tcMar>
              <w:top w:type="dxa" w:w="60"/>
              <w:left w:type="dxa" w:w="80"/>
              <w:bottom w:type="dxa" w:w="60"/>
              <w:right w:type="dxa" w:w="80"/>
            </w:tcMar>
          </w:tcPr>
          <w:p>
            <w:r>
              <w:rPr>
                <w:b w:val="false"/>
                <w:bCs w:val="false"/>
                <w:sz w:val="17"/>
                <w:szCs w:val="17"/>
              </w:rPr>
              <w:t xml:space="preserve">High</w:t>
            </w:r>
          </w:p>
        </w:tc>
        <w:tc>
          <w:tcPr>
            <w:tcMar>
              <w:top w:type="dxa" w:w="60"/>
              <w:left w:type="dxa" w:w="80"/>
              <w:bottom w:type="dxa" w:w="60"/>
              <w:right w:type="dxa" w:w="80"/>
            </w:tcMar>
          </w:tcPr>
          <w:p>
            <w:r>
              <w:rPr>
                <w:b w:val="false"/>
                <w:bCs w:val="false"/>
                <w:sz w:val="17"/>
                <w:szCs w:val="17"/>
              </w:rPr>
              <w:t xml:space="preserve">Originally Mandatory</w:t>
            </w:r>
          </w:p>
        </w:tc>
        <w:tc>
          <w:tcPr>
            <w:tcMar>
              <w:top w:type="dxa" w:w="60"/>
              <w:left w:type="dxa" w:w="80"/>
              <w:bottom w:type="dxa" w:w="60"/>
              <w:right w:type="dxa" w:w="80"/>
            </w:tcMar>
          </w:tcPr>
          <w:p>
            <w:r>
              <w:rPr>
                <w:b w:val="false"/>
                <w:bCs w:val="false"/>
                <w:sz w:val="17"/>
                <w:szCs w:val="17"/>
              </w:rPr>
              <w:t xml:space="preserve">Non-conformant, conditionally accepted (G-03)</w:t>
            </w:r>
          </w:p>
        </w:tc>
        <w:tc>
          <w:tcPr>
            <w:tcMar>
              <w:top w:type="dxa" w:w="60"/>
              <w:left w:type="dxa" w:w="80"/>
              <w:bottom w:type="dxa" w:w="60"/>
              <w:right w:type="dxa" w:w="80"/>
            </w:tcMar>
          </w:tcPr>
          <w:p>
            <w:r>
              <w:rPr>
                <w:b w:val="false"/>
                <w:bCs w:val="false"/>
                <w:sz w:val="17"/>
                <w:szCs w:val="17"/>
              </w:rPr>
              <w:t xml:space="preserve">EGD-0003 / WP-0004</w:t>
            </w:r>
          </w:p>
        </w:tc>
      </w:tr>
      <w:tr>
        <w:tc>
          <w:tcPr>
            <w:shd w:fill="EFF3F7" w:val="clear"/>
            <w:tcMar>
              <w:top w:type="dxa" w:w="60"/>
              <w:left w:type="dxa" w:w="80"/>
              <w:bottom w:type="dxa" w:w="60"/>
              <w:right w:type="dxa" w:w="80"/>
            </w:tcMar>
          </w:tcPr>
          <w:p>
            <w:r>
              <w:rPr>
                <w:b w:val="false"/>
                <w:bCs w:val="false"/>
                <w:sz w:val="17"/>
                <w:szCs w:val="17"/>
              </w:rPr>
              <w:t xml:space="preserve">AR-0004</w:t>
            </w:r>
          </w:p>
        </w:tc>
        <w:tc>
          <w:tcPr>
            <w:shd w:fill="EFF3F7" w:val="clear"/>
            <w:tcMar>
              <w:top w:type="dxa" w:w="60"/>
              <w:left w:type="dxa" w:w="80"/>
              <w:bottom w:type="dxa" w:w="60"/>
              <w:right w:type="dxa" w:w="80"/>
            </w:tcMar>
          </w:tcPr>
          <w:p>
            <w:r>
              <w:rPr>
                <w:b w:val="false"/>
                <w:bCs w:val="false"/>
                <w:sz w:val="17"/>
                <w:szCs w:val="17"/>
              </w:rPr>
              <w:t xml:space="preserve">Performance / Scalability</w:t>
            </w:r>
          </w:p>
        </w:tc>
        <w:tc>
          <w:tcPr>
            <w:shd w:fill="EFF3F7" w:val="clear"/>
            <w:tcMar>
              <w:top w:type="dxa" w:w="60"/>
              <w:left w:type="dxa" w:w="80"/>
              <w:bottom w:type="dxa" w:w="60"/>
              <w:right w:type="dxa" w:w="80"/>
            </w:tcMar>
          </w:tcPr>
          <w:p>
            <w:r>
              <w:rPr>
                <w:b w:val="false"/>
                <w:bCs w:val="false"/>
                <w:sz w:val="17"/>
                <w:szCs w:val="17"/>
              </w:rPr>
              <w:t xml:space="preserve">Native range partitioning on 4 high-growth historical/derived tables.</w:t>
            </w:r>
          </w:p>
        </w:tc>
        <w:tc>
          <w:tcPr>
            <w:shd w:fill="EFF3F7" w:val="clear"/>
            <w:tcMar>
              <w:top w:type="dxa" w:w="60"/>
              <w:left w:type="dxa" w:w="80"/>
              <w:bottom w:type="dxa" w:w="60"/>
              <w:right w:type="dxa" w:w="80"/>
            </w:tcMar>
          </w:tcPr>
          <w:p>
            <w:r>
              <w:rPr>
                <w:b w:val="false"/>
                <w:bCs w:val="false"/>
                <w:sz w:val="17"/>
                <w:szCs w:val="17"/>
              </w:rPr>
              <w:t xml:space="preserve">Medium</w:t>
            </w:r>
          </w:p>
        </w:tc>
        <w:tc>
          <w:tcPr>
            <w:shd w:fill="EFF3F7" w:val="clear"/>
            <w:tcMar>
              <w:top w:type="dxa" w:w="60"/>
              <w:left w:type="dxa" w:w="80"/>
              <w:bottom w:type="dxa" w:w="60"/>
              <w:right w:type="dxa" w:w="80"/>
            </w:tcMar>
          </w:tcPr>
          <w:p>
            <w:r>
              <w:rPr>
                <w:b w:val="false"/>
                <w:bCs w:val="false"/>
                <w:sz w:val="17"/>
                <w:szCs w:val="17"/>
              </w:rPr>
              <w:t xml:space="preserve">Originally Mandatory</w:t>
            </w:r>
          </w:p>
        </w:tc>
        <w:tc>
          <w:tcPr>
            <w:shd w:fill="EFF3F7" w:val="clear"/>
            <w:tcMar>
              <w:top w:type="dxa" w:w="60"/>
              <w:left w:type="dxa" w:w="80"/>
              <w:bottom w:type="dxa" w:w="60"/>
              <w:right w:type="dxa" w:w="80"/>
            </w:tcMar>
          </w:tcPr>
          <w:p>
            <w:r>
              <w:rPr>
                <w:b w:val="false"/>
                <w:bCs w:val="false"/>
                <w:sz w:val="17"/>
                <w:szCs w:val="17"/>
              </w:rPr>
              <w:t xml:space="preserve">Non-conformant (G-04)</w:t>
            </w:r>
          </w:p>
        </w:tc>
        <w:tc>
          <w:tcPr>
            <w:shd w:fill="EFF3F7" w:val="clear"/>
            <w:tcMar>
              <w:top w:type="dxa" w:w="60"/>
              <w:left w:type="dxa" w:w="80"/>
              <w:bottom w:type="dxa" w:w="60"/>
              <w:right w:type="dxa" w:w="80"/>
            </w:tcMar>
          </w:tcPr>
          <w:p>
            <w:r>
              <w:rPr>
                <w:b w:val="false"/>
                <w:bCs w:val="false"/>
                <w:sz w:val="17"/>
                <w:szCs w:val="17"/>
              </w:rPr>
              <w:t xml:space="preserve">EGD-0004 / WP-0003</w:t>
            </w:r>
          </w:p>
        </w:tc>
      </w:tr>
      <w:tr>
        <w:tc>
          <w:tcPr>
            <w:tcMar>
              <w:top w:type="dxa" w:w="60"/>
              <w:left w:type="dxa" w:w="80"/>
              <w:bottom w:type="dxa" w:w="60"/>
              <w:right w:type="dxa" w:w="80"/>
            </w:tcMar>
          </w:tcPr>
          <w:p>
            <w:r>
              <w:rPr>
                <w:b w:val="false"/>
                <w:bCs w:val="false"/>
                <w:sz w:val="17"/>
                <w:szCs w:val="17"/>
              </w:rPr>
              <w:t xml:space="preserve">AR-0005</w:t>
            </w:r>
          </w:p>
        </w:tc>
        <w:tc>
          <w:tcPr>
            <w:tcMar>
              <w:top w:type="dxa" w:w="60"/>
              <w:left w:type="dxa" w:w="80"/>
              <w:bottom w:type="dxa" w:w="60"/>
              <w:right w:type="dxa" w:w="80"/>
            </w:tcMar>
          </w:tcPr>
          <w:p>
            <w:r>
              <w:rPr>
                <w:b w:val="false"/>
                <w:bCs w:val="false"/>
                <w:sz w:val="17"/>
                <w:szCs w:val="17"/>
              </w:rPr>
              <w:t xml:space="preserve">Data Model</w:t>
            </w:r>
          </w:p>
        </w:tc>
        <w:tc>
          <w:tcPr>
            <w:tcMar>
              <w:top w:type="dxa" w:w="60"/>
              <w:left w:type="dxa" w:w="80"/>
              <w:bottom w:type="dxa" w:w="60"/>
              <w:right w:type="dxa" w:w="80"/>
            </w:tcMar>
          </w:tcPr>
          <w:p>
            <w:r>
              <w:rPr>
                <w:b w:val="false"/>
                <w:bCs w:val="false"/>
                <w:sz w:val="17"/>
                <w:szCs w:val="17"/>
              </w:rPr>
              <w:t xml:space="preserve">Separate qualification/subject-selection entities from record/performance entities.</w:t>
            </w:r>
          </w:p>
        </w:tc>
        <w:tc>
          <w:tcPr>
            <w:tcMar>
              <w:top w:type="dxa" w:w="60"/>
              <w:left w:type="dxa" w:w="80"/>
              <w:bottom w:type="dxa" w:w="60"/>
              <w:right w:type="dxa" w:w="80"/>
            </w:tcMar>
          </w:tcPr>
          <w:p>
            <w:r>
              <w:rPr>
                <w:b w:val="false"/>
                <w:bCs w:val="false"/>
                <w:sz w:val="17"/>
                <w:szCs w:val="17"/>
              </w:rPr>
              <w:t xml:space="preserve">Low</w:t>
            </w:r>
          </w:p>
        </w:tc>
        <w:tc>
          <w:tcPr>
            <w:tcMar>
              <w:top w:type="dxa" w:w="60"/>
              <w:left w:type="dxa" w:w="80"/>
              <w:bottom w:type="dxa" w:w="60"/>
              <w:right w:type="dxa" w:w="80"/>
            </w:tcMar>
          </w:tcPr>
          <w:p>
            <w:r>
              <w:rPr>
                <w:b w:val="false"/>
                <w:bCs w:val="false"/>
                <w:sz w:val="17"/>
                <w:szCs w:val="17"/>
              </w:rPr>
              <w:t xml:space="preserve">Originally Mandatory</w:t>
            </w:r>
          </w:p>
        </w:tc>
        <w:tc>
          <w:tcPr>
            <w:tcMar>
              <w:top w:type="dxa" w:w="60"/>
              <w:left w:type="dxa" w:w="80"/>
              <w:bottom w:type="dxa" w:w="60"/>
              <w:right w:type="dxa" w:w="80"/>
            </w:tcMar>
          </w:tcPr>
          <w:p>
            <w:r>
              <w:rPr>
                <w:b w:val="false"/>
                <w:bCs w:val="false"/>
                <w:sz w:val="17"/>
                <w:szCs w:val="17"/>
              </w:rPr>
              <w:t xml:space="preserve">Non-conformant, accepted-for-now (G-05)</w:t>
            </w:r>
          </w:p>
        </w:tc>
        <w:tc>
          <w:tcPr>
            <w:tcMar>
              <w:top w:type="dxa" w:w="60"/>
              <w:left w:type="dxa" w:w="80"/>
              <w:bottom w:type="dxa" w:w="60"/>
              <w:right w:type="dxa" w:w="80"/>
            </w:tcMar>
          </w:tcPr>
          <w:p>
            <w:r>
              <w:rPr>
                <w:b w:val="false"/>
                <w:bCs w:val="false"/>
                <w:sz w:val="17"/>
                <w:szCs w:val="17"/>
              </w:rPr>
              <w:t xml:space="preserve">EGD-0005 / —</w:t>
            </w:r>
          </w:p>
        </w:tc>
      </w:tr>
      <w:tr>
        <w:tc>
          <w:tcPr>
            <w:shd w:fill="EFF3F7" w:val="clear"/>
            <w:tcMar>
              <w:top w:type="dxa" w:w="60"/>
              <w:left w:type="dxa" w:w="80"/>
              <w:bottom w:type="dxa" w:w="60"/>
              <w:right w:type="dxa" w:w="80"/>
            </w:tcMar>
          </w:tcPr>
          <w:p>
            <w:r>
              <w:rPr>
                <w:b w:val="false"/>
                <w:bCs w:val="false"/>
                <w:sz w:val="17"/>
                <w:szCs w:val="17"/>
              </w:rPr>
              <w:t xml:space="preserve">AR-0006</w:t>
            </w:r>
          </w:p>
        </w:tc>
        <w:tc>
          <w:tcPr>
            <w:shd w:fill="EFF3F7" w:val="clear"/>
            <w:tcMar>
              <w:top w:type="dxa" w:w="60"/>
              <w:left w:type="dxa" w:w="80"/>
              <w:bottom w:type="dxa" w:w="60"/>
              <w:right w:type="dxa" w:w="80"/>
            </w:tcMar>
          </w:tcPr>
          <w:p>
            <w:r>
              <w:rPr>
                <w:b w:val="false"/>
                <w:bCs w:val="false"/>
                <w:sz w:val="17"/>
                <w:szCs w:val="17"/>
              </w:rPr>
              <w:t xml:space="preserve">Data Governance</w:t>
            </w:r>
          </w:p>
        </w:tc>
        <w:tc>
          <w:tcPr>
            <w:shd w:fill="EFF3F7" w:val="clear"/>
            <w:tcMar>
              <w:top w:type="dxa" w:w="60"/>
              <w:left w:type="dxa" w:w="80"/>
              <w:bottom w:type="dxa" w:w="60"/>
              <w:right w:type="dxa" w:w="80"/>
            </w:tcMar>
          </w:tcPr>
          <w:p>
            <w:r>
              <w:rPr>
                <w:b w:val="false"/>
                <w:bCs w:val="false"/>
                <w:sz w:val="17"/>
                <w:szCs w:val="17"/>
              </w:rPr>
              <w:t xml:space="preserve">Self-referencing supersession columns for corrected historical records.</w:t>
            </w:r>
          </w:p>
        </w:tc>
        <w:tc>
          <w:tcPr>
            <w:shd w:fill="EFF3F7" w:val="clear"/>
            <w:tcMar>
              <w:top w:type="dxa" w:w="60"/>
              <w:left w:type="dxa" w:w="80"/>
              <w:bottom w:type="dxa" w:w="60"/>
              <w:right w:type="dxa" w:w="80"/>
            </w:tcMar>
          </w:tcPr>
          <w:p>
            <w:r>
              <w:rPr>
                <w:b w:val="false"/>
                <w:bCs w:val="false"/>
                <w:sz w:val="17"/>
                <w:szCs w:val="17"/>
              </w:rPr>
              <w:t xml:space="preserve">Medium</w:t>
            </w:r>
          </w:p>
        </w:tc>
        <w:tc>
          <w:tcPr>
            <w:shd w:fill="EFF3F7" w:val="clear"/>
            <w:tcMar>
              <w:top w:type="dxa" w:w="60"/>
              <w:left w:type="dxa" w:w="80"/>
              <w:bottom w:type="dxa" w:w="60"/>
              <w:right w:type="dxa" w:w="80"/>
            </w:tcMar>
          </w:tcPr>
          <w:p>
            <w:r>
              <w:rPr>
                <w:b w:val="false"/>
                <w:bCs w:val="false"/>
                <w:sz w:val="17"/>
                <w:szCs w:val="17"/>
              </w:rPr>
              <w:t xml:space="preserve">Originally Mandatory</w:t>
            </w:r>
          </w:p>
        </w:tc>
        <w:tc>
          <w:tcPr>
            <w:shd w:fill="EFF3F7" w:val="clear"/>
            <w:tcMar>
              <w:top w:type="dxa" w:w="60"/>
              <w:left w:type="dxa" w:w="80"/>
              <w:bottom w:type="dxa" w:w="60"/>
              <w:right w:type="dxa" w:w="80"/>
            </w:tcMar>
          </w:tcPr>
          <w:p>
            <w:r>
              <w:rPr>
                <w:b w:val="false"/>
                <w:bCs w:val="false"/>
                <w:sz w:val="17"/>
                <w:szCs w:val="17"/>
              </w:rPr>
              <w:t xml:space="preserve">Non-conformant (G-06)</w:t>
            </w:r>
          </w:p>
        </w:tc>
        <w:tc>
          <w:tcPr>
            <w:shd w:fill="EFF3F7" w:val="clear"/>
            <w:tcMar>
              <w:top w:type="dxa" w:w="60"/>
              <w:left w:type="dxa" w:w="80"/>
              <w:bottom w:type="dxa" w:w="60"/>
              <w:right w:type="dxa" w:w="80"/>
            </w:tcMar>
          </w:tcPr>
          <w:p>
            <w:r>
              <w:rPr>
                <w:b w:val="false"/>
                <w:bCs w:val="false"/>
                <w:sz w:val="17"/>
                <w:szCs w:val="17"/>
              </w:rPr>
              <w:t xml:space="preserve">EGD-0006 / —</w:t>
            </w:r>
          </w:p>
        </w:tc>
      </w:tr>
      <w:tr>
        <w:tc>
          <w:tcPr>
            <w:tcMar>
              <w:top w:type="dxa" w:w="60"/>
              <w:left w:type="dxa" w:w="80"/>
              <w:bottom w:type="dxa" w:w="60"/>
              <w:right w:type="dxa" w:w="80"/>
            </w:tcMar>
          </w:tcPr>
          <w:p>
            <w:r>
              <w:rPr>
                <w:b w:val="false"/>
                <w:bCs w:val="false"/>
                <w:sz w:val="17"/>
                <w:szCs w:val="17"/>
              </w:rPr>
              <w:t xml:space="preserve">AR-0007</w:t>
            </w:r>
          </w:p>
        </w:tc>
        <w:tc>
          <w:tcPr>
            <w:tcMar>
              <w:top w:type="dxa" w:w="60"/>
              <w:left w:type="dxa" w:w="80"/>
              <w:bottom w:type="dxa" w:w="60"/>
              <w:right w:type="dxa" w:w="80"/>
            </w:tcMar>
          </w:tcPr>
          <w:p>
            <w:r>
              <w:rPr>
                <w:b w:val="false"/>
                <w:bCs w:val="false"/>
                <w:sz w:val="17"/>
                <w:szCs w:val="17"/>
              </w:rPr>
              <w:t xml:space="preserve">Security</w:t>
            </w:r>
          </w:p>
        </w:tc>
        <w:tc>
          <w:tcPr>
            <w:tcMar>
              <w:top w:type="dxa" w:w="60"/>
              <w:left w:type="dxa" w:w="80"/>
              <w:bottom w:type="dxa" w:w="60"/>
              <w:right w:type="dxa" w:w="80"/>
            </w:tcMar>
          </w:tcPr>
          <w:p>
            <w:r>
              <w:rPr>
                <w:b w:val="false"/>
                <w:bCs w:val="false"/>
                <w:sz w:val="17"/>
                <w:szCs w:val="17"/>
              </w:rPr>
              <w:t xml:space="preserve">Uniform RLS ownership-check coverage across all student-owned tables.</w:t>
            </w:r>
          </w:p>
        </w:tc>
        <w:tc>
          <w:tcPr>
            <w:tcMar>
              <w:top w:type="dxa" w:w="60"/>
              <w:left w:type="dxa" w:w="80"/>
              <w:bottom w:type="dxa" w:w="60"/>
              <w:right w:type="dxa" w:w="80"/>
            </w:tcMar>
          </w:tcPr>
          <w:p>
            <w:r>
              <w:rPr>
                <w:b w:val="false"/>
                <w:bCs w:val="false"/>
                <w:sz w:val="17"/>
                <w:szCs w:val="17"/>
              </w:rPr>
              <w:t xml:space="preserve">High</w:t>
            </w:r>
          </w:p>
        </w:tc>
        <w:tc>
          <w:tcPr>
            <w:tcMar>
              <w:top w:type="dxa" w:w="60"/>
              <w:left w:type="dxa" w:w="80"/>
              <w:bottom w:type="dxa" w:w="60"/>
              <w:right w:type="dxa" w:w="80"/>
            </w:tcMar>
          </w:tcPr>
          <w:p>
            <w:r>
              <w:rPr>
                <w:b w:val="false"/>
                <w:bCs w:val="false"/>
                <w:sz w:val="17"/>
                <w:szCs w:val="17"/>
              </w:rPr>
              <w:t xml:space="preserve">Mandatory</w:t>
            </w:r>
          </w:p>
        </w:tc>
        <w:tc>
          <w:tcPr>
            <w:tcMar>
              <w:top w:type="dxa" w:w="60"/>
              <w:left w:type="dxa" w:w="80"/>
              <w:bottom w:type="dxa" w:w="60"/>
              <w:right w:type="dxa" w:w="80"/>
            </w:tcMar>
          </w:tcPr>
          <w:p>
            <w:r>
              <w:rPr>
                <w:b w:val="false"/>
                <w:bCs w:val="false"/>
                <w:sz w:val="17"/>
                <w:szCs w:val="17"/>
              </w:rPr>
              <w:t xml:space="preserve">Partially conformant, partially unverified (G-07)</w:t>
            </w:r>
          </w:p>
        </w:tc>
        <w:tc>
          <w:tcPr>
            <w:tcMar>
              <w:top w:type="dxa" w:w="60"/>
              <w:left w:type="dxa" w:w="80"/>
              <w:bottom w:type="dxa" w:w="60"/>
              <w:right w:type="dxa" w:w="80"/>
            </w:tcMar>
          </w:tcPr>
          <w:p>
            <w:r>
              <w:rPr>
                <w:b w:val="false"/>
                <w:bCs w:val="false"/>
                <w:sz w:val="17"/>
                <w:szCs w:val="17"/>
              </w:rPr>
              <w:t xml:space="preserve">EGD-0007 / WP-0002</w:t>
            </w:r>
          </w:p>
        </w:tc>
      </w:tr>
      <w:tr>
        <w:tc>
          <w:tcPr>
            <w:shd w:fill="EFF3F7" w:val="clear"/>
            <w:tcMar>
              <w:top w:type="dxa" w:w="60"/>
              <w:left w:type="dxa" w:w="80"/>
              <w:bottom w:type="dxa" w:w="60"/>
              <w:right w:type="dxa" w:w="80"/>
            </w:tcMar>
          </w:tcPr>
          <w:p>
            <w:r>
              <w:rPr>
                <w:b w:val="false"/>
                <w:bCs w:val="false"/>
                <w:sz w:val="17"/>
                <w:szCs w:val="17"/>
              </w:rPr>
              <w:t xml:space="preserve">AR-0008</w:t>
            </w:r>
          </w:p>
        </w:tc>
        <w:tc>
          <w:tcPr>
            <w:shd w:fill="EFF3F7" w:val="clear"/>
            <w:tcMar>
              <w:top w:type="dxa" w:w="60"/>
              <w:left w:type="dxa" w:w="80"/>
              <w:bottom w:type="dxa" w:w="60"/>
              <w:right w:type="dxa" w:w="80"/>
            </w:tcMar>
          </w:tcPr>
          <w:p>
            <w:r>
              <w:rPr>
                <w:b w:val="false"/>
                <w:bCs w:val="false"/>
                <w:sz w:val="17"/>
                <w:szCs w:val="17"/>
              </w:rPr>
              <w:t xml:space="preserve">Schema Design</w:t>
            </w:r>
          </w:p>
        </w:tc>
        <w:tc>
          <w:tcPr>
            <w:shd w:fill="EFF3F7" w:val="clear"/>
            <w:tcMar>
              <w:top w:type="dxa" w:w="60"/>
              <w:left w:type="dxa" w:w="80"/>
              <w:bottom w:type="dxa" w:w="60"/>
              <w:right w:type="dxa" w:w="80"/>
            </w:tcMar>
          </w:tcPr>
          <w:p>
            <w:r>
              <w:rPr>
                <w:b w:val="false"/>
                <w:bCs w:val="false"/>
                <w:sz w:val="17"/>
                <w:szCs w:val="17"/>
              </w:rPr>
              <w:t xml:space="preserve">UUID primary keys on all tables.</w:t>
            </w:r>
          </w:p>
        </w:tc>
        <w:tc>
          <w:tcPr>
            <w:shd w:fill="EFF3F7" w:val="clear"/>
            <w:tcMar>
              <w:top w:type="dxa" w:w="60"/>
              <w:left w:type="dxa" w:w="80"/>
              <w:bottom w:type="dxa" w:w="60"/>
              <w:right w:type="dxa" w:w="80"/>
            </w:tcMar>
          </w:tcPr>
          <w:p>
            <w:r>
              <w:rPr>
                <w:b w:val="false"/>
                <w:bCs w:val="false"/>
                <w:sz w:val="17"/>
                <w:szCs w:val="17"/>
              </w:rPr>
              <w:t xml:space="preserve">Mandatory</w:t>
            </w:r>
          </w:p>
        </w:tc>
        <w:tc>
          <w:tcPr>
            <w:shd w:fill="EFF3F7" w:val="clear"/>
            <w:tcMar>
              <w:top w:type="dxa" w:w="60"/>
              <w:left w:type="dxa" w:w="80"/>
              <w:bottom w:type="dxa" w:w="60"/>
              <w:right w:type="dxa" w:w="80"/>
            </w:tcMar>
          </w:tcPr>
          <w:p>
            <w:r>
              <w:rPr>
                <w:b w:val="false"/>
                <w:bCs w:val="false"/>
                <w:sz w:val="17"/>
                <w:szCs w:val="17"/>
              </w:rPr>
              <w:t xml:space="preserve">Mandatory</w:t>
            </w:r>
          </w:p>
        </w:tc>
        <w:tc>
          <w:tcPr>
            <w:shd w:fill="EFF3F7" w:val="clear"/>
            <w:tcMar>
              <w:top w:type="dxa" w:w="60"/>
              <w:left w:type="dxa" w:w="80"/>
              <w:bottom w:type="dxa" w:w="60"/>
              <w:right w:type="dxa" w:w="80"/>
            </w:tcMar>
          </w:tcPr>
          <w:p>
            <w:r>
              <w:rPr>
                <w:b w:val="false"/>
                <w:bCs w:val="false"/>
                <w:sz w:val="17"/>
                <w:szCs w:val="17"/>
              </w:rPr>
              <w:t xml:space="preserve">Conformant (CR-05, exceeds via independent design)</w:t>
            </w:r>
          </w:p>
        </w:tc>
        <w:tc>
          <w:tcPr>
            <w:shd w:fill="EFF3F7" w:val="clear"/>
            <w:tcMar>
              <w:top w:type="dxa" w:w="60"/>
              <w:left w:type="dxa" w:w="80"/>
              <w:bottom w:type="dxa" w:w="60"/>
              <w:right w:type="dxa" w:w="80"/>
            </w:tcMar>
          </w:tcPr>
          <w:p>
            <w:r>
              <w:rPr>
                <w:b w:val="false"/>
                <w:bCs w:val="false"/>
                <w:sz w:val="17"/>
                <w:szCs w:val="17"/>
              </w:rPr>
              <w:t xml:space="preserve">EGD-0008 / —</w:t>
            </w:r>
          </w:p>
        </w:tc>
      </w:tr>
      <w:tr>
        <w:tc>
          <w:tcPr>
            <w:tcMar>
              <w:top w:type="dxa" w:w="60"/>
              <w:left w:type="dxa" w:w="80"/>
              <w:bottom w:type="dxa" w:w="60"/>
              <w:right w:type="dxa" w:w="80"/>
            </w:tcMar>
          </w:tcPr>
          <w:p>
            <w:r>
              <w:rPr>
                <w:b w:val="false"/>
                <w:bCs w:val="false"/>
                <w:sz w:val="17"/>
                <w:szCs w:val="17"/>
              </w:rPr>
              <w:t xml:space="preserve">AR-0009</w:t>
            </w:r>
          </w:p>
        </w:tc>
        <w:tc>
          <w:tcPr>
            <w:tcMar>
              <w:top w:type="dxa" w:w="60"/>
              <w:left w:type="dxa" w:w="80"/>
              <w:bottom w:type="dxa" w:w="60"/>
              <w:right w:type="dxa" w:w="80"/>
            </w:tcMar>
          </w:tcPr>
          <w:p>
            <w:r>
              <w:rPr>
                <w:b w:val="false"/>
                <w:bCs w:val="false"/>
                <w:sz w:val="17"/>
                <w:szCs w:val="17"/>
              </w:rPr>
              <w:t xml:space="preserve">Schema Design</w:t>
            </w:r>
          </w:p>
        </w:tc>
        <w:tc>
          <w:tcPr>
            <w:tcMar>
              <w:top w:type="dxa" w:w="60"/>
              <w:left w:type="dxa" w:w="80"/>
              <w:bottom w:type="dxa" w:w="60"/>
              <w:right w:type="dxa" w:w="80"/>
            </w:tcMar>
          </w:tcPr>
          <w:p>
            <w:r>
              <w:rPr>
                <w:b w:val="false"/>
                <w:bCs w:val="false"/>
                <w:sz w:val="17"/>
                <w:szCs w:val="17"/>
              </w:rPr>
              <w:t xml:space="preserve">timestamptz used consistently; no naive timestamp columns.</w:t>
            </w:r>
          </w:p>
        </w:tc>
        <w:tc>
          <w:tcPr>
            <w:tcMar>
              <w:top w:type="dxa" w:w="60"/>
              <w:left w:type="dxa" w:w="80"/>
              <w:bottom w:type="dxa" w:w="60"/>
              <w:right w:type="dxa" w:w="80"/>
            </w:tcMar>
          </w:tcPr>
          <w:p>
            <w:r>
              <w:rPr>
                <w:b w:val="false"/>
                <w:bCs w:val="false"/>
                <w:sz w:val="17"/>
                <w:szCs w:val="17"/>
              </w:rPr>
              <w:t xml:space="preserve">Mandatory</w:t>
            </w:r>
          </w:p>
        </w:tc>
        <w:tc>
          <w:tcPr>
            <w:tcMar>
              <w:top w:type="dxa" w:w="60"/>
              <w:left w:type="dxa" w:w="80"/>
              <w:bottom w:type="dxa" w:w="60"/>
              <w:right w:type="dxa" w:w="80"/>
            </w:tcMar>
          </w:tcPr>
          <w:p>
            <w:r>
              <w:rPr>
                <w:b w:val="false"/>
                <w:bCs w:val="false"/>
                <w:sz w:val="17"/>
                <w:szCs w:val="17"/>
              </w:rPr>
              <w:t xml:space="preserve">Mandatory</w:t>
            </w:r>
          </w:p>
        </w:tc>
        <w:tc>
          <w:tcPr>
            <w:tcMar>
              <w:top w:type="dxa" w:w="60"/>
              <w:left w:type="dxa" w:w="80"/>
              <w:bottom w:type="dxa" w:w="60"/>
              <w:right w:type="dxa" w:w="80"/>
            </w:tcMar>
          </w:tcPr>
          <w:p>
            <w:r>
              <w:rPr>
                <w:b w:val="false"/>
                <w:bCs w:val="false"/>
                <w:sz w:val="17"/>
                <w:szCs w:val="17"/>
              </w:rPr>
              <w:t xml:space="preserve">Conformant (CR-06)</w:t>
            </w:r>
          </w:p>
        </w:tc>
        <w:tc>
          <w:tcPr>
            <w:tcMar>
              <w:top w:type="dxa" w:w="60"/>
              <w:left w:type="dxa" w:w="80"/>
              <w:bottom w:type="dxa" w:w="60"/>
              <w:right w:type="dxa" w:w="80"/>
            </w:tcMar>
          </w:tcPr>
          <w:p>
            <w:r>
              <w:rPr>
                <w:b w:val="false"/>
                <w:bCs w:val="false"/>
                <w:sz w:val="17"/>
                <w:szCs w:val="17"/>
              </w:rPr>
              <w:t xml:space="preserve">EGD-0008 / —</w:t>
            </w:r>
          </w:p>
        </w:tc>
      </w:tr>
      <w:tr>
        <w:tc>
          <w:tcPr>
            <w:shd w:fill="EFF3F7" w:val="clear"/>
            <w:tcMar>
              <w:top w:type="dxa" w:w="60"/>
              <w:left w:type="dxa" w:w="80"/>
              <w:bottom w:type="dxa" w:w="60"/>
              <w:right w:type="dxa" w:w="80"/>
            </w:tcMar>
          </w:tcPr>
          <w:p>
            <w:r>
              <w:rPr>
                <w:b w:val="false"/>
                <w:bCs w:val="false"/>
                <w:sz w:val="17"/>
                <w:szCs w:val="17"/>
              </w:rPr>
              <w:t xml:space="preserve">AR-0010</w:t>
            </w:r>
          </w:p>
        </w:tc>
        <w:tc>
          <w:tcPr>
            <w:shd w:fill="EFF3F7" w:val="clear"/>
            <w:tcMar>
              <w:top w:type="dxa" w:w="60"/>
              <w:left w:type="dxa" w:w="80"/>
              <w:bottom w:type="dxa" w:w="60"/>
              <w:right w:type="dxa" w:w="80"/>
            </w:tcMar>
          </w:tcPr>
          <w:p>
            <w:r>
              <w:rPr>
                <w:b w:val="false"/>
                <w:bCs w:val="false"/>
                <w:sz w:val="17"/>
                <w:szCs w:val="17"/>
              </w:rPr>
              <w:t xml:space="preserve">Delivery Governance</w:t>
            </w:r>
          </w:p>
        </w:tc>
        <w:tc>
          <w:tcPr>
            <w:shd w:fill="EFF3F7" w:val="clear"/>
            <w:tcMar>
              <w:top w:type="dxa" w:w="60"/>
              <w:left w:type="dxa" w:w="80"/>
              <w:bottom w:type="dxa" w:w="60"/>
              <w:right w:type="dxa" w:w="80"/>
            </w:tcMar>
          </w:tcPr>
          <w:p>
            <w:r>
              <w:rPr>
                <w:b w:val="false"/>
                <w:bCs w:val="false"/>
                <w:sz w:val="17"/>
                <w:szCs w:val="17"/>
              </w:rPr>
              <w:t xml:space="preserve">Idempotent, rollback-ready, consistently-named migrations.</w:t>
            </w:r>
          </w:p>
        </w:tc>
        <w:tc>
          <w:tcPr>
            <w:shd w:fill="EFF3F7" w:val="clear"/>
            <w:tcMar>
              <w:top w:type="dxa" w:w="60"/>
              <w:left w:type="dxa" w:w="80"/>
              <w:bottom w:type="dxa" w:w="60"/>
              <w:right w:type="dxa" w:w="80"/>
            </w:tcMar>
          </w:tcPr>
          <w:p>
            <w:r>
              <w:rPr>
                <w:b w:val="false"/>
                <w:bCs w:val="false"/>
                <w:sz w:val="17"/>
                <w:szCs w:val="17"/>
              </w:rPr>
              <w:t xml:space="preserve">Mandatory</w:t>
            </w:r>
          </w:p>
        </w:tc>
        <w:tc>
          <w:tcPr>
            <w:shd w:fill="EFF3F7" w:val="clear"/>
            <w:tcMar>
              <w:top w:type="dxa" w:w="60"/>
              <w:left w:type="dxa" w:w="80"/>
              <w:bottom w:type="dxa" w:w="60"/>
              <w:right w:type="dxa" w:w="80"/>
            </w:tcMar>
          </w:tcPr>
          <w:p>
            <w:r>
              <w:rPr>
                <w:b w:val="false"/>
                <w:bCs w:val="false"/>
                <w:sz w:val="17"/>
                <w:szCs w:val="17"/>
              </w:rPr>
              <w:t xml:space="preserve">Mandatory</w:t>
            </w:r>
          </w:p>
        </w:tc>
        <w:tc>
          <w:tcPr>
            <w:shd w:fill="EFF3F7" w:val="clear"/>
            <w:tcMar>
              <w:top w:type="dxa" w:w="60"/>
              <w:left w:type="dxa" w:w="80"/>
              <w:bottom w:type="dxa" w:w="60"/>
              <w:right w:type="dxa" w:w="80"/>
            </w:tcMar>
          </w:tcPr>
          <w:p>
            <w:r>
              <w:rPr>
                <w:b w:val="false"/>
                <w:bCs w:val="false"/>
                <w:sz w:val="17"/>
                <w:szCs w:val="17"/>
              </w:rPr>
              <w:t xml:space="preserve">Conformant, exceeds bar</w:t>
            </w:r>
          </w:p>
        </w:tc>
        <w:tc>
          <w:tcPr>
            <w:shd w:fill="EFF3F7" w:val="clear"/>
            <w:tcMar>
              <w:top w:type="dxa" w:w="60"/>
              <w:left w:type="dxa" w:w="80"/>
              <w:bottom w:type="dxa" w:w="60"/>
              <w:right w:type="dxa" w:w="80"/>
            </w:tcMar>
          </w:tcPr>
          <w:p>
            <w:r>
              <w:rPr>
                <w:b w:val="false"/>
                <w:bCs w:val="false"/>
                <w:sz w:val="17"/>
                <w:szCs w:val="17"/>
              </w:rPr>
              <w:t xml:space="preserve">EGD-0009 / —</w:t>
            </w:r>
          </w:p>
        </w:tc>
      </w:tr>
    </w:tbl>
    <w:p>
      <w:r>
        <w:br w:type="page"/>
      </w:r>
    </w:p>
    <w:p>
      <w:pPr>
        <w:pStyle w:val="Heading1"/>
        <w:spacing w:after="120" w:before="300"/>
      </w:pPr>
      <w:r>
        <w:t xml:space="preserve">4. Enterprise Governance Decision Register</w:t>
      </w:r>
    </w:p>
    <w:p>
      <w:pPr>
        <w:spacing w:after="120"/>
      </w:pPr>
      <w:r>
        <w:rPr>
          <w:sz w:val="20"/>
          <w:szCs w:val="20"/>
        </w:rPr>
        <w:t xml:space="preserve">Every approved ADR from Phase A.2 converted into a permanent Enterprise Governance Decision. EGD-0008 and EGD-0009 are new entries covering the two dimensions Phase A.1 found already conformant, added here so the full requirements catalog (§3) has complete governance coverage, not just the seven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2A44" w:val="clear"/>
            <w:tcMar>
              <w:top w:type="dxa" w:w="60"/>
              <w:left w:type="dxa" w:w="80"/>
              <w:bottom w:type="dxa" w:w="60"/>
              <w:right w:type="dxa" w:w="80"/>
            </w:tcMar>
          </w:tcPr>
          <w:p>
            <w:r>
              <w:rPr>
                <w:b/>
                <w:bCs/>
                <w:color w:val="FFFFFF"/>
                <w:sz w:val="17"/>
                <w:szCs w:val="17"/>
              </w:rPr>
              <w:t xml:space="preserve">EGD ID</w:t>
            </w:r>
          </w:p>
        </w:tc>
        <w:tc>
          <w:tcPr>
            <w:shd w:fill="1F2A44" w:val="clear"/>
            <w:tcMar>
              <w:top w:type="dxa" w:w="60"/>
              <w:left w:type="dxa" w:w="80"/>
              <w:bottom w:type="dxa" w:w="60"/>
              <w:right w:type="dxa" w:w="80"/>
            </w:tcMar>
          </w:tcPr>
          <w:p>
            <w:r>
              <w:rPr>
                <w:b/>
                <w:bCs/>
                <w:color w:val="FFFFFF"/>
                <w:sz w:val="17"/>
                <w:szCs w:val="17"/>
              </w:rPr>
              <w:t xml:space="preserve">Related ADR</w:t>
            </w:r>
          </w:p>
        </w:tc>
        <w:tc>
          <w:tcPr>
            <w:shd w:fill="1F2A44" w:val="clear"/>
            <w:tcMar>
              <w:top w:type="dxa" w:w="60"/>
              <w:left w:type="dxa" w:w="80"/>
              <w:bottom w:type="dxa" w:w="60"/>
              <w:right w:type="dxa" w:w="80"/>
            </w:tcMar>
          </w:tcPr>
          <w:p>
            <w:r>
              <w:rPr>
                <w:b/>
                <w:bCs/>
                <w:color w:val="FFFFFF"/>
                <w:sz w:val="17"/>
                <w:szCs w:val="17"/>
              </w:rPr>
              <w:t xml:space="preserve">AR</w:t>
            </w:r>
          </w:p>
        </w:tc>
        <w:tc>
          <w:tcPr>
            <w:shd w:fill="1F2A44" w:val="clear"/>
            <w:tcMar>
              <w:top w:type="dxa" w:w="60"/>
              <w:left w:type="dxa" w:w="80"/>
              <w:bottom w:type="dxa" w:w="60"/>
              <w:right w:type="dxa" w:w="80"/>
            </w:tcMar>
          </w:tcPr>
          <w:p>
            <w:r>
              <w:rPr>
                <w:b/>
                <w:bCs/>
                <w:color w:val="FFFFFF"/>
                <w:sz w:val="17"/>
                <w:szCs w:val="17"/>
              </w:rPr>
              <w:t xml:space="preserve">Decision</w:t>
            </w:r>
          </w:p>
        </w:tc>
        <w:tc>
          <w:tcPr>
            <w:shd w:fill="1F2A44" w:val="clear"/>
            <w:tcMar>
              <w:top w:type="dxa" w:w="60"/>
              <w:left w:type="dxa" w:w="80"/>
              <w:bottom w:type="dxa" w:w="60"/>
              <w:right w:type="dxa" w:w="80"/>
            </w:tcMar>
          </w:tcPr>
          <w:p>
            <w:r>
              <w:rPr>
                <w:b/>
                <w:bCs/>
                <w:color w:val="FFFFFF"/>
                <w:sz w:val="17"/>
                <w:szCs w:val="17"/>
              </w:rPr>
              <w:t xml:space="preserve">Owner</w:t>
            </w:r>
          </w:p>
        </w:tc>
        <w:tc>
          <w:tcPr>
            <w:shd w:fill="1F2A44" w:val="clear"/>
            <w:tcMar>
              <w:top w:type="dxa" w:w="60"/>
              <w:left w:type="dxa" w:w="80"/>
              <w:bottom w:type="dxa" w:w="60"/>
              <w:right w:type="dxa" w:w="80"/>
            </w:tcMar>
          </w:tcPr>
          <w:p>
            <w:r>
              <w:rPr>
                <w:b/>
                <w:bCs/>
                <w:color w:val="FFFFFF"/>
                <w:sz w:val="17"/>
                <w:szCs w:val="17"/>
              </w:rPr>
              <w:t xml:space="preserve">Adoption Trigger</w:t>
            </w:r>
          </w:p>
        </w:tc>
        <w:tc>
          <w:tcPr>
            <w:shd w:fill="1F2A44" w:val="clear"/>
            <w:tcMar>
              <w:top w:type="dxa" w:w="60"/>
              <w:left w:type="dxa" w:w="80"/>
              <w:bottom w:type="dxa" w:w="60"/>
              <w:right w:type="dxa" w:w="80"/>
            </w:tcMar>
          </w:tcPr>
          <w:p>
            <w:r>
              <w:rPr>
                <w:b/>
                <w:bCs/>
                <w:color w:val="FFFFFF"/>
                <w:sz w:val="17"/>
                <w:szCs w:val="17"/>
              </w:rPr>
              <w:t xml:space="preserve">Status</w:t>
            </w:r>
          </w:p>
        </w:tc>
      </w:tr>
      <w:tr>
        <w:tc>
          <w:tcPr>
            <w:tcMar>
              <w:top w:type="dxa" w:w="60"/>
              <w:left w:type="dxa" w:w="80"/>
              <w:bottom w:type="dxa" w:w="60"/>
              <w:right w:type="dxa" w:w="80"/>
            </w:tcMar>
          </w:tcPr>
          <w:p>
            <w:r>
              <w:rPr>
                <w:b w:val="false"/>
                <w:bCs w:val="false"/>
                <w:sz w:val="17"/>
                <w:szCs w:val="17"/>
              </w:rPr>
              <w:t xml:space="preserve">EGD-0001</w:t>
            </w:r>
          </w:p>
        </w:tc>
        <w:tc>
          <w:tcPr>
            <w:tcMar>
              <w:top w:type="dxa" w:w="60"/>
              <w:left w:type="dxa" w:w="80"/>
              <w:bottom w:type="dxa" w:w="60"/>
              <w:right w:type="dxa" w:w="80"/>
            </w:tcMar>
          </w:tcPr>
          <w:p>
            <w:r>
              <w:rPr>
                <w:b w:val="false"/>
                <w:bCs w:val="false"/>
                <w:sz w:val="17"/>
                <w:szCs w:val="17"/>
              </w:rPr>
              <w:t xml:space="preserve">ADR-001</w:t>
            </w:r>
          </w:p>
        </w:tc>
        <w:tc>
          <w:tcPr>
            <w:tcMar>
              <w:top w:type="dxa" w:w="60"/>
              <w:left w:type="dxa" w:w="80"/>
              <w:bottom w:type="dxa" w:w="60"/>
              <w:right w:type="dxa" w:w="80"/>
            </w:tcMar>
          </w:tcPr>
          <w:p>
            <w:r>
              <w:rPr>
                <w:b w:val="false"/>
                <w:bCs w:val="false"/>
                <w:sz w:val="17"/>
                <w:szCs w:val="17"/>
              </w:rPr>
              <w:t xml:space="preserve">AR-0001</w:t>
            </w:r>
          </w:p>
        </w:tc>
        <w:tc>
          <w:tcPr>
            <w:tcMar>
              <w:top w:type="dxa" w:w="60"/>
              <w:left w:type="dxa" w:w="80"/>
              <w:bottom w:type="dxa" w:w="60"/>
              <w:right w:type="dxa" w:w="80"/>
            </w:tcMar>
          </w:tcPr>
          <w:p>
            <w:r>
              <w:rPr>
                <w:b w:val="false"/>
                <w:bCs w:val="false"/>
                <w:sz w:val="17"/>
                <w:szCs w:val="17"/>
              </w:rPr>
              <w:t xml:space="preserve">Defer schema isolation.</w:t>
            </w:r>
          </w:p>
        </w:tc>
        <w:tc>
          <w:tcPr>
            <w:tcMar>
              <w:top w:type="dxa" w:w="60"/>
              <w:left w:type="dxa" w:w="80"/>
              <w:bottom w:type="dxa" w:w="60"/>
              <w:right w:type="dxa" w:w="80"/>
            </w:tcMar>
          </w:tcPr>
          <w:p>
            <w:r>
              <w:rPr>
                <w:b w:val="false"/>
                <w:bCs w:val="false"/>
                <w:sz w:val="17"/>
                <w:szCs w:val="17"/>
              </w:rPr>
              <w:t xml:space="preserve">Data/Platform engineering lead (unassigned — WP-0006)</w:t>
            </w:r>
          </w:p>
        </w:tc>
        <w:tc>
          <w:tcPr>
            <w:tcMar>
              <w:top w:type="dxa" w:w="60"/>
              <w:left w:type="dxa" w:w="80"/>
              <w:bottom w:type="dxa" w:w="60"/>
              <w:right w:type="dxa" w:w="80"/>
            </w:tcMar>
          </w:tcPr>
          <w:p>
            <w:r>
              <w:rPr>
                <w:b w:val="false"/>
                <w:bCs w:val="false"/>
                <w:sz w:val="17"/>
                <w:szCs w:val="17"/>
              </w:rPr>
              <w:t xml:space="preserve">2nd domain shares public schema, or public exceeds ~150 tables.</w:t>
            </w:r>
          </w:p>
        </w:tc>
        <w:tc>
          <w:tcPr>
            <w:tcMar>
              <w:top w:type="dxa" w:w="60"/>
              <w:left w:type="dxa" w:w="80"/>
              <w:bottom w:type="dxa" w:w="60"/>
              <w:right w:type="dxa" w:w="80"/>
            </w:tcMar>
          </w:tcPr>
          <w:p>
            <w:r>
              <w:rPr>
                <w:b w:val="false"/>
                <w:bCs w:val="false"/>
                <w:sz w:val="17"/>
                <w:szCs w:val="17"/>
              </w:rPr>
              <w:t xml:space="preserve">Deferred</w:t>
            </w:r>
          </w:p>
        </w:tc>
      </w:tr>
      <w:tr>
        <w:tc>
          <w:tcPr>
            <w:shd w:fill="EFF3F7" w:val="clear"/>
            <w:tcMar>
              <w:top w:type="dxa" w:w="60"/>
              <w:left w:type="dxa" w:w="80"/>
              <w:bottom w:type="dxa" w:w="60"/>
              <w:right w:type="dxa" w:w="80"/>
            </w:tcMar>
          </w:tcPr>
          <w:p>
            <w:r>
              <w:rPr>
                <w:b w:val="false"/>
                <w:bCs w:val="false"/>
                <w:sz w:val="17"/>
                <w:szCs w:val="17"/>
              </w:rPr>
              <w:t xml:space="preserve">EGD-0002</w:t>
            </w:r>
          </w:p>
        </w:tc>
        <w:tc>
          <w:tcPr>
            <w:shd w:fill="EFF3F7" w:val="clear"/>
            <w:tcMar>
              <w:top w:type="dxa" w:w="60"/>
              <w:left w:type="dxa" w:w="80"/>
              <w:bottom w:type="dxa" w:w="60"/>
              <w:right w:type="dxa" w:w="80"/>
            </w:tcMar>
          </w:tcPr>
          <w:p>
            <w:r>
              <w:rPr>
                <w:b w:val="false"/>
                <w:bCs w:val="false"/>
                <w:sz w:val="17"/>
                <w:szCs w:val="17"/>
              </w:rPr>
              <w:t xml:space="preserve">ADR-002</w:t>
            </w:r>
          </w:p>
        </w:tc>
        <w:tc>
          <w:tcPr>
            <w:shd w:fill="EFF3F7" w:val="clear"/>
            <w:tcMar>
              <w:top w:type="dxa" w:w="60"/>
              <w:left w:type="dxa" w:w="80"/>
              <w:bottom w:type="dxa" w:w="60"/>
              <w:right w:type="dxa" w:w="80"/>
            </w:tcMar>
          </w:tcPr>
          <w:p>
            <w:r>
              <w:rPr>
                <w:b w:val="false"/>
                <w:bCs w:val="false"/>
                <w:sz w:val="17"/>
                <w:szCs w:val="17"/>
              </w:rPr>
              <w:t xml:space="preserve">AR-0002</w:t>
            </w:r>
          </w:p>
        </w:tc>
        <w:tc>
          <w:tcPr>
            <w:shd w:fill="EFF3F7" w:val="clear"/>
            <w:tcMar>
              <w:top w:type="dxa" w:w="60"/>
              <w:left w:type="dxa" w:w="80"/>
              <w:bottom w:type="dxa" w:w="60"/>
              <w:right w:type="dxa" w:w="80"/>
            </w:tcMar>
          </w:tcPr>
          <w:p>
            <w:r>
              <w:rPr>
                <w:b w:val="false"/>
                <w:bCs w:val="false"/>
                <w:sz w:val="17"/>
                <w:szCs w:val="17"/>
              </w:rPr>
              <w:t xml:space="preserve">Supersede canonical naming; revise EEP-01 Phase A to describe the live schema.</w:t>
            </w:r>
          </w:p>
        </w:tc>
        <w:tc>
          <w:tcPr>
            <w:shd w:fill="EFF3F7" w:val="clear"/>
            <w:tcMar>
              <w:top w:type="dxa" w:w="60"/>
              <w:left w:type="dxa" w:w="80"/>
              <w:bottom w:type="dxa" w:w="60"/>
              <w:right w:type="dxa" w:w="80"/>
            </w:tcMar>
          </w:tcPr>
          <w:p>
            <w:r>
              <w:rPr>
                <w:b w:val="false"/>
                <w:bCs w:val="false"/>
                <w:sz w:val="17"/>
                <w:szCs w:val="17"/>
              </w:rPr>
              <w:t xml:space="preserve">Enterprise architecture owner (unassigned — WP-0006)</w:t>
            </w:r>
          </w:p>
        </w:tc>
        <w:tc>
          <w:tcPr>
            <w:shd w:fill="EFF3F7" w:val="clear"/>
            <w:tcMar>
              <w:top w:type="dxa" w:w="60"/>
              <w:left w:type="dxa" w:w="80"/>
              <w:bottom w:type="dxa" w:w="60"/>
              <w:right w:type="dxa" w:w="80"/>
            </w:tcMar>
          </w:tcPr>
          <w:p>
            <w:r>
              <w:rPr>
                <w:b w:val="false"/>
                <w:bCs w:val="false"/>
                <w:sz w:val="17"/>
                <w:szCs w:val="17"/>
              </w:rPr>
              <w:t xml:space="preserve">Not deferred — immediate.</w:t>
            </w:r>
          </w:p>
        </w:tc>
        <w:tc>
          <w:tcPr>
            <w:shd w:fill="EFF3F7" w:val="clear"/>
            <w:tcMar>
              <w:top w:type="dxa" w:w="60"/>
              <w:left w:type="dxa" w:w="80"/>
              <w:bottom w:type="dxa" w:w="60"/>
              <w:right w:type="dxa" w:w="80"/>
            </w:tcMar>
          </w:tcPr>
          <w:p>
            <w:r>
              <w:rPr>
                <w:b w:val="false"/>
                <w:bCs w:val="false"/>
                <w:sz w:val="17"/>
                <w:szCs w:val="17"/>
              </w:rPr>
              <w:t xml:space="preserve">Accepted (execution = WP-0001)</w:t>
            </w:r>
          </w:p>
        </w:tc>
      </w:tr>
      <w:tr>
        <w:tc>
          <w:tcPr>
            <w:tcMar>
              <w:top w:type="dxa" w:w="60"/>
              <w:left w:type="dxa" w:w="80"/>
              <w:bottom w:type="dxa" w:w="60"/>
              <w:right w:type="dxa" w:w="80"/>
            </w:tcMar>
          </w:tcPr>
          <w:p>
            <w:r>
              <w:rPr>
                <w:b w:val="false"/>
                <w:bCs w:val="false"/>
                <w:sz w:val="17"/>
                <w:szCs w:val="17"/>
              </w:rPr>
              <w:t xml:space="preserve">EGD-0003</w:t>
            </w:r>
          </w:p>
        </w:tc>
        <w:tc>
          <w:tcPr>
            <w:tcMar>
              <w:top w:type="dxa" w:w="60"/>
              <w:left w:type="dxa" w:w="80"/>
              <w:bottom w:type="dxa" w:w="60"/>
              <w:right w:type="dxa" w:w="80"/>
            </w:tcMar>
          </w:tcPr>
          <w:p>
            <w:r>
              <w:rPr>
                <w:b w:val="false"/>
                <w:bCs w:val="false"/>
                <w:sz w:val="17"/>
                <w:szCs w:val="17"/>
              </w:rPr>
              <w:t xml:space="preserve">ADR-003</w:t>
            </w:r>
          </w:p>
        </w:tc>
        <w:tc>
          <w:tcPr>
            <w:tcMar>
              <w:top w:type="dxa" w:w="60"/>
              <w:left w:type="dxa" w:w="80"/>
              <w:bottom w:type="dxa" w:w="60"/>
              <w:right w:type="dxa" w:w="80"/>
            </w:tcMar>
          </w:tcPr>
          <w:p>
            <w:r>
              <w:rPr>
                <w:b w:val="false"/>
                <w:bCs w:val="false"/>
                <w:sz w:val="17"/>
                <w:szCs w:val="17"/>
              </w:rPr>
              <w:t xml:space="preserve">AR-0003</w:t>
            </w:r>
          </w:p>
        </w:tc>
        <w:tc>
          <w:tcPr>
            <w:tcMar>
              <w:top w:type="dxa" w:w="60"/>
              <w:left w:type="dxa" w:w="80"/>
              <w:bottom w:type="dxa" w:w="60"/>
              <w:right w:type="dxa" w:w="80"/>
            </w:tcMar>
          </w:tcPr>
          <w:p>
            <w:r>
              <w:rPr>
                <w:b w:val="false"/>
                <w:bCs w:val="false"/>
                <w:sz w:val="17"/>
                <w:szCs w:val="17"/>
              </w:rPr>
              <w:t xml:space="preserve">Accept direct-FK taxonomy pattern, conditionally.</w:t>
            </w:r>
          </w:p>
        </w:tc>
        <w:tc>
          <w:tcPr>
            <w:tcMar>
              <w:top w:type="dxa" w:w="60"/>
              <w:left w:type="dxa" w:w="80"/>
              <w:bottom w:type="dxa" w:w="60"/>
              <w:right w:type="dxa" w:w="80"/>
            </w:tcMar>
          </w:tcPr>
          <w:p>
            <w:r>
              <w:rPr>
                <w:b w:val="false"/>
                <w:bCs w:val="false"/>
                <w:sz w:val="17"/>
                <w:szCs w:val="17"/>
              </w:rPr>
              <w:t xml:space="preserve">Data governance owner (unassigned — WP-0006)</w:t>
            </w:r>
          </w:p>
        </w:tc>
        <w:tc>
          <w:tcPr>
            <w:tcMar>
              <w:top w:type="dxa" w:w="60"/>
              <w:left w:type="dxa" w:w="80"/>
              <w:bottom w:type="dxa" w:w="60"/>
              <w:right w:type="dxa" w:w="80"/>
            </w:tcMar>
          </w:tcPr>
          <w:p>
            <w:r>
              <w:rPr>
                <w:b w:val="false"/>
                <w:bCs w:val="false"/>
                <w:sz w:val="17"/>
                <w:szCs w:val="17"/>
              </w:rPr>
              <w:t xml:space="preserve">Any student-owned table denormalizes a taxonomy fact, or taxonomy versioning becomes necessary.</w:t>
            </w:r>
          </w:p>
        </w:tc>
        <w:tc>
          <w:tcPr>
            <w:tcMar>
              <w:top w:type="dxa" w:w="60"/>
              <w:left w:type="dxa" w:w="80"/>
              <w:bottom w:type="dxa" w:w="60"/>
              <w:right w:type="dxa" w:w="80"/>
            </w:tcMar>
          </w:tcPr>
          <w:p>
            <w:r>
              <w:rPr>
                <w:b w:val="false"/>
                <w:bCs w:val="false"/>
                <w:sz w:val="17"/>
                <w:szCs w:val="17"/>
              </w:rPr>
              <w:t xml:space="preserve">Accepted, conditional</w:t>
            </w:r>
          </w:p>
        </w:tc>
      </w:tr>
      <w:tr>
        <w:tc>
          <w:tcPr>
            <w:shd w:fill="EFF3F7" w:val="clear"/>
            <w:tcMar>
              <w:top w:type="dxa" w:w="60"/>
              <w:left w:type="dxa" w:w="80"/>
              <w:bottom w:type="dxa" w:w="60"/>
              <w:right w:type="dxa" w:w="80"/>
            </w:tcMar>
          </w:tcPr>
          <w:p>
            <w:r>
              <w:rPr>
                <w:b w:val="false"/>
                <w:bCs w:val="false"/>
                <w:sz w:val="17"/>
                <w:szCs w:val="17"/>
              </w:rPr>
              <w:t xml:space="preserve">EGD-0004</w:t>
            </w:r>
          </w:p>
        </w:tc>
        <w:tc>
          <w:tcPr>
            <w:shd w:fill="EFF3F7" w:val="clear"/>
            <w:tcMar>
              <w:top w:type="dxa" w:w="60"/>
              <w:left w:type="dxa" w:w="80"/>
              <w:bottom w:type="dxa" w:w="60"/>
              <w:right w:type="dxa" w:w="80"/>
            </w:tcMar>
          </w:tcPr>
          <w:p>
            <w:r>
              <w:rPr>
                <w:b w:val="false"/>
                <w:bCs w:val="false"/>
                <w:sz w:val="17"/>
                <w:szCs w:val="17"/>
              </w:rPr>
              <w:t xml:space="preserve">ADR-004</w:t>
            </w:r>
          </w:p>
        </w:tc>
        <w:tc>
          <w:tcPr>
            <w:shd w:fill="EFF3F7" w:val="clear"/>
            <w:tcMar>
              <w:top w:type="dxa" w:w="60"/>
              <w:left w:type="dxa" w:w="80"/>
              <w:bottom w:type="dxa" w:w="60"/>
              <w:right w:type="dxa" w:w="80"/>
            </w:tcMar>
          </w:tcPr>
          <w:p>
            <w:r>
              <w:rPr>
                <w:b w:val="false"/>
                <w:bCs w:val="false"/>
                <w:sz w:val="17"/>
                <w:szCs w:val="17"/>
              </w:rPr>
              <w:t xml:space="preserve">AR-0004</w:t>
            </w:r>
          </w:p>
        </w:tc>
        <w:tc>
          <w:tcPr>
            <w:shd w:fill="EFF3F7" w:val="clear"/>
            <w:tcMar>
              <w:top w:type="dxa" w:w="60"/>
              <w:left w:type="dxa" w:w="80"/>
              <w:bottom w:type="dxa" w:w="60"/>
              <w:right w:type="dxa" w:w="80"/>
            </w:tcMar>
          </w:tcPr>
          <w:p>
            <w:r>
              <w:rPr>
                <w:b w:val="false"/>
                <w:bCs w:val="false"/>
                <w:sz w:val="17"/>
                <w:szCs w:val="17"/>
              </w:rPr>
              <w:t xml:space="preserve">Defer partitioning.</w:t>
            </w:r>
          </w:p>
        </w:tc>
        <w:tc>
          <w:tcPr>
            <w:shd w:fill="EFF3F7" w:val="clear"/>
            <w:tcMar>
              <w:top w:type="dxa" w:w="60"/>
              <w:left w:type="dxa" w:w="80"/>
              <w:bottom w:type="dxa" w:w="60"/>
              <w:right w:type="dxa" w:w="80"/>
            </w:tcMar>
          </w:tcPr>
          <w:p>
            <w:r>
              <w:rPr>
                <w:b w:val="false"/>
                <w:bCs w:val="false"/>
                <w:sz w:val="17"/>
                <w:szCs w:val="17"/>
              </w:rPr>
              <w:t xml:space="preserve">Platform engineering lead (unassigned — WP-0006)</w:t>
            </w:r>
          </w:p>
        </w:tc>
        <w:tc>
          <w:tcPr>
            <w:shd w:fill="EFF3F7" w:val="clear"/>
            <w:tcMar>
              <w:top w:type="dxa" w:w="60"/>
              <w:left w:type="dxa" w:w="80"/>
              <w:bottom w:type="dxa" w:w="60"/>
              <w:right w:type="dxa" w:w="80"/>
            </w:tcMar>
          </w:tcPr>
          <w:p>
            <w:r>
              <w:rPr>
                <w:b w:val="false"/>
                <w:bCs w:val="false"/>
                <w:sz w:val="17"/>
                <w:szCs w:val="17"/>
              </w:rPr>
              <w:t xml:space="preserve">Tables exceed 10M rows, latency degrades, or 10-downstream-system scale target is reached.</w:t>
            </w:r>
          </w:p>
        </w:tc>
        <w:tc>
          <w:tcPr>
            <w:shd w:fill="EFF3F7" w:val="clear"/>
            <w:tcMar>
              <w:top w:type="dxa" w:w="60"/>
              <w:left w:type="dxa" w:w="80"/>
              <w:bottom w:type="dxa" w:w="60"/>
              <w:right w:type="dxa" w:w="80"/>
            </w:tcMar>
          </w:tcPr>
          <w:p>
            <w:r>
              <w:rPr>
                <w:b w:val="false"/>
                <w:bCs w:val="false"/>
                <w:sz w:val="17"/>
                <w:szCs w:val="17"/>
              </w:rPr>
              <w:t xml:space="preserve">Deferred</w:t>
            </w:r>
          </w:p>
        </w:tc>
      </w:tr>
      <w:tr>
        <w:tc>
          <w:tcPr>
            <w:tcMar>
              <w:top w:type="dxa" w:w="60"/>
              <w:left w:type="dxa" w:w="80"/>
              <w:bottom w:type="dxa" w:w="60"/>
              <w:right w:type="dxa" w:w="80"/>
            </w:tcMar>
          </w:tcPr>
          <w:p>
            <w:r>
              <w:rPr>
                <w:b w:val="false"/>
                <w:bCs w:val="false"/>
                <w:sz w:val="17"/>
                <w:szCs w:val="17"/>
              </w:rPr>
              <w:t xml:space="preserve">EGD-0005</w:t>
            </w:r>
          </w:p>
        </w:tc>
        <w:tc>
          <w:tcPr>
            <w:tcMar>
              <w:top w:type="dxa" w:w="60"/>
              <w:left w:type="dxa" w:w="80"/>
              <w:bottom w:type="dxa" w:w="60"/>
              <w:right w:type="dxa" w:w="80"/>
            </w:tcMar>
          </w:tcPr>
          <w:p>
            <w:r>
              <w:rPr>
                <w:b w:val="false"/>
                <w:bCs w:val="false"/>
                <w:sz w:val="17"/>
                <w:szCs w:val="17"/>
              </w:rPr>
              <w:t xml:space="preserve">ADR-005</w:t>
            </w:r>
          </w:p>
        </w:tc>
        <w:tc>
          <w:tcPr>
            <w:tcMar>
              <w:top w:type="dxa" w:w="60"/>
              <w:left w:type="dxa" w:w="80"/>
              <w:bottom w:type="dxa" w:w="60"/>
              <w:right w:type="dxa" w:w="80"/>
            </w:tcMar>
          </w:tcPr>
          <w:p>
            <w:r>
              <w:rPr>
                <w:b w:val="false"/>
                <w:bCs w:val="false"/>
                <w:sz w:val="17"/>
                <w:szCs w:val="17"/>
              </w:rPr>
              <w:t xml:space="preserve">AR-0005</w:t>
            </w:r>
          </w:p>
        </w:tc>
        <w:tc>
          <w:tcPr>
            <w:tcMar>
              <w:top w:type="dxa" w:w="60"/>
              <w:left w:type="dxa" w:w="80"/>
              <w:bottom w:type="dxa" w:w="60"/>
              <w:right w:type="dxa" w:w="80"/>
            </w:tcMar>
          </w:tcPr>
          <w:p>
            <w:r>
              <w:rPr>
                <w:b w:val="false"/>
                <w:bCs w:val="false"/>
                <w:sz w:val="17"/>
                <w:szCs w:val="17"/>
              </w:rPr>
              <w:t xml:space="preserve">Defer qualification/selection separation.</w:t>
            </w:r>
          </w:p>
        </w:tc>
        <w:tc>
          <w:tcPr>
            <w:tcMar>
              <w:top w:type="dxa" w:w="60"/>
              <w:left w:type="dxa" w:w="80"/>
              <w:bottom w:type="dxa" w:w="60"/>
              <w:right w:type="dxa" w:w="80"/>
            </w:tcMar>
          </w:tcPr>
          <w:p>
            <w:r>
              <w:rPr>
                <w:b w:val="false"/>
                <w:bCs w:val="false"/>
                <w:sz w:val="17"/>
                <w:szCs w:val="17"/>
              </w:rPr>
              <w:t xml:space="preserve">Product + data architecture (unassigned — WP-0006)</w:t>
            </w:r>
          </w:p>
        </w:tc>
        <w:tc>
          <w:tcPr>
            <w:tcMar>
              <w:top w:type="dxa" w:w="60"/>
              <w:left w:type="dxa" w:w="80"/>
              <w:bottom w:type="dxa" w:w="60"/>
              <w:right w:type="dxa" w:w="80"/>
            </w:tcMar>
          </w:tcPr>
          <w:p>
            <w:r>
              <w:rPr>
                <w:b w:val="false"/>
                <w:bCs w:val="false"/>
                <w:sz w:val="17"/>
                <w:szCs w:val="17"/>
              </w:rPr>
              <w:t xml:space="preserve">Real product need for multi-qualification tracking emerges.</w:t>
            </w:r>
          </w:p>
        </w:tc>
        <w:tc>
          <w:tcPr>
            <w:tcMar>
              <w:top w:type="dxa" w:w="60"/>
              <w:left w:type="dxa" w:w="80"/>
              <w:bottom w:type="dxa" w:w="60"/>
              <w:right w:type="dxa" w:w="80"/>
            </w:tcMar>
          </w:tcPr>
          <w:p>
            <w:r>
              <w:rPr>
                <w:b w:val="false"/>
                <w:bCs w:val="false"/>
                <w:sz w:val="17"/>
                <w:szCs w:val="17"/>
              </w:rPr>
              <w:t xml:space="preserve">Deferred</w:t>
            </w:r>
          </w:p>
        </w:tc>
      </w:tr>
      <w:tr>
        <w:tc>
          <w:tcPr>
            <w:shd w:fill="EFF3F7" w:val="clear"/>
            <w:tcMar>
              <w:top w:type="dxa" w:w="60"/>
              <w:left w:type="dxa" w:w="80"/>
              <w:bottom w:type="dxa" w:w="60"/>
              <w:right w:type="dxa" w:w="80"/>
            </w:tcMar>
          </w:tcPr>
          <w:p>
            <w:r>
              <w:rPr>
                <w:b w:val="false"/>
                <w:bCs w:val="false"/>
                <w:sz w:val="17"/>
                <w:szCs w:val="17"/>
              </w:rPr>
              <w:t xml:space="preserve">EGD-0006</w:t>
            </w:r>
          </w:p>
        </w:tc>
        <w:tc>
          <w:tcPr>
            <w:shd w:fill="EFF3F7" w:val="clear"/>
            <w:tcMar>
              <w:top w:type="dxa" w:w="60"/>
              <w:left w:type="dxa" w:w="80"/>
              <w:bottom w:type="dxa" w:w="60"/>
              <w:right w:type="dxa" w:w="80"/>
            </w:tcMar>
          </w:tcPr>
          <w:p>
            <w:r>
              <w:rPr>
                <w:b w:val="false"/>
                <w:bCs w:val="false"/>
                <w:sz w:val="17"/>
                <w:szCs w:val="17"/>
              </w:rPr>
              <w:t xml:space="preserve">ADR-006</w:t>
            </w:r>
          </w:p>
        </w:tc>
        <w:tc>
          <w:tcPr>
            <w:shd w:fill="EFF3F7" w:val="clear"/>
            <w:tcMar>
              <w:top w:type="dxa" w:w="60"/>
              <w:left w:type="dxa" w:w="80"/>
              <w:bottom w:type="dxa" w:w="60"/>
              <w:right w:type="dxa" w:w="80"/>
            </w:tcMar>
          </w:tcPr>
          <w:p>
            <w:r>
              <w:rPr>
                <w:b w:val="false"/>
                <w:bCs w:val="false"/>
                <w:sz w:val="17"/>
                <w:szCs w:val="17"/>
              </w:rPr>
              <w:t xml:space="preserve">AR-0006</w:t>
            </w:r>
          </w:p>
        </w:tc>
        <w:tc>
          <w:tcPr>
            <w:shd w:fill="EFF3F7" w:val="clear"/>
            <w:tcMar>
              <w:top w:type="dxa" w:w="60"/>
              <w:left w:type="dxa" w:w="80"/>
              <w:bottom w:type="dxa" w:w="60"/>
              <w:right w:type="dxa" w:w="80"/>
            </w:tcMar>
          </w:tcPr>
          <w:p>
            <w:r>
              <w:rPr>
                <w:b w:val="false"/>
                <w:bCs w:val="false"/>
                <w:sz w:val="17"/>
                <w:szCs w:val="17"/>
              </w:rPr>
              <w:t xml:space="preserve">Defer supersession/versioning model.</w:t>
            </w:r>
          </w:p>
        </w:tc>
        <w:tc>
          <w:tcPr>
            <w:shd w:fill="EFF3F7" w:val="clear"/>
            <w:tcMar>
              <w:top w:type="dxa" w:w="60"/>
              <w:left w:type="dxa" w:w="80"/>
              <w:bottom w:type="dxa" w:w="60"/>
              <w:right w:type="dxa" w:w="80"/>
            </w:tcMar>
          </w:tcPr>
          <w:p>
            <w:r>
              <w:rPr>
                <w:b w:val="false"/>
                <w:bCs w:val="false"/>
                <w:sz w:val="17"/>
                <w:szCs w:val="17"/>
              </w:rPr>
              <w:t xml:space="preserve">Compliance/data governance (unassigned — WP-0006)</w:t>
            </w:r>
          </w:p>
        </w:tc>
        <w:tc>
          <w:tcPr>
            <w:shd w:fill="EFF3F7" w:val="clear"/>
            <w:tcMar>
              <w:top w:type="dxa" w:w="60"/>
              <w:left w:type="dxa" w:w="80"/>
              <w:bottom w:type="dxa" w:w="60"/>
              <w:right w:type="dxa" w:w="80"/>
            </w:tcMar>
          </w:tcPr>
          <w:p>
            <w:r>
              <w:rPr>
                <w:b w:val="false"/>
                <w:bCs w:val="false"/>
                <w:sz w:val="17"/>
                <w:szCs w:val="17"/>
              </w:rPr>
              <w:t xml:space="preserve">Compliance/audit requirement for immutable history emerges.</w:t>
            </w:r>
          </w:p>
        </w:tc>
        <w:tc>
          <w:tcPr>
            <w:shd w:fill="EFF3F7" w:val="clear"/>
            <w:tcMar>
              <w:top w:type="dxa" w:w="60"/>
              <w:left w:type="dxa" w:w="80"/>
              <w:bottom w:type="dxa" w:w="60"/>
              <w:right w:type="dxa" w:w="80"/>
            </w:tcMar>
          </w:tcPr>
          <w:p>
            <w:r>
              <w:rPr>
                <w:b w:val="false"/>
                <w:bCs w:val="false"/>
                <w:sz w:val="17"/>
                <w:szCs w:val="17"/>
              </w:rPr>
              <w:t xml:space="preserve">Deferred — irreversibility risk flagged</w:t>
            </w:r>
          </w:p>
        </w:tc>
      </w:tr>
      <w:tr>
        <w:tc>
          <w:tcPr>
            <w:tcMar>
              <w:top w:type="dxa" w:w="60"/>
              <w:left w:type="dxa" w:w="80"/>
              <w:bottom w:type="dxa" w:w="60"/>
              <w:right w:type="dxa" w:w="80"/>
            </w:tcMar>
          </w:tcPr>
          <w:p>
            <w:r>
              <w:rPr>
                <w:b w:val="false"/>
                <w:bCs w:val="false"/>
                <w:sz w:val="17"/>
                <w:szCs w:val="17"/>
              </w:rPr>
              <w:t xml:space="preserve">EGD-0007</w:t>
            </w:r>
          </w:p>
        </w:tc>
        <w:tc>
          <w:tcPr>
            <w:tcMar>
              <w:top w:type="dxa" w:w="60"/>
              <w:left w:type="dxa" w:w="80"/>
              <w:bottom w:type="dxa" w:w="60"/>
              <w:right w:type="dxa" w:w="80"/>
            </w:tcMar>
          </w:tcPr>
          <w:p>
            <w:r>
              <w:rPr>
                <w:b w:val="false"/>
                <w:bCs w:val="false"/>
                <w:sz w:val="17"/>
                <w:szCs w:val="17"/>
              </w:rPr>
              <w:t xml:space="preserve">ADR-007</w:t>
            </w:r>
          </w:p>
        </w:tc>
        <w:tc>
          <w:tcPr>
            <w:tcMar>
              <w:top w:type="dxa" w:w="60"/>
              <w:left w:type="dxa" w:w="80"/>
              <w:bottom w:type="dxa" w:w="60"/>
              <w:right w:type="dxa" w:w="80"/>
            </w:tcMar>
          </w:tcPr>
          <w:p>
            <w:r>
              <w:rPr>
                <w:b w:val="false"/>
                <w:bCs w:val="false"/>
                <w:sz w:val="17"/>
                <w:szCs w:val="17"/>
              </w:rPr>
              <w:t xml:space="preserve">AR-0007</w:t>
            </w:r>
          </w:p>
        </w:tc>
        <w:tc>
          <w:tcPr>
            <w:tcMar>
              <w:top w:type="dxa" w:w="60"/>
              <w:left w:type="dxa" w:w="80"/>
              <w:bottom w:type="dxa" w:w="60"/>
              <w:right w:type="dxa" w:w="80"/>
            </w:tcMar>
          </w:tcPr>
          <w:p>
            <w:r>
              <w:rPr>
                <w:b w:val="false"/>
                <w:bCs w:val="false"/>
                <w:sz w:val="17"/>
                <w:szCs w:val="17"/>
              </w:rPr>
              <w:t xml:space="preserve">Realize — verify RLS coverage immediately.</w:t>
            </w:r>
          </w:p>
        </w:tc>
        <w:tc>
          <w:tcPr>
            <w:tcMar>
              <w:top w:type="dxa" w:w="60"/>
              <w:left w:type="dxa" w:w="80"/>
              <w:bottom w:type="dxa" w:w="60"/>
              <w:right w:type="dxa" w:w="80"/>
            </w:tcMar>
          </w:tcPr>
          <w:p>
            <w:r>
              <w:rPr>
                <w:b w:val="false"/>
                <w:bCs w:val="false"/>
                <w:sz w:val="17"/>
                <w:szCs w:val="17"/>
              </w:rPr>
              <w:t xml:space="preserve">Security/platform engineering (unassigned — WP-0006)</w:t>
            </w:r>
          </w:p>
        </w:tc>
        <w:tc>
          <w:tcPr>
            <w:tcMar>
              <w:top w:type="dxa" w:w="60"/>
              <w:left w:type="dxa" w:w="80"/>
              <w:bottom w:type="dxa" w:w="60"/>
              <w:right w:type="dxa" w:w="80"/>
            </w:tcMar>
          </w:tcPr>
          <w:p>
            <w:r>
              <w:rPr>
                <w:b w:val="false"/>
                <w:bCs w:val="false"/>
                <w:sz w:val="17"/>
                <w:szCs w:val="17"/>
              </w:rPr>
              <w:t xml:space="preserve">Not deferred — immediate.</w:t>
            </w:r>
          </w:p>
        </w:tc>
        <w:tc>
          <w:tcPr>
            <w:tcMar>
              <w:top w:type="dxa" w:w="60"/>
              <w:left w:type="dxa" w:w="80"/>
              <w:bottom w:type="dxa" w:w="60"/>
              <w:right w:type="dxa" w:w="80"/>
            </w:tcMar>
          </w:tcPr>
          <w:p>
            <w:r>
              <w:rPr>
                <w:b w:val="false"/>
                <w:bCs w:val="false"/>
                <w:sz w:val="17"/>
                <w:szCs w:val="17"/>
              </w:rPr>
              <w:t xml:space="preserve">Accepted, in progress (= WP-0002)</w:t>
            </w:r>
          </w:p>
        </w:tc>
      </w:tr>
      <w:tr>
        <w:tc>
          <w:tcPr>
            <w:shd w:fill="EFF3F7" w:val="clear"/>
            <w:tcMar>
              <w:top w:type="dxa" w:w="60"/>
              <w:left w:type="dxa" w:w="80"/>
              <w:bottom w:type="dxa" w:w="60"/>
              <w:right w:type="dxa" w:w="80"/>
            </w:tcMar>
          </w:tcPr>
          <w:p>
            <w:r>
              <w:rPr>
                <w:b w:val="false"/>
                <w:bCs w:val="false"/>
                <w:sz w:val="17"/>
                <w:szCs w:val="17"/>
              </w:rPr>
              <w:t xml:space="preserve">EGD-0008</w:t>
            </w:r>
          </w:p>
        </w:tc>
        <w:tc>
          <w:tcPr>
            <w:shd w:fill="EFF3F7" w:val="clear"/>
            <w:tcMar>
              <w:top w:type="dxa" w:w="60"/>
              <w:left w:type="dxa" w:w="80"/>
              <w:bottom w:type="dxa" w:w="60"/>
              <w:right w:type="dxa" w:w="80"/>
            </w:tcMar>
          </w:tcPr>
          <w:p>
            <w:r>
              <w:rPr>
                <w:b w:val="false"/>
                <w:bCs w:val="false"/>
                <w:sz w:val="17"/>
                <w:szCs w:val="17"/>
              </w:rPr>
              <w:t xml:space="preserve">—</w:t>
            </w:r>
          </w:p>
        </w:tc>
        <w:tc>
          <w:tcPr>
            <w:shd w:fill="EFF3F7" w:val="clear"/>
            <w:tcMar>
              <w:top w:type="dxa" w:w="60"/>
              <w:left w:type="dxa" w:w="80"/>
              <w:bottom w:type="dxa" w:w="60"/>
              <w:right w:type="dxa" w:w="80"/>
            </w:tcMar>
          </w:tcPr>
          <w:p>
            <w:r>
              <w:rPr>
                <w:b w:val="false"/>
                <w:bCs w:val="false"/>
                <w:sz w:val="17"/>
                <w:szCs w:val="17"/>
              </w:rPr>
              <w:t xml:space="preserve">AR-0008, AR-0009</w:t>
            </w:r>
          </w:p>
        </w:tc>
        <w:tc>
          <w:tcPr>
            <w:shd w:fill="EFF3F7" w:val="clear"/>
            <w:tcMar>
              <w:top w:type="dxa" w:w="60"/>
              <w:left w:type="dxa" w:w="80"/>
              <w:bottom w:type="dxa" w:w="60"/>
              <w:right w:type="dxa" w:w="80"/>
            </w:tcMar>
          </w:tcPr>
          <w:p>
            <w:r>
              <w:rPr>
                <w:b w:val="false"/>
                <w:bCs w:val="false"/>
                <w:sz w:val="17"/>
                <w:szCs w:val="17"/>
              </w:rPr>
              <w:t xml:space="preserve">Accept UUID PK and timestamptz discipline as mandatory, permanent standard.</w:t>
            </w:r>
          </w:p>
        </w:tc>
        <w:tc>
          <w:tcPr>
            <w:shd w:fill="EFF3F7" w:val="clear"/>
            <w:tcMar>
              <w:top w:type="dxa" w:w="60"/>
              <w:left w:type="dxa" w:w="80"/>
              <w:bottom w:type="dxa" w:w="60"/>
              <w:right w:type="dxa" w:w="80"/>
            </w:tcMar>
          </w:tcPr>
          <w:p>
            <w:r>
              <w:rPr>
                <w:b w:val="false"/>
                <w:bCs w:val="false"/>
                <w:sz w:val="17"/>
                <w:szCs w:val="17"/>
              </w:rPr>
              <w:t xml:space="preserve">Enterprise architecture owner (unassigned — WP-0006)</w:t>
            </w:r>
          </w:p>
        </w:tc>
        <w:tc>
          <w:tcPr>
            <w:shd w:fill="EFF3F7" w:val="clear"/>
            <w:tcMar>
              <w:top w:type="dxa" w:w="60"/>
              <w:left w:type="dxa" w:w="80"/>
              <w:bottom w:type="dxa" w:w="60"/>
              <w:right w:type="dxa" w:w="80"/>
            </w:tcMar>
          </w:tcPr>
          <w:p>
            <w:r>
              <w:rPr>
                <w:b w:val="false"/>
                <w:bCs w:val="false"/>
                <w:sz w:val="17"/>
                <w:szCs w:val="17"/>
              </w:rPr>
              <w:t xml:space="preserve">N/A — standing standard.</w:t>
            </w:r>
          </w:p>
        </w:tc>
        <w:tc>
          <w:tcPr>
            <w:shd w:fill="EFF3F7" w:val="clear"/>
            <w:tcMar>
              <w:top w:type="dxa" w:w="60"/>
              <w:left w:type="dxa" w:w="80"/>
              <w:bottom w:type="dxa" w:w="60"/>
              <w:right w:type="dxa" w:w="80"/>
            </w:tcMar>
          </w:tcPr>
          <w:p>
            <w:r>
              <w:rPr>
                <w:b w:val="false"/>
                <w:bCs w:val="false"/>
                <w:sz w:val="17"/>
                <w:szCs w:val="17"/>
              </w:rPr>
              <w:t xml:space="preserve">Accepted, standing</w:t>
            </w:r>
          </w:p>
        </w:tc>
      </w:tr>
      <w:tr>
        <w:tc>
          <w:tcPr>
            <w:tcMar>
              <w:top w:type="dxa" w:w="60"/>
              <w:left w:type="dxa" w:w="80"/>
              <w:bottom w:type="dxa" w:w="60"/>
              <w:right w:type="dxa" w:w="80"/>
            </w:tcMar>
          </w:tcPr>
          <w:p>
            <w:r>
              <w:rPr>
                <w:b w:val="false"/>
                <w:bCs w:val="false"/>
                <w:sz w:val="17"/>
                <w:szCs w:val="17"/>
              </w:rPr>
              <w:t xml:space="preserve">EGD-0009</w:t>
            </w:r>
          </w:p>
        </w:tc>
        <w:tc>
          <w:tcPr>
            <w:tcMar>
              <w:top w:type="dxa" w:w="60"/>
              <w:left w:type="dxa" w:w="80"/>
              <w:bottom w:type="dxa" w:w="60"/>
              <w:right w:type="dxa" w:w="80"/>
            </w:tcMar>
          </w:tcPr>
          <w:p>
            <w:r>
              <w:rPr>
                <w:b w:val="false"/>
                <w:bCs w:val="false"/>
                <w:sz w:val="17"/>
                <w:szCs w:val="17"/>
              </w:rPr>
              <w:t xml:space="preserve">—</w:t>
            </w:r>
          </w:p>
        </w:tc>
        <w:tc>
          <w:tcPr>
            <w:tcMar>
              <w:top w:type="dxa" w:w="60"/>
              <w:left w:type="dxa" w:w="80"/>
              <w:bottom w:type="dxa" w:w="60"/>
              <w:right w:type="dxa" w:w="80"/>
            </w:tcMar>
          </w:tcPr>
          <w:p>
            <w:r>
              <w:rPr>
                <w:b w:val="false"/>
                <w:bCs w:val="false"/>
                <w:sz w:val="17"/>
                <w:szCs w:val="17"/>
              </w:rPr>
              <w:t xml:space="preserve">AR-0010</w:t>
            </w:r>
          </w:p>
        </w:tc>
        <w:tc>
          <w:tcPr>
            <w:tcMar>
              <w:top w:type="dxa" w:w="60"/>
              <w:left w:type="dxa" w:w="80"/>
              <w:bottom w:type="dxa" w:w="60"/>
              <w:right w:type="dxa" w:w="80"/>
            </w:tcMar>
          </w:tcPr>
          <w:p>
            <w:r>
              <w:rPr>
                <w:b w:val="false"/>
                <w:bCs w:val="false"/>
                <w:sz w:val="17"/>
                <w:szCs w:val="17"/>
              </w:rPr>
              <w:t xml:space="preserve">Accept current migration naming/idempotency/rollback practice as the standard; no action required.</w:t>
            </w:r>
          </w:p>
        </w:tc>
        <w:tc>
          <w:tcPr>
            <w:tcMar>
              <w:top w:type="dxa" w:w="60"/>
              <w:left w:type="dxa" w:w="80"/>
              <w:bottom w:type="dxa" w:w="60"/>
              <w:right w:type="dxa" w:w="80"/>
            </w:tcMar>
          </w:tcPr>
          <w:p>
            <w:r>
              <w:rPr>
                <w:b w:val="false"/>
                <w:bCs w:val="false"/>
                <w:sz w:val="17"/>
                <w:szCs w:val="17"/>
              </w:rPr>
              <w:t xml:space="preserve">Platform engineering lead (unassigned — WP-0006)</w:t>
            </w:r>
          </w:p>
        </w:tc>
        <w:tc>
          <w:tcPr>
            <w:tcMar>
              <w:top w:type="dxa" w:w="60"/>
              <w:left w:type="dxa" w:w="80"/>
              <w:bottom w:type="dxa" w:w="60"/>
              <w:right w:type="dxa" w:w="80"/>
            </w:tcMar>
          </w:tcPr>
          <w:p>
            <w:r>
              <w:rPr>
                <w:b w:val="false"/>
                <w:bCs w:val="false"/>
                <w:sz w:val="17"/>
                <w:szCs w:val="17"/>
              </w:rPr>
              <w:t xml:space="preserve">N/A — standing standard.</w:t>
            </w:r>
          </w:p>
        </w:tc>
        <w:tc>
          <w:tcPr>
            <w:tcMar>
              <w:top w:type="dxa" w:w="60"/>
              <w:left w:type="dxa" w:w="80"/>
              <w:bottom w:type="dxa" w:w="60"/>
              <w:right w:type="dxa" w:w="80"/>
            </w:tcMar>
          </w:tcPr>
          <w:p>
            <w:r>
              <w:rPr>
                <w:b w:val="false"/>
                <w:bCs w:val="false"/>
                <w:sz w:val="17"/>
                <w:szCs w:val="17"/>
              </w:rPr>
              <w:t xml:space="preserve">Accepted, standing</w:t>
            </w:r>
          </w:p>
        </w:tc>
      </w:tr>
    </w:tbl>
    <w:p>
      <w:r>
        <w:br w:type="page"/>
      </w:r>
    </w:p>
    <w:p>
      <w:pPr>
        <w:pStyle w:val="Heading1"/>
        <w:spacing w:after="120" w:before="300"/>
      </w:pPr>
      <w:r>
        <w:t xml:space="preserve">5. Enterprise Resolution Register</w:t>
      </w:r>
    </w:p>
    <w:p>
      <w:pPr>
        <w:spacing w:after="120"/>
      </w:pPr>
      <w:r>
        <w:rPr>
          <w:sz w:val="20"/>
          <w:szCs w:val="20"/>
        </w:rPr>
        <w:t xml:space="preserve">Canonical resolution status per requirement. Statuses used: Accepted, Implemented, Deferred, Superseded, Retired, Under Review, Planned.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F2A44" w:val="clear"/>
            <w:tcMar>
              <w:top w:type="dxa" w:w="60"/>
              <w:left w:type="dxa" w:w="80"/>
              <w:bottom w:type="dxa" w:w="60"/>
              <w:right w:type="dxa" w:w="80"/>
            </w:tcMar>
          </w:tcPr>
          <w:p>
            <w:r>
              <w:rPr>
                <w:b/>
                <w:bCs/>
                <w:color w:val="FFFFFF"/>
                <w:sz w:val="17"/>
                <w:szCs w:val="17"/>
              </w:rPr>
              <w:t xml:space="preserve">ER ID</w:t>
            </w:r>
          </w:p>
        </w:tc>
        <w:tc>
          <w:tcPr>
            <w:shd w:fill="1F2A44" w:val="clear"/>
            <w:tcMar>
              <w:top w:type="dxa" w:w="60"/>
              <w:left w:type="dxa" w:w="80"/>
              <w:bottom w:type="dxa" w:w="60"/>
              <w:right w:type="dxa" w:w="80"/>
            </w:tcMar>
          </w:tcPr>
          <w:p>
            <w:r>
              <w:rPr>
                <w:b/>
                <w:bCs/>
                <w:color w:val="FFFFFF"/>
                <w:sz w:val="17"/>
                <w:szCs w:val="17"/>
              </w:rPr>
              <w:t xml:space="preserve">AR</w:t>
            </w:r>
          </w:p>
        </w:tc>
        <w:tc>
          <w:tcPr>
            <w:shd w:fill="1F2A44" w:val="clear"/>
            <w:tcMar>
              <w:top w:type="dxa" w:w="60"/>
              <w:left w:type="dxa" w:w="80"/>
              <w:bottom w:type="dxa" w:w="60"/>
              <w:right w:type="dxa" w:w="80"/>
            </w:tcMar>
          </w:tcPr>
          <w:p>
            <w:r>
              <w:rPr>
                <w:b/>
                <w:bCs/>
                <w:color w:val="FFFFFF"/>
                <w:sz w:val="17"/>
                <w:szCs w:val="17"/>
              </w:rPr>
              <w:t xml:space="preserve">Resolution</w:t>
            </w:r>
          </w:p>
        </w:tc>
        <w:tc>
          <w:tcPr>
            <w:shd w:fill="1F2A44" w:val="clear"/>
            <w:tcMar>
              <w:top w:type="dxa" w:w="60"/>
              <w:left w:type="dxa" w:w="80"/>
              <w:bottom w:type="dxa" w:w="60"/>
              <w:right w:type="dxa" w:w="80"/>
            </w:tcMar>
          </w:tcPr>
          <w:p>
            <w:r>
              <w:rPr>
                <w:b/>
                <w:bCs/>
                <w:color w:val="FFFFFF"/>
                <w:sz w:val="17"/>
                <w:szCs w:val="17"/>
              </w:rPr>
              <w:t xml:space="preserve">Justification (summary)</w:t>
            </w:r>
          </w:p>
        </w:tc>
        <w:tc>
          <w:tcPr>
            <w:shd w:fill="1F2A44" w:val="clear"/>
            <w:tcMar>
              <w:top w:type="dxa" w:w="60"/>
              <w:left w:type="dxa" w:w="80"/>
              <w:bottom w:type="dxa" w:w="60"/>
              <w:right w:type="dxa" w:w="80"/>
            </w:tcMar>
          </w:tcPr>
          <w:p>
            <w:r>
              <w:rPr>
                <w:b/>
                <w:bCs/>
                <w:color w:val="FFFFFF"/>
                <w:sz w:val="17"/>
                <w:szCs w:val="17"/>
              </w:rPr>
              <w:t xml:space="preserve">Target Release</w:t>
            </w:r>
          </w:p>
        </w:tc>
        <w:tc>
          <w:tcPr>
            <w:shd w:fill="1F2A44" w:val="clear"/>
            <w:tcMar>
              <w:top w:type="dxa" w:w="60"/>
              <w:left w:type="dxa" w:w="80"/>
              <w:bottom w:type="dxa" w:w="60"/>
              <w:right w:type="dxa" w:w="80"/>
            </w:tcMar>
          </w:tcPr>
          <w:p>
            <w:r>
              <w:rPr>
                <w:b/>
                <w:bCs/>
                <w:color w:val="FFFFFF"/>
                <w:sz w:val="17"/>
                <w:szCs w:val="17"/>
              </w:rPr>
              <w:t xml:space="preserve">Dependencies</w:t>
            </w:r>
          </w:p>
        </w:tc>
      </w:tr>
      <w:tr>
        <w:tc>
          <w:tcPr>
            <w:tcMar>
              <w:top w:type="dxa" w:w="60"/>
              <w:left w:type="dxa" w:w="80"/>
              <w:bottom w:type="dxa" w:w="60"/>
              <w:right w:type="dxa" w:w="80"/>
            </w:tcMar>
          </w:tcPr>
          <w:p>
            <w:r>
              <w:rPr>
                <w:b w:val="false"/>
                <w:bCs w:val="false"/>
                <w:sz w:val="17"/>
                <w:szCs w:val="17"/>
              </w:rPr>
              <w:t xml:space="preserve">ER-0001</w:t>
            </w:r>
          </w:p>
        </w:tc>
        <w:tc>
          <w:tcPr>
            <w:tcMar>
              <w:top w:type="dxa" w:w="60"/>
              <w:left w:type="dxa" w:w="80"/>
              <w:bottom w:type="dxa" w:w="60"/>
              <w:right w:type="dxa" w:w="80"/>
            </w:tcMar>
          </w:tcPr>
          <w:p>
            <w:r>
              <w:rPr>
                <w:b w:val="false"/>
                <w:bCs w:val="false"/>
                <w:sz w:val="17"/>
                <w:szCs w:val="17"/>
              </w:rPr>
              <w:t xml:space="preserve">AR-0001</w:t>
            </w:r>
          </w:p>
        </w:tc>
        <w:tc>
          <w:tcPr>
            <w:tcMar>
              <w:top w:type="dxa" w:w="60"/>
              <w:left w:type="dxa" w:w="80"/>
              <w:bottom w:type="dxa" w:w="60"/>
              <w:right w:type="dxa" w:w="80"/>
            </w:tcMar>
          </w:tcPr>
          <w:p>
            <w:r>
              <w:rPr>
                <w:b w:val="false"/>
                <w:bCs w:val="false"/>
                <w:sz w:val="17"/>
                <w:szCs w:val="17"/>
              </w:rPr>
              <w:t xml:space="preserve">Deferred — retain public schema.</w:t>
            </w:r>
          </w:p>
        </w:tc>
        <w:tc>
          <w:tcPr>
            <w:tcMar>
              <w:top w:type="dxa" w:w="60"/>
              <w:left w:type="dxa" w:w="80"/>
              <w:bottom w:type="dxa" w:w="60"/>
              <w:right w:type="dxa" w:w="80"/>
            </w:tcMar>
          </w:tcPr>
          <w:p>
            <w:r>
              <w:rPr>
                <w:b w:val="false"/>
                <w:bCs w:val="false"/>
                <w:sz w:val="17"/>
                <w:szCs w:val="17"/>
              </w:rPr>
              <w:t xml:space="preserve">No evidenced collision problem in 3+ years of migrations reviewed; migration cost of isolating now is high relative to unrealized benefit.</w:t>
            </w:r>
          </w:p>
        </w:tc>
        <w:tc>
          <w:tcPr>
            <w:tcMar>
              <w:top w:type="dxa" w:w="60"/>
              <w:left w:type="dxa" w:w="80"/>
              <w:bottom w:type="dxa" w:w="60"/>
              <w:right w:type="dxa" w:w="80"/>
            </w:tcMar>
          </w:tcPr>
          <w:p>
            <w:r>
              <w:rPr>
                <w:b w:val="false"/>
                <w:bCs w:val="false"/>
                <w:sz w:val="17"/>
                <w:szCs w:val="17"/>
              </w:rPr>
              <w:t xml:space="preserve">Trigger-based</w:t>
            </w:r>
          </w:p>
        </w:tc>
        <w:tc>
          <w:tcPr>
            <w:tcMar>
              <w:top w:type="dxa" w:w="60"/>
              <w:left w:type="dxa" w:w="80"/>
              <w:bottom w:type="dxa" w:w="60"/>
              <w:right w:type="dxa" w:w="80"/>
            </w:tcMar>
          </w:tcPr>
          <w:p>
            <w:r>
              <w:rPr>
                <w:b w:val="false"/>
                <w:bCs w:val="false"/>
                <w:sz w:val="17"/>
                <w:szCs w:val="17"/>
              </w:rPr>
              <w:t xml:space="preserve">None</w:t>
            </w:r>
          </w:p>
        </w:tc>
      </w:tr>
      <w:tr>
        <w:tc>
          <w:tcPr>
            <w:shd w:fill="EFF3F7" w:val="clear"/>
            <w:tcMar>
              <w:top w:type="dxa" w:w="60"/>
              <w:left w:type="dxa" w:w="80"/>
              <w:bottom w:type="dxa" w:w="60"/>
              <w:right w:type="dxa" w:w="80"/>
            </w:tcMar>
          </w:tcPr>
          <w:p>
            <w:r>
              <w:rPr>
                <w:b w:val="false"/>
                <w:bCs w:val="false"/>
                <w:sz w:val="17"/>
                <w:szCs w:val="17"/>
              </w:rPr>
              <w:t xml:space="preserve">ER-0002</w:t>
            </w:r>
          </w:p>
        </w:tc>
        <w:tc>
          <w:tcPr>
            <w:shd w:fill="EFF3F7" w:val="clear"/>
            <w:tcMar>
              <w:top w:type="dxa" w:w="60"/>
              <w:left w:type="dxa" w:w="80"/>
              <w:bottom w:type="dxa" w:w="60"/>
              <w:right w:type="dxa" w:w="80"/>
            </w:tcMar>
          </w:tcPr>
          <w:p>
            <w:r>
              <w:rPr>
                <w:b w:val="false"/>
                <w:bCs w:val="false"/>
                <w:sz w:val="17"/>
                <w:szCs w:val="17"/>
              </w:rPr>
              <w:t xml:space="preserve">AR-0002</w:t>
            </w:r>
          </w:p>
        </w:tc>
        <w:tc>
          <w:tcPr>
            <w:shd w:fill="EFF3F7" w:val="clear"/>
            <w:tcMar>
              <w:top w:type="dxa" w:w="60"/>
              <w:left w:type="dxa" w:w="80"/>
              <w:bottom w:type="dxa" w:w="60"/>
              <w:right w:type="dxa" w:w="80"/>
            </w:tcMar>
          </w:tcPr>
          <w:p>
            <w:r>
              <w:rPr>
                <w:b w:val="false"/>
                <w:bCs w:val="false"/>
                <w:sz w:val="17"/>
                <w:szCs w:val="17"/>
              </w:rPr>
              <w:t xml:space="preserve">Superseded — pending execution.</w:t>
            </w:r>
          </w:p>
        </w:tc>
        <w:tc>
          <w:tcPr>
            <w:shd w:fill="EFF3F7" w:val="clear"/>
            <w:tcMar>
              <w:top w:type="dxa" w:w="60"/>
              <w:left w:type="dxa" w:w="80"/>
              <w:bottom w:type="dxa" w:w="60"/>
              <w:right w:type="dxa" w:w="80"/>
            </w:tcMar>
          </w:tcPr>
          <w:p>
            <w:r>
              <w:rPr>
                <w:b w:val="false"/>
                <w:bCs w:val="false"/>
                <w:sz w:val="17"/>
                <w:szCs w:val="17"/>
              </w:rPr>
              <w:t xml:space="preserve">Live entity boundaries are, in several places, more granular than Phase A's design (cognitive and activity domains especially) — implementation earned supersession.</w:t>
            </w:r>
          </w:p>
        </w:tc>
        <w:tc>
          <w:tcPr>
            <w:shd w:fill="EFF3F7" w:val="clear"/>
            <w:tcMar>
              <w:top w:type="dxa" w:w="60"/>
              <w:left w:type="dxa" w:w="80"/>
              <w:bottom w:type="dxa" w:w="60"/>
              <w:right w:type="dxa" w:w="80"/>
            </w:tcMar>
          </w:tcPr>
          <w:p>
            <w:r>
              <w:rPr>
                <w:b w:val="false"/>
                <w:bCs w:val="false"/>
                <w:sz w:val="17"/>
                <w:szCs w:val="17"/>
              </w:rPr>
              <w:t xml:space="preserve">Next ERP cycle</w:t>
            </w:r>
          </w:p>
        </w:tc>
        <w:tc>
          <w:tcPr>
            <w:shd w:fill="EFF3F7" w:val="clear"/>
            <w:tcMar>
              <w:top w:type="dxa" w:w="60"/>
              <w:left w:type="dxa" w:w="80"/>
              <w:bottom w:type="dxa" w:w="60"/>
              <w:right w:type="dxa" w:w="80"/>
            </w:tcMar>
          </w:tcPr>
          <w:p>
            <w:r>
              <w:rPr>
                <w:b w:val="false"/>
                <w:bCs w:val="false"/>
                <w:sz w:val="17"/>
                <w:szCs w:val="17"/>
              </w:rPr>
              <w:t xml:space="preserve">WP-0001</w:t>
            </w:r>
          </w:p>
        </w:tc>
      </w:tr>
      <w:tr>
        <w:tc>
          <w:tcPr>
            <w:tcMar>
              <w:top w:type="dxa" w:w="60"/>
              <w:left w:type="dxa" w:w="80"/>
              <w:bottom w:type="dxa" w:w="60"/>
              <w:right w:type="dxa" w:w="80"/>
            </w:tcMar>
          </w:tcPr>
          <w:p>
            <w:r>
              <w:rPr>
                <w:b w:val="false"/>
                <w:bCs w:val="false"/>
                <w:sz w:val="17"/>
                <w:szCs w:val="17"/>
              </w:rPr>
              <w:t xml:space="preserve">ER-0003</w:t>
            </w:r>
          </w:p>
        </w:tc>
        <w:tc>
          <w:tcPr>
            <w:tcMar>
              <w:top w:type="dxa" w:w="60"/>
              <w:left w:type="dxa" w:w="80"/>
              <w:bottom w:type="dxa" w:w="60"/>
              <w:right w:type="dxa" w:w="80"/>
            </w:tcMar>
          </w:tcPr>
          <w:p>
            <w:r>
              <w:rPr>
                <w:b w:val="false"/>
                <w:bCs w:val="false"/>
                <w:sz w:val="17"/>
                <w:szCs w:val="17"/>
              </w:rPr>
              <w:t xml:space="preserve">AR-0003</w:t>
            </w:r>
          </w:p>
        </w:tc>
        <w:tc>
          <w:tcPr>
            <w:tcMar>
              <w:top w:type="dxa" w:w="60"/>
              <w:left w:type="dxa" w:w="80"/>
              <w:bottom w:type="dxa" w:w="60"/>
              <w:right w:type="dxa" w:w="80"/>
            </w:tcMar>
          </w:tcPr>
          <w:p>
            <w:r>
              <w:rPr>
                <w:b w:val="false"/>
                <w:bCs w:val="false"/>
                <w:sz w:val="17"/>
                <w:szCs w:val="17"/>
              </w:rPr>
              <w:t xml:space="preserve">Accepted, conditional.</w:t>
            </w:r>
          </w:p>
        </w:tc>
        <w:tc>
          <w:tcPr>
            <w:tcMar>
              <w:top w:type="dxa" w:w="60"/>
              <w:left w:type="dxa" w:w="80"/>
              <w:bottom w:type="dxa" w:w="60"/>
              <w:right w:type="dxa" w:w="80"/>
            </w:tcMar>
          </w:tcPr>
          <w:p>
            <w:r>
              <w:rPr>
                <w:b w:val="false"/>
                <w:bCs w:val="false"/>
                <w:sz w:val="17"/>
                <w:szCs w:val="17"/>
              </w:rPr>
              <w:t xml:space="preserve">Direct-FK pattern is sound reference-data design; the specific harm Phase A warned about (denormalized taxonomy facts on operational rows) was not found.</w:t>
            </w:r>
          </w:p>
        </w:tc>
        <w:tc>
          <w:tcPr>
            <w:tcMar>
              <w:top w:type="dxa" w:w="60"/>
              <w:left w:type="dxa" w:w="80"/>
              <w:bottom w:type="dxa" w:w="60"/>
              <w:right w:type="dxa" w:w="80"/>
            </w:tcMar>
          </w:tcPr>
          <w:p>
            <w:r>
              <w:rPr>
                <w:b w:val="false"/>
                <w:bCs w:val="false"/>
                <w:sz w:val="17"/>
                <w:szCs w:val="17"/>
              </w:rPr>
              <w:t xml:space="preserve">Per-release, ongoing</w:t>
            </w:r>
          </w:p>
        </w:tc>
        <w:tc>
          <w:tcPr>
            <w:tcMar>
              <w:top w:type="dxa" w:w="60"/>
              <w:left w:type="dxa" w:w="80"/>
              <w:bottom w:type="dxa" w:w="60"/>
              <w:right w:type="dxa" w:w="80"/>
            </w:tcMar>
          </w:tcPr>
          <w:p>
            <w:r>
              <w:rPr>
                <w:b w:val="false"/>
                <w:bCs w:val="false"/>
                <w:sz w:val="17"/>
                <w:szCs w:val="17"/>
              </w:rPr>
              <w:t xml:space="preserve">WP-0004</w:t>
            </w:r>
          </w:p>
        </w:tc>
      </w:tr>
      <w:tr>
        <w:tc>
          <w:tcPr>
            <w:shd w:fill="EFF3F7" w:val="clear"/>
            <w:tcMar>
              <w:top w:type="dxa" w:w="60"/>
              <w:left w:type="dxa" w:w="80"/>
              <w:bottom w:type="dxa" w:w="60"/>
              <w:right w:type="dxa" w:w="80"/>
            </w:tcMar>
          </w:tcPr>
          <w:p>
            <w:r>
              <w:rPr>
                <w:b w:val="false"/>
                <w:bCs w:val="false"/>
                <w:sz w:val="17"/>
                <w:szCs w:val="17"/>
              </w:rPr>
              <w:t xml:space="preserve">ER-0004</w:t>
            </w:r>
          </w:p>
        </w:tc>
        <w:tc>
          <w:tcPr>
            <w:shd w:fill="EFF3F7" w:val="clear"/>
            <w:tcMar>
              <w:top w:type="dxa" w:w="60"/>
              <w:left w:type="dxa" w:w="80"/>
              <w:bottom w:type="dxa" w:w="60"/>
              <w:right w:type="dxa" w:w="80"/>
            </w:tcMar>
          </w:tcPr>
          <w:p>
            <w:r>
              <w:rPr>
                <w:b w:val="false"/>
                <w:bCs w:val="false"/>
                <w:sz w:val="17"/>
                <w:szCs w:val="17"/>
              </w:rPr>
              <w:t xml:space="preserve">AR-0004</w:t>
            </w:r>
          </w:p>
        </w:tc>
        <w:tc>
          <w:tcPr>
            <w:shd w:fill="EFF3F7" w:val="clear"/>
            <w:tcMar>
              <w:top w:type="dxa" w:w="60"/>
              <w:left w:type="dxa" w:w="80"/>
              <w:bottom w:type="dxa" w:w="60"/>
              <w:right w:type="dxa" w:w="80"/>
            </w:tcMar>
          </w:tcPr>
          <w:p>
            <w:r>
              <w:rPr>
                <w:b w:val="false"/>
                <w:bCs w:val="false"/>
                <w:sz w:val="17"/>
                <w:szCs w:val="17"/>
              </w:rPr>
              <w:t xml:space="preserve">Deferred.</w:t>
            </w:r>
          </w:p>
        </w:tc>
        <w:tc>
          <w:tcPr>
            <w:shd w:fill="EFF3F7" w:val="clear"/>
            <w:tcMar>
              <w:top w:type="dxa" w:w="60"/>
              <w:left w:type="dxa" w:w="80"/>
              <w:bottom w:type="dxa" w:w="60"/>
              <w:right w:type="dxa" w:w="80"/>
            </w:tcMar>
          </w:tcPr>
          <w:p>
            <w:r>
              <w:rPr>
                <w:b w:val="false"/>
                <w:bCs w:val="false"/>
                <w:sz w:val="17"/>
                <w:szCs w:val="17"/>
              </w:rPr>
              <w:t xml:space="preserve">Team has demonstrated correct partitioning capability elsewhere (chi_scores) when volume actually justified it — not a capability gap.</w:t>
            </w:r>
          </w:p>
        </w:tc>
        <w:tc>
          <w:tcPr>
            <w:shd w:fill="EFF3F7" w:val="clear"/>
            <w:tcMar>
              <w:top w:type="dxa" w:w="60"/>
              <w:left w:type="dxa" w:w="80"/>
              <w:bottom w:type="dxa" w:w="60"/>
              <w:right w:type="dxa" w:w="80"/>
            </w:tcMar>
          </w:tcPr>
          <w:p>
            <w:r>
              <w:rPr>
                <w:b w:val="false"/>
                <w:bCs w:val="false"/>
                <w:sz w:val="17"/>
                <w:szCs w:val="17"/>
              </w:rPr>
              <w:t xml:space="preserve">Trigger-based</w:t>
            </w:r>
          </w:p>
        </w:tc>
        <w:tc>
          <w:tcPr>
            <w:shd w:fill="EFF3F7" w:val="clear"/>
            <w:tcMar>
              <w:top w:type="dxa" w:w="60"/>
              <w:left w:type="dxa" w:w="80"/>
              <w:bottom w:type="dxa" w:w="60"/>
              <w:right w:type="dxa" w:w="80"/>
            </w:tcMar>
          </w:tcPr>
          <w:p>
            <w:r>
              <w:rPr>
                <w:b w:val="false"/>
                <w:bCs w:val="false"/>
                <w:sz w:val="17"/>
                <w:szCs w:val="17"/>
              </w:rPr>
              <w:t xml:space="preserve">WP-0003</w:t>
            </w:r>
          </w:p>
        </w:tc>
      </w:tr>
      <w:tr>
        <w:tc>
          <w:tcPr>
            <w:tcMar>
              <w:top w:type="dxa" w:w="60"/>
              <w:left w:type="dxa" w:w="80"/>
              <w:bottom w:type="dxa" w:w="60"/>
              <w:right w:type="dxa" w:w="80"/>
            </w:tcMar>
          </w:tcPr>
          <w:p>
            <w:r>
              <w:rPr>
                <w:b w:val="false"/>
                <w:bCs w:val="false"/>
                <w:sz w:val="17"/>
                <w:szCs w:val="17"/>
              </w:rPr>
              <w:t xml:space="preserve">ER-0005</w:t>
            </w:r>
          </w:p>
        </w:tc>
        <w:tc>
          <w:tcPr>
            <w:tcMar>
              <w:top w:type="dxa" w:w="60"/>
              <w:left w:type="dxa" w:w="80"/>
              <w:bottom w:type="dxa" w:w="60"/>
              <w:right w:type="dxa" w:w="80"/>
            </w:tcMar>
          </w:tcPr>
          <w:p>
            <w:r>
              <w:rPr>
                <w:b w:val="false"/>
                <w:bCs w:val="false"/>
                <w:sz w:val="17"/>
                <w:szCs w:val="17"/>
              </w:rPr>
              <w:t xml:space="preserve">AR-0005</w:t>
            </w:r>
          </w:p>
        </w:tc>
        <w:tc>
          <w:tcPr>
            <w:tcMar>
              <w:top w:type="dxa" w:w="60"/>
              <w:left w:type="dxa" w:w="80"/>
              <w:bottom w:type="dxa" w:w="60"/>
              <w:right w:type="dxa" w:w="80"/>
            </w:tcMar>
          </w:tcPr>
          <w:p>
            <w:r>
              <w:rPr>
                <w:b w:val="false"/>
                <w:bCs w:val="false"/>
                <w:sz w:val="17"/>
                <w:szCs w:val="17"/>
              </w:rPr>
              <w:t xml:space="preserve">Deferred.</w:t>
            </w:r>
          </w:p>
        </w:tc>
        <w:tc>
          <w:tcPr>
            <w:tcMar>
              <w:top w:type="dxa" w:w="60"/>
              <w:left w:type="dxa" w:w="80"/>
              <w:bottom w:type="dxa" w:w="60"/>
              <w:right w:type="dxa" w:w="80"/>
            </w:tcMar>
          </w:tcPr>
          <w:p>
            <w:r>
              <w:rPr>
                <w:b w:val="false"/>
                <w:bCs w:val="false"/>
                <w:sz w:val="17"/>
                <w:szCs w:val="17"/>
              </w:rPr>
              <w:t xml:space="preserve">Current two-table, per-year model is adequate for current product scope; no unmet requirement found.</w:t>
            </w:r>
          </w:p>
        </w:tc>
        <w:tc>
          <w:tcPr>
            <w:tcMar>
              <w:top w:type="dxa" w:w="60"/>
              <w:left w:type="dxa" w:w="80"/>
              <w:bottom w:type="dxa" w:w="60"/>
              <w:right w:type="dxa" w:w="80"/>
            </w:tcMar>
          </w:tcPr>
          <w:p>
            <w:r>
              <w:rPr>
                <w:b w:val="false"/>
                <w:bCs w:val="false"/>
                <w:sz w:val="17"/>
                <w:szCs w:val="17"/>
              </w:rPr>
              <w:t xml:space="preserve">Trigger-based</w:t>
            </w:r>
          </w:p>
        </w:tc>
        <w:tc>
          <w:tcPr>
            <w:tcMar>
              <w:top w:type="dxa" w:w="60"/>
              <w:left w:type="dxa" w:w="80"/>
              <w:bottom w:type="dxa" w:w="60"/>
              <w:right w:type="dxa" w:w="80"/>
            </w:tcMar>
          </w:tcPr>
          <w:p>
            <w:r>
              <w:rPr>
                <w:b w:val="false"/>
                <w:bCs w:val="false"/>
                <w:sz w:val="17"/>
                <w:szCs w:val="17"/>
              </w:rPr>
              <w:t xml:space="preserve">None</w:t>
            </w:r>
          </w:p>
        </w:tc>
      </w:tr>
      <w:tr>
        <w:tc>
          <w:tcPr>
            <w:shd w:fill="EFF3F7" w:val="clear"/>
            <w:tcMar>
              <w:top w:type="dxa" w:w="60"/>
              <w:left w:type="dxa" w:w="80"/>
              <w:bottom w:type="dxa" w:w="60"/>
              <w:right w:type="dxa" w:w="80"/>
            </w:tcMar>
          </w:tcPr>
          <w:p>
            <w:r>
              <w:rPr>
                <w:b w:val="false"/>
                <w:bCs w:val="false"/>
                <w:sz w:val="17"/>
                <w:szCs w:val="17"/>
              </w:rPr>
              <w:t xml:space="preserve">ER-0006</w:t>
            </w:r>
          </w:p>
        </w:tc>
        <w:tc>
          <w:tcPr>
            <w:shd w:fill="EFF3F7" w:val="clear"/>
            <w:tcMar>
              <w:top w:type="dxa" w:w="60"/>
              <w:left w:type="dxa" w:w="80"/>
              <w:bottom w:type="dxa" w:w="60"/>
              <w:right w:type="dxa" w:w="80"/>
            </w:tcMar>
          </w:tcPr>
          <w:p>
            <w:r>
              <w:rPr>
                <w:b w:val="false"/>
                <w:bCs w:val="false"/>
                <w:sz w:val="17"/>
                <w:szCs w:val="17"/>
              </w:rPr>
              <w:t xml:space="preserve">AR-0006</w:t>
            </w:r>
          </w:p>
        </w:tc>
        <w:tc>
          <w:tcPr>
            <w:shd w:fill="EFF3F7" w:val="clear"/>
            <w:tcMar>
              <w:top w:type="dxa" w:w="60"/>
              <w:left w:type="dxa" w:w="80"/>
              <w:bottom w:type="dxa" w:w="60"/>
              <w:right w:type="dxa" w:w="80"/>
            </w:tcMar>
          </w:tcPr>
          <w:p>
            <w:r>
              <w:rPr>
                <w:b w:val="false"/>
                <w:bCs w:val="false"/>
                <w:sz w:val="17"/>
                <w:szCs w:val="17"/>
              </w:rPr>
              <w:t xml:space="preserve">Deferred — irreversibility noted.</w:t>
            </w:r>
          </w:p>
        </w:tc>
        <w:tc>
          <w:tcPr>
            <w:shd w:fill="EFF3F7" w:val="clear"/>
            <w:tcMar>
              <w:top w:type="dxa" w:w="60"/>
              <w:left w:type="dxa" w:w="80"/>
              <w:bottom w:type="dxa" w:w="60"/>
              <w:right w:type="dxa" w:w="80"/>
            </w:tcMar>
          </w:tcPr>
          <w:p>
            <w:r>
              <w:rPr>
                <w:b w:val="false"/>
                <w:bCs w:val="false"/>
                <w:sz w:val="17"/>
                <w:szCs w:val="17"/>
              </w:rPr>
              <w:t xml:space="preserve">Update-based correction is simpler and adequate absent a compliance need; but past corrections cannot be recovered if the trigger fires late.</w:t>
            </w:r>
          </w:p>
        </w:tc>
        <w:tc>
          <w:tcPr>
            <w:shd w:fill="EFF3F7" w:val="clear"/>
            <w:tcMar>
              <w:top w:type="dxa" w:w="60"/>
              <w:left w:type="dxa" w:w="80"/>
              <w:bottom w:type="dxa" w:w="60"/>
              <w:right w:type="dxa" w:w="80"/>
            </w:tcMar>
          </w:tcPr>
          <w:p>
            <w:r>
              <w:rPr>
                <w:b w:val="false"/>
                <w:bCs w:val="false"/>
                <w:sz w:val="17"/>
                <w:szCs w:val="17"/>
              </w:rPr>
              <w:t xml:space="preserve">Trigger-based</w:t>
            </w:r>
          </w:p>
        </w:tc>
        <w:tc>
          <w:tcPr>
            <w:shd w:fill="EFF3F7" w:val="clear"/>
            <w:tcMar>
              <w:top w:type="dxa" w:w="60"/>
              <w:left w:type="dxa" w:w="80"/>
              <w:bottom w:type="dxa" w:w="60"/>
              <w:right w:type="dxa" w:w="80"/>
            </w:tcMar>
          </w:tcPr>
          <w:p>
            <w:r>
              <w:rPr>
                <w:b w:val="false"/>
                <w:bCs w:val="false"/>
                <w:sz w:val="17"/>
                <w:szCs w:val="17"/>
              </w:rPr>
              <w:t xml:space="preserve">None</w:t>
            </w:r>
          </w:p>
        </w:tc>
      </w:tr>
      <w:tr>
        <w:tc>
          <w:tcPr>
            <w:tcMar>
              <w:top w:type="dxa" w:w="60"/>
              <w:left w:type="dxa" w:w="80"/>
              <w:bottom w:type="dxa" w:w="60"/>
              <w:right w:type="dxa" w:w="80"/>
            </w:tcMar>
          </w:tcPr>
          <w:p>
            <w:r>
              <w:rPr>
                <w:b w:val="false"/>
                <w:bCs w:val="false"/>
                <w:sz w:val="17"/>
                <w:szCs w:val="17"/>
              </w:rPr>
              <w:t xml:space="preserve">ER-0007</w:t>
            </w:r>
          </w:p>
        </w:tc>
        <w:tc>
          <w:tcPr>
            <w:tcMar>
              <w:top w:type="dxa" w:w="60"/>
              <w:left w:type="dxa" w:w="80"/>
              <w:bottom w:type="dxa" w:w="60"/>
              <w:right w:type="dxa" w:w="80"/>
            </w:tcMar>
          </w:tcPr>
          <w:p>
            <w:r>
              <w:rPr>
                <w:b w:val="false"/>
                <w:bCs w:val="false"/>
                <w:sz w:val="17"/>
                <w:szCs w:val="17"/>
              </w:rPr>
              <w:t xml:space="preserve">AR-0007</w:t>
            </w:r>
          </w:p>
        </w:tc>
        <w:tc>
          <w:tcPr>
            <w:tcMar>
              <w:top w:type="dxa" w:w="60"/>
              <w:left w:type="dxa" w:w="80"/>
              <w:bottom w:type="dxa" w:w="60"/>
              <w:right w:type="dxa" w:w="80"/>
            </w:tcMar>
          </w:tcPr>
          <w:p>
            <w:r>
              <w:rPr>
                <w:b w:val="false"/>
                <w:bCs w:val="false"/>
                <w:sz w:val="17"/>
                <w:szCs w:val="17"/>
              </w:rPr>
              <w:t xml:space="preserve">Planned → Implemented on completion.</w:t>
            </w:r>
          </w:p>
        </w:tc>
        <w:tc>
          <w:tcPr>
            <w:tcMar>
              <w:top w:type="dxa" w:w="60"/>
              <w:left w:type="dxa" w:w="80"/>
              <w:bottom w:type="dxa" w:w="60"/>
              <w:right w:type="dxa" w:w="80"/>
            </w:tcMar>
          </w:tcPr>
          <w:p>
            <w:r>
              <w:rPr>
                <w:b w:val="false"/>
                <w:bCs w:val="false"/>
                <w:sz w:val="17"/>
                <w:szCs w:val="17"/>
              </w:rPr>
              <w:t xml:space="preserve">Cost of verification is trivial relative to the potential cost of an unverified security gap; this is the one open unknown in the baseline.</w:t>
            </w:r>
          </w:p>
        </w:tc>
        <w:tc>
          <w:tcPr>
            <w:tcMar>
              <w:top w:type="dxa" w:w="60"/>
              <w:left w:type="dxa" w:w="80"/>
              <w:bottom w:type="dxa" w:w="60"/>
              <w:right w:type="dxa" w:w="80"/>
            </w:tcMar>
          </w:tcPr>
          <w:p>
            <w:r>
              <w:rPr>
                <w:b w:val="false"/>
                <w:bCs w:val="false"/>
                <w:sz w:val="17"/>
                <w:szCs w:val="17"/>
              </w:rPr>
              <w:t xml:space="preserve">Immediate</w:t>
            </w:r>
          </w:p>
        </w:tc>
        <w:tc>
          <w:tcPr>
            <w:tcMar>
              <w:top w:type="dxa" w:w="60"/>
              <w:left w:type="dxa" w:w="80"/>
              <w:bottom w:type="dxa" w:w="60"/>
              <w:right w:type="dxa" w:w="80"/>
            </w:tcMar>
          </w:tcPr>
          <w:p>
            <w:r>
              <w:rPr>
                <w:b w:val="false"/>
                <w:bCs w:val="false"/>
                <w:sz w:val="17"/>
                <w:szCs w:val="17"/>
              </w:rPr>
              <w:t xml:space="preserve">WP-0002</w:t>
            </w:r>
          </w:p>
        </w:tc>
      </w:tr>
      <w:tr>
        <w:tc>
          <w:tcPr>
            <w:shd w:fill="EFF3F7" w:val="clear"/>
            <w:tcMar>
              <w:top w:type="dxa" w:w="60"/>
              <w:left w:type="dxa" w:w="80"/>
              <w:bottom w:type="dxa" w:w="60"/>
              <w:right w:type="dxa" w:w="80"/>
            </w:tcMar>
          </w:tcPr>
          <w:p>
            <w:r>
              <w:rPr>
                <w:b w:val="false"/>
                <w:bCs w:val="false"/>
                <w:sz w:val="17"/>
                <w:szCs w:val="17"/>
              </w:rPr>
              <w:t xml:space="preserve">ER-0008</w:t>
            </w:r>
          </w:p>
        </w:tc>
        <w:tc>
          <w:tcPr>
            <w:shd w:fill="EFF3F7" w:val="clear"/>
            <w:tcMar>
              <w:top w:type="dxa" w:w="60"/>
              <w:left w:type="dxa" w:w="80"/>
              <w:bottom w:type="dxa" w:w="60"/>
              <w:right w:type="dxa" w:w="80"/>
            </w:tcMar>
          </w:tcPr>
          <w:p>
            <w:r>
              <w:rPr>
                <w:b w:val="false"/>
                <w:bCs w:val="false"/>
                <w:sz w:val="17"/>
                <w:szCs w:val="17"/>
              </w:rPr>
              <w:t xml:space="preserve">AR-0008</w:t>
            </w:r>
          </w:p>
        </w:tc>
        <w:tc>
          <w:tcPr>
            <w:shd w:fill="EFF3F7" w:val="clear"/>
            <w:tcMar>
              <w:top w:type="dxa" w:w="60"/>
              <w:left w:type="dxa" w:w="80"/>
              <w:bottom w:type="dxa" w:w="60"/>
              <w:right w:type="dxa" w:w="80"/>
            </w:tcMar>
          </w:tcPr>
          <w:p>
            <w:r>
              <w:rPr>
                <w:b w:val="false"/>
                <w:bCs w:val="false"/>
                <w:sz w:val="17"/>
                <w:szCs w:val="17"/>
              </w:rPr>
              <w:t xml:space="preserve">Implemented, standing standard.</w:t>
            </w:r>
          </w:p>
        </w:tc>
        <w:tc>
          <w:tcPr>
            <w:shd w:fill="EFF3F7" w:val="clear"/>
            <w:tcMar>
              <w:top w:type="dxa" w:w="60"/>
              <w:left w:type="dxa" w:w="80"/>
              <w:bottom w:type="dxa" w:w="60"/>
              <w:right w:type="dxa" w:w="80"/>
            </w:tcMar>
          </w:tcPr>
          <w:p>
            <w:r>
              <w:rPr>
                <w:b w:val="false"/>
                <w:bCs w:val="false"/>
                <w:sz w:val="17"/>
                <w:szCs w:val="17"/>
              </w:rPr>
              <w:t xml:space="preserve">Exceeds Phase A's own bar; confirmed across every inspected table.</w:t>
            </w:r>
          </w:p>
        </w:tc>
        <w:tc>
          <w:tcPr>
            <w:shd w:fill="EFF3F7" w:val="clear"/>
            <w:tcMar>
              <w:top w:type="dxa" w:w="60"/>
              <w:left w:type="dxa" w:w="80"/>
              <w:bottom w:type="dxa" w:w="60"/>
              <w:right w:type="dxa" w:w="80"/>
            </w:tcMar>
          </w:tcPr>
          <w:p>
            <w:r>
              <w:rPr>
                <w:b w:val="false"/>
                <w:bCs w:val="false"/>
                <w:sz w:val="17"/>
                <w:szCs w:val="17"/>
              </w:rPr>
              <w:t xml:space="preserve">N/A</w:t>
            </w:r>
          </w:p>
        </w:tc>
        <w:tc>
          <w:tcPr>
            <w:shd w:fill="EFF3F7" w:val="clear"/>
            <w:tcMar>
              <w:top w:type="dxa" w:w="60"/>
              <w:left w:type="dxa" w:w="80"/>
              <w:bottom w:type="dxa" w:w="60"/>
              <w:right w:type="dxa" w:w="80"/>
            </w:tcMar>
          </w:tcPr>
          <w:p>
            <w:r>
              <w:rPr>
                <w:b w:val="false"/>
                <w:bCs w:val="false"/>
                <w:sz w:val="17"/>
                <w:szCs w:val="17"/>
              </w:rPr>
              <w:t xml:space="preserve">None</w:t>
            </w:r>
          </w:p>
        </w:tc>
      </w:tr>
      <w:tr>
        <w:tc>
          <w:tcPr>
            <w:tcMar>
              <w:top w:type="dxa" w:w="60"/>
              <w:left w:type="dxa" w:w="80"/>
              <w:bottom w:type="dxa" w:w="60"/>
              <w:right w:type="dxa" w:w="80"/>
            </w:tcMar>
          </w:tcPr>
          <w:p>
            <w:r>
              <w:rPr>
                <w:b w:val="false"/>
                <w:bCs w:val="false"/>
                <w:sz w:val="17"/>
                <w:szCs w:val="17"/>
              </w:rPr>
              <w:t xml:space="preserve">ER-0009</w:t>
            </w:r>
          </w:p>
        </w:tc>
        <w:tc>
          <w:tcPr>
            <w:tcMar>
              <w:top w:type="dxa" w:w="60"/>
              <w:left w:type="dxa" w:w="80"/>
              <w:bottom w:type="dxa" w:w="60"/>
              <w:right w:type="dxa" w:w="80"/>
            </w:tcMar>
          </w:tcPr>
          <w:p>
            <w:r>
              <w:rPr>
                <w:b w:val="false"/>
                <w:bCs w:val="false"/>
                <w:sz w:val="17"/>
                <w:szCs w:val="17"/>
              </w:rPr>
              <w:t xml:space="preserve">AR-0009</w:t>
            </w:r>
          </w:p>
        </w:tc>
        <w:tc>
          <w:tcPr>
            <w:tcMar>
              <w:top w:type="dxa" w:w="60"/>
              <w:left w:type="dxa" w:w="80"/>
              <w:bottom w:type="dxa" w:w="60"/>
              <w:right w:type="dxa" w:w="80"/>
            </w:tcMar>
          </w:tcPr>
          <w:p>
            <w:r>
              <w:rPr>
                <w:b w:val="false"/>
                <w:bCs w:val="false"/>
                <w:sz w:val="17"/>
                <w:szCs w:val="17"/>
              </w:rPr>
              <w:t xml:space="preserve">Implemented, standing standard.</w:t>
            </w:r>
          </w:p>
        </w:tc>
        <w:tc>
          <w:tcPr>
            <w:tcMar>
              <w:top w:type="dxa" w:w="60"/>
              <w:left w:type="dxa" w:w="80"/>
              <w:bottom w:type="dxa" w:w="60"/>
              <w:right w:type="dxa" w:w="80"/>
            </w:tcMar>
          </w:tcPr>
          <w:p>
            <w:r>
              <w:rPr>
                <w:b w:val="false"/>
                <w:bCs w:val="false"/>
                <w:sz w:val="17"/>
                <w:szCs w:val="17"/>
              </w:rPr>
              <w:t xml:space="preserve">Consistent across all inspected tables; no bare timestamp columns found.</w:t>
            </w:r>
          </w:p>
        </w:tc>
        <w:tc>
          <w:tcPr>
            <w:tcMar>
              <w:top w:type="dxa" w:w="60"/>
              <w:left w:type="dxa" w:w="80"/>
              <w:bottom w:type="dxa" w:w="60"/>
              <w:right w:type="dxa" w:w="80"/>
            </w:tcMar>
          </w:tcPr>
          <w:p>
            <w:r>
              <w:rPr>
                <w:b w:val="false"/>
                <w:bCs w:val="false"/>
                <w:sz w:val="17"/>
                <w:szCs w:val="17"/>
              </w:rPr>
              <w:t xml:space="preserve">N/A</w:t>
            </w:r>
          </w:p>
        </w:tc>
        <w:tc>
          <w:tcPr>
            <w:tcMar>
              <w:top w:type="dxa" w:w="60"/>
              <w:left w:type="dxa" w:w="80"/>
              <w:bottom w:type="dxa" w:w="60"/>
              <w:right w:type="dxa" w:w="80"/>
            </w:tcMar>
          </w:tcPr>
          <w:p>
            <w:r>
              <w:rPr>
                <w:b w:val="false"/>
                <w:bCs w:val="false"/>
                <w:sz w:val="17"/>
                <w:szCs w:val="17"/>
              </w:rPr>
              <w:t xml:space="preserve">None</w:t>
            </w:r>
          </w:p>
        </w:tc>
      </w:tr>
      <w:tr>
        <w:tc>
          <w:tcPr>
            <w:shd w:fill="EFF3F7" w:val="clear"/>
            <w:tcMar>
              <w:top w:type="dxa" w:w="60"/>
              <w:left w:type="dxa" w:w="80"/>
              <w:bottom w:type="dxa" w:w="60"/>
              <w:right w:type="dxa" w:w="80"/>
            </w:tcMar>
          </w:tcPr>
          <w:p>
            <w:r>
              <w:rPr>
                <w:b w:val="false"/>
                <w:bCs w:val="false"/>
                <w:sz w:val="17"/>
                <w:szCs w:val="17"/>
              </w:rPr>
              <w:t xml:space="preserve">ER-0010</w:t>
            </w:r>
          </w:p>
        </w:tc>
        <w:tc>
          <w:tcPr>
            <w:shd w:fill="EFF3F7" w:val="clear"/>
            <w:tcMar>
              <w:top w:type="dxa" w:w="60"/>
              <w:left w:type="dxa" w:w="80"/>
              <w:bottom w:type="dxa" w:w="60"/>
              <w:right w:type="dxa" w:w="80"/>
            </w:tcMar>
          </w:tcPr>
          <w:p>
            <w:r>
              <w:rPr>
                <w:b w:val="false"/>
                <w:bCs w:val="false"/>
                <w:sz w:val="17"/>
                <w:szCs w:val="17"/>
              </w:rPr>
              <w:t xml:space="preserve">AR-0010</w:t>
            </w:r>
          </w:p>
        </w:tc>
        <w:tc>
          <w:tcPr>
            <w:shd w:fill="EFF3F7" w:val="clear"/>
            <w:tcMar>
              <w:top w:type="dxa" w:w="60"/>
              <w:left w:type="dxa" w:w="80"/>
              <w:bottom w:type="dxa" w:w="60"/>
              <w:right w:type="dxa" w:w="80"/>
            </w:tcMar>
          </w:tcPr>
          <w:p>
            <w:r>
              <w:rPr>
                <w:b w:val="false"/>
                <w:bCs w:val="false"/>
                <w:sz w:val="17"/>
                <w:szCs w:val="17"/>
              </w:rPr>
              <w:t xml:space="preserve">Implemented, standing standard.</w:t>
            </w:r>
          </w:p>
        </w:tc>
        <w:tc>
          <w:tcPr>
            <w:shd w:fill="EFF3F7" w:val="clear"/>
            <w:tcMar>
              <w:top w:type="dxa" w:w="60"/>
              <w:left w:type="dxa" w:w="80"/>
              <w:bottom w:type="dxa" w:w="60"/>
              <w:right w:type="dxa" w:w="80"/>
            </w:tcMar>
          </w:tcPr>
          <w:p>
            <w:r>
              <w:rPr>
                <w:b w:val="false"/>
                <w:bCs w:val="false"/>
                <w:sz w:val="17"/>
                <w:szCs w:val="17"/>
              </w:rPr>
              <w:t xml:space="preserve">Idempotent DDL, rollback files, consistent naming — genuinely good practice, no gap.</w:t>
            </w:r>
          </w:p>
        </w:tc>
        <w:tc>
          <w:tcPr>
            <w:shd w:fill="EFF3F7" w:val="clear"/>
            <w:tcMar>
              <w:top w:type="dxa" w:w="60"/>
              <w:left w:type="dxa" w:w="80"/>
              <w:bottom w:type="dxa" w:w="60"/>
              <w:right w:type="dxa" w:w="80"/>
            </w:tcMar>
          </w:tcPr>
          <w:p>
            <w:r>
              <w:rPr>
                <w:b w:val="false"/>
                <w:bCs w:val="false"/>
                <w:sz w:val="17"/>
                <w:szCs w:val="17"/>
              </w:rPr>
              <w:t xml:space="preserve">N/A</w:t>
            </w:r>
          </w:p>
        </w:tc>
        <w:tc>
          <w:tcPr>
            <w:shd w:fill="EFF3F7" w:val="clear"/>
            <w:tcMar>
              <w:top w:type="dxa" w:w="60"/>
              <w:left w:type="dxa" w:w="80"/>
              <w:bottom w:type="dxa" w:w="60"/>
              <w:right w:type="dxa" w:w="80"/>
            </w:tcMar>
          </w:tcPr>
          <w:p>
            <w:r>
              <w:rPr>
                <w:b w:val="false"/>
                <w:bCs w:val="false"/>
                <w:sz w:val="17"/>
                <w:szCs w:val="17"/>
              </w:rPr>
              <w:t xml:space="preserve">None</w:t>
            </w:r>
          </w:p>
        </w:tc>
      </w:tr>
    </w:tbl>
    <w:p>
      <w:r>
        <w:br w:type="page"/>
      </w:r>
    </w:p>
    <w:p>
      <w:pPr>
        <w:pStyle w:val="Heading1"/>
        <w:spacing w:after="120" w:before="300"/>
      </w:pPr>
      <w:r>
        <w:t xml:space="preserve">6. Enterprise Variance Register</w:t>
      </w:r>
    </w:p>
    <w:p>
      <w:pPr>
        <w:spacing w:after="120"/>
      </w:pPr>
      <w:r>
        <w:rPr>
          <w:sz w:val="20"/>
          <w:szCs w:val="20"/>
        </w:rPr>
        <w:t xml:space="preserve">Reused verbatim from Phase A.2 §7 — these IDs are not reissued, only mapped onto their corresponding Architecture Requirement.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F2A44" w:val="clear"/>
            <w:tcMar>
              <w:top w:type="dxa" w:w="60"/>
              <w:left w:type="dxa" w:w="80"/>
              <w:bottom w:type="dxa" w:w="60"/>
              <w:right w:type="dxa" w:w="80"/>
            </w:tcMar>
          </w:tcPr>
          <w:p>
            <w:r>
              <w:rPr>
                <w:b/>
                <w:bCs/>
                <w:color w:val="FFFFFF"/>
                <w:sz w:val="17"/>
                <w:szCs w:val="17"/>
              </w:rPr>
              <w:t xml:space="preserve">VAR ID</w:t>
            </w:r>
          </w:p>
        </w:tc>
        <w:tc>
          <w:tcPr>
            <w:shd w:fill="1F2A44" w:val="clear"/>
            <w:tcMar>
              <w:top w:type="dxa" w:w="60"/>
              <w:left w:type="dxa" w:w="80"/>
              <w:bottom w:type="dxa" w:w="60"/>
              <w:right w:type="dxa" w:w="80"/>
            </w:tcMar>
          </w:tcPr>
          <w:p>
            <w:r>
              <w:rPr>
                <w:b/>
                <w:bCs/>
                <w:color w:val="FFFFFF"/>
                <w:sz w:val="17"/>
                <w:szCs w:val="17"/>
              </w:rPr>
              <w:t xml:space="preserve">AR</w:t>
            </w:r>
          </w:p>
        </w:tc>
        <w:tc>
          <w:tcPr>
            <w:shd w:fill="1F2A44" w:val="clear"/>
            <w:tcMar>
              <w:top w:type="dxa" w:w="60"/>
              <w:left w:type="dxa" w:w="80"/>
              <w:bottom w:type="dxa" w:w="60"/>
              <w:right w:type="dxa" w:w="80"/>
            </w:tcMar>
          </w:tcPr>
          <w:p>
            <w:r>
              <w:rPr>
                <w:b/>
                <w:bCs/>
                <w:color w:val="FFFFFF"/>
                <w:sz w:val="17"/>
                <w:szCs w:val="17"/>
              </w:rPr>
              <w:t xml:space="preserve">Description</w:t>
            </w:r>
          </w:p>
        </w:tc>
        <w:tc>
          <w:tcPr>
            <w:shd w:fill="1F2A44" w:val="clear"/>
            <w:tcMar>
              <w:top w:type="dxa" w:w="60"/>
              <w:left w:type="dxa" w:w="80"/>
              <w:bottom w:type="dxa" w:w="60"/>
              <w:right w:type="dxa" w:w="80"/>
            </w:tcMar>
          </w:tcPr>
          <w:p>
            <w:r>
              <w:rPr>
                <w:b/>
                <w:bCs/>
                <w:color w:val="FFFFFF"/>
                <w:sz w:val="17"/>
                <w:szCs w:val="17"/>
              </w:rPr>
              <w:t xml:space="preserve">Risk</w:t>
            </w:r>
          </w:p>
        </w:tc>
        <w:tc>
          <w:tcPr>
            <w:shd w:fill="1F2A44" w:val="clear"/>
            <w:tcMar>
              <w:top w:type="dxa" w:w="60"/>
              <w:left w:type="dxa" w:w="80"/>
              <w:bottom w:type="dxa" w:w="60"/>
              <w:right w:type="dxa" w:w="80"/>
            </w:tcMar>
          </w:tcPr>
          <w:p>
            <w:r>
              <w:rPr>
                <w:b/>
                <w:bCs/>
                <w:color w:val="FFFFFF"/>
                <w:sz w:val="17"/>
                <w:szCs w:val="17"/>
              </w:rPr>
              <w:t xml:space="preserve">Approval Status</w:t>
            </w:r>
          </w:p>
        </w:tc>
        <w:tc>
          <w:tcPr>
            <w:shd w:fill="1F2A44" w:val="clear"/>
            <w:tcMar>
              <w:top w:type="dxa" w:w="60"/>
              <w:left w:type="dxa" w:w="80"/>
              <w:bottom w:type="dxa" w:w="60"/>
              <w:right w:type="dxa" w:w="80"/>
            </w:tcMar>
          </w:tcPr>
          <w:p>
            <w:r>
              <w:rPr>
                <w:b/>
                <w:bCs/>
                <w:color w:val="FFFFFF"/>
                <w:sz w:val="17"/>
                <w:szCs w:val="17"/>
              </w:rPr>
              <w:t xml:space="preserve">Review Frequency</w:t>
            </w:r>
          </w:p>
        </w:tc>
      </w:tr>
      <w:tr>
        <w:tc>
          <w:tcPr>
            <w:tcMar>
              <w:top w:type="dxa" w:w="60"/>
              <w:left w:type="dxa" w:w="80"/>
              <w:bottom w:type="dxa" w:w="60"/>
              <w:right w:type="dxa" w:w="80"/>
            </w:tcMar>
          </w:tcPr>
          <w:p>
            <w:r>
              <w:rPr>
                <w:b w:val="false"/>
                <w:bCs w:val="false"/>
                <w:sz w:val="17"/>
                <w:szCs w:val="17"/>
              </w:rPr>
              <w:t xml:space="preserve">VAR-01</w:t>
            </w:r>
          </w:p>
        </w:tc>
        <w:tc>
          <w:tcPr>
            <w:tcMar>
              <w:top w:type="dxa" w:w="60"/>
              <w:left w:type="dxa" w:w="80"/>
              <w:bottom w:type="dxa" w:w="60"/>
              <w:right w:type="dxa" w:w="80"/>
            </w:tcMar>
          </w:tcPr>
          <w:p>
            <w:r>
              <w:rPr>
                <w:b w:val="false"/>
                <w:bCs w:val="false"/>
                <w:sz w:val="17"/>
                <w:szCs w:val="17"/>
              </w:rPr>
              <w:t xml:space="preserve">AR-0001</w:t>
            </w:r>
          </w:p>
        </w:tc>
        <w:tc>
          <w:tcPr>
            <w:tcMar>
              <w:top w:type="dxa" w:w="60"/>
              <w:left w:type="dxa" w:w="80"/>
              <w:bottom w:type="dxa" w:w="60"/>
              <w:right w:type="dxa" w:w="80"/>
            </w:tcMar>
          </w:tcPr>
          <w:p>
            <w:r>
              <w:rPr>
                <w:b w:val="false"/>
                <w:bCs w:val="false"/>
                <w:sz w:val="17"/>
                <w:szCs w:val="17"/>
              </w:rPr>
              <w:t xml:space="preserve">No dedicated schema isolation.</w:t>
            </w:r>
          </w:p>
        </w:tc>
        <w:tc>
          <w:tcPr>
            <w:tcMar>
              <w:top w:type="dxa" w:w="60"/>
              <w:left w:type="dxa" w:w="80"/>
              <w:bottom w:type="dxa" w:w="60"/>
              <w:right w:type="dxa" w:w="80"/>
            </w:tcMar>
          </w:tcPr>
          <w:p>
            <w:r>
              <w:rPr>
                <w:b w:val="false"/>
                <w:bCs w:val="false"/>
                <w:sz w:val="17"/>
                <w:szCs w:val="17"/>
              </w:rPr>
              <w:t xml:space="preserve">Low, monitored via EGD-0001 trigger.</w:t>
            </w:r>
          </w:p>
        </w:tc>
        <w:tc>
          <w:tcPr>
            <w:tcMar>
              <w:top w:type="dxa" w:w="60"/>
              <w:left w:type="dxa" w:w="80"/>
              <w:bottom w:type="dxa" w:w="60"/>
              <w:right w:type="dxa" w:w="80"/>
            </w:tcMar>
          </w:tcPr>
          <w:p>
            <w:r>
              <w:rPr>
                <w:b w:val="false"/>
                <w:bCs w:val="false"/>
                <w:sz w:val="17"/>
                <w:szCs w:val="17"/>
              </w:rPr>
              <w:t xml:space="preserve">Approved, deferred</w:t>
            </w:r>
          </w:p>
        </w:tc>
        <w:tc>
          <w:tcPr>
            <w:tcMar>
              <w:top w:type="dxa" w:w="60"/>
              <w:left w:type="dxa" w:w="80"/>
              <w:bottom w:type="dxa" w:w="60"/>
              <w:right w:type="dxa" w:w="80"/>
            </w:tcMar>
          </w:tcPr>
          <w:p>
            <w:r>
              <w:rPr>
                <w:b w:val="false"/>
                <w:bCs w:val="false"/>
                <w:sz w:val="17"/>
                <w:szCs w:val="17"/>
              </w:rPr>
              <w:t xml:space="preserve">Quarterly</w:t>
            </w:r>
          </w:p>
        </w:tc>
      </w:tr>
      <w:tr>
        <w:tc>
          <w:tcPr>
            <w:shd w:fill="EFF3F7" w:val="clear"/>
            <w:tcMar>
              <w:top w:type="dxa" w:w="60"/>
              <w:left w:type="dxa" w:w="80"/>
              <w:bottom w:type="dxa" w:w="60"/>
              <w:right w:type="dxa" w:w="80"/>
            </w:tcMar>
          </w:tcPr>
          <w:p>
            <w:r>
              <w:rPr>
                <w:b w:val="false"/>
                <w:bCs w:val="false"/>
                <w:sz w:val="17"/>
                <w:szCs w:val="17"/>
              </w:rPr>
              <w:t xml:space="preserve">VAR-02</w:t>
            </w:r>
          </w:p>
        </w:tc>
        <w:tc>
          <w:tcPr>
            <w:shd w:fill="EFF3F7" w:val="clear"/>
            <w:tcMar>
              <w:top w:type="dxa" w:w="60"/>
              <w:left w:type="dxa" w:w="80"/>
              <w:bottom w:type="dxa" w:w="60"/>
              <w:right w:type="dxa" w:w="80"/>
            </w:tcMar>
          </w:tcPr>
          <w:p>
            <w:r>
              <w:rPr>
                <w:b w:val="false"/>
                <w:bCs w:val="false"/>
                <w:sz w:val="17"/>
                <w:szCs w:val="17"/>
              </w:rPr>
              <w:t xml:space="preserve">AR-0002</w:t>
            </w:r>
          </w:p>
        </w:tc>
        <w:tc>
          <w:tcPr>
            <w:shd w:fill="EFF3F7" w:val="clear"/>
            <w:tcMar>
              <w:top w:type="dxa" w:w="60"/>
              <w:left w:type="dxa" w:w="80"/>
              <w:bottom w:type="dxa" w:w="60"/>
              <w:right w:type="dxa" w:w="80"/>
            </w:tcMar>
          </w:tcPr>
          <w:p>
            <w:r>
              <w:rPr>
                <w:b w:val="false"/>
                <w:bCs w:val="false"/>
                <w:sz w:val="17"/>
                <w:szCs w:val="17"/>
              </w:rPr>
              <w:t xml:space="preserve">Table/entity structure differs from Phase A (more granular in cognitive/activity domains).</w:t>
            </w:r>
          </w:p>
        </w:tc>
        <w:tc>
          <w:tcPr>
            <w:shd w:fill="EFF3F7" w:val="clear"/>
            <w:tcMar>
              <w:top w:type="dxa" w:w="60"/>
              <w:left w:type="dxa" w:w="80"/>
              <w:bottom w:type="dxa" w:w="60"/>
              <w:right w:type="dxa" w:w="80"/>
            </w:tcMar>
          </w:tcPr>
          <w:p>
            <w:r>
              <w:rPr>
                <w:b w:val="false"/>
                <w:bCs w:val="false"/>
                <w:sz w:val="17"/>
                <w:szCs w:val="17"/>
              </w:rPr>
              <w:t xml:space="preserve">None — treated as a positive variance.</w:t>
            </w:r>
          </w:p>
        </w:tc>
        <w:tc>
          <w:tcPr>
            <w:shd w:fill="EFF3F7" w:val="clear"/>
            <w:tcMar>
              <w:top w:type="dxa" w:w="60"/>
              <w:left w:type="dxa" w:w="80"/>
              <w:bottom w:type="dxa" w:w="60"/>
              <w:right w:type="dxa" w:w="80"/>
            </w:tcMar>
          </w:tcPr>
          <w:p>
            <w:r>
              <w:rPr>
                <w:b w:val="false"/>
                <w:bCs w:val="false"/>
                <w:sz w:val="17"/>
                <w:szCs w:val="17"/>
              </w:rPr>
              <w:t xml:space="preserve">Approved, superseding architecture</w:t>
            </w:r>
          </w:p>
        </w:tc>
        <w:tc>
          <w:tcPr>
            <w:shd w:fill="EFF3F7" w:val="clear"/>
            <w:tcMar>
              <w:top w:type="dxa" w:w="60"/>
              <w:left w:type="dxa" w:w="80"/>
              <w:bottom w:type="dxa" w:w="60"/>
              <w:right w:type="dxa" w:w="80"/>
            </w:tcMar>
          </w:tcPr>
          <w:p>
            <w:r>
              <w:rPr>
                <w:b w:val="false"/>
                <w:bCs w:val="false"/>
                <w:sz w:val="17"/>
                <w:szCs w:val="17"/>
              </w:rPr>
              <w:t xml:space="preserve">One-time, on WP-0001 completion</w:t>
            </w:r>
          </w:p>
        </w:tc>
      </w:tr>
      <w:tr>
        <w:tc>
          <w:tcPr>
            <w:tcMar>
              <w:top w:type="dxa" w:w="60"/>
              <w:left w:type="dxa" w:w="80"/>
              <w:bottom w:type="dxa" w:w="60"/>
              <w:right w:type="dxa" w:w="80"/>
            </w:tcMar>
          </w:tcPr>
          <w:p>
            <w:r>
              <w:rPr>
                <w:b w:val="false"/>
                <w:bCs w:val="false"/>
                <w:sz w:val="17"/>
                <w:szCs w:val="17"/>
              </w:rPr>
              <w:t xml:space="preserve">VAR-03</w:t>
            </w:r>
          </w:p>
        </w:tc>
        <w:tc>
          <w:tcPr>
            <w:tcMar>
              <w:top w:type="dxa" w:w="60"/>
              <w:left w:type="dxa" w:w="80"/>
              <w:bottom w:type="dxa" w:w="60"/>
              <w:right w:type="dxa" w:w="80"/>
            </w:tcMar>
          </w:tcPr>
          <w:p>
            <w:r>
              <w:rPr>
                <w:b w:val="false"/>
                <w:bCs w:val="false"/>
                <w:sz w:val="17"/>
                <w:szCs w:val="17"/>
              </w:rPr>
              <w:t xml:space="preserve">AR-0003</w:t>
            </w:r>
          </w:p>
        </w:tc>
        <w:tc>
          <w:tcPr>
            <w:tcMar>
              <w:top w:type="dxa" w:w="60"/>
              <w:left w:type="dxa" w:w="80"/>
              <w:bottom w:type="dxa" w:w="60"/>
              <w:right w:type="dxa" w:w="80"/>
            </w:tcMar>
          </w:tcPr>
          <w:p>
            <w:r>
              <w:rPr>
                <w:b w:val="false"/>
                <w:bCs w:val="false"/>
                <w:sz w:val="17"/>
                <w:szCs w:val="17"/>
              </w:rPr>
              <w:t xml:space="preserve">Direct-FK taxonomy references instead of _code+version.</w:t>
            </w:r>
          </w:p>
        </w:tc>
        <w:tc>
          <w:tcPr>
            <w:tcMar>
              <w:top w:type="dxa" w:w="60"/>
              <w:left w:type="dxa" w:w="80"/>
              <w:bottom w:type="dxa" w:w="60"/>
              <w:right w:type="dxa" w:w="80"/>
            </w:tcMar>
          </w:tcPr>
          <w:p>
            <w:r>
              <w:rPr>
                <w:b w:val="false"/>
                <w:bCs w:val="false"/>
                <w:sz w:val="17"/>
                <w:szCs w:val="17"/>
              </w:rPr>
              <w:t xml:space="preserve">Medium latent, conditionally monitored.</w:t>
            </w:r>
          </w:p>
        </w:tc>
        <w:tc>
          <w:tcPr>
            <w:tcMar>
              <w:top w:type="dxa" w:w="60"/>
              <w:left w:type="dxa" w:w="80"/>
              <w:bottom w:type="dxa" w:w="60"/>
              <w:right w:type="dxa" w:w="80"/>
            </w:tcMar>
          </w:tcPr>
          <w:p>
            <w:r>
              <w:rPr>
                <w:b w:val="false"/>
                <w:bCs w:val="false"/>
                <w:sz w:val="17"/>
                <w:szCs w:val="17"/>
              </w:rPr>
              <w:t xml:space="preserve">Approved, conditional (EGD-0003)</w:t>
            </w:r>
          </w:p>
        </w:tc>
        <w:tc>
          <w:tcPr>
            <w:tcMar>
              <w:top w:type="dxa" w:w="60"/>
              <w:left w:type="dxa" w:w="80"/>
              <w:bottom w:type="dxa" w:w="60"/>
              <w:right w:type="dxa" w:w="80"/>
            </w:tcMar>
          </w:tcPr>
          <w:p>
            <w:r>
              <w:rPr>
                <w:b w:val="false"/>
                <w:bCs w:val="false"/>
                <w:sz w:val="17"/>
                <w:szCs w:val="17"/>
              </w:rPr>
              <w:t xml:space="preserve">Per-release</w:t>
            </w:r>
          </w:p>
        </w:tc>
      </w:tr>
      <w:tr>
        <w:tc>
          <w:tcPr>
            <w:shd w:fill="EFF3F7" w:val="clear"/>
            <w:tcMar>
              <w:top w:type="dxa" w:w="60"/>
              <w:left w:type="dxa" w:w="80"/>
              <w:bottom w:type="dxa" w:w="60"/>
              <w:right w:type="dxa" w:w="80"/>
            </w:tcMar>
          </w:tcPr>
          <w:p>
            <w:r>
              <w:rPr>
                <w:b w:val="false"/>
                <w:bCs w:val="false"/>
                <w:sz w:val="17"/>
                <w:szCs w:val="17"/>
              </w:rPr>
              <w:t xml:space="preserve">VAR-04</w:t>
            </w:r>
          </w:p>
        </w:tc>
        <w:tc>
          <w:tcPr>
            <w:shd w:fill="EFF3F7" w:val="clear"/>
            <w:tcMar>
              <w:top w:type="dxa" w:w="60"/>
              <w:left w:type="dxa" w:w="80"/>
              <w:bottom w:type="dxa" w:w="60"/>
              <w:right w:type="dxa" w:w="80"/>
            </w:tcMar>
          </w:tcPr>
          <w:p>
            <w:r>
              <w:rPr>
                <w:b w:val="false"/>
                <w:bCs w:val="false"/>
                <w:sz w:val="17"/>
                <w:szCs w:val="17"/>
              </w:rPr>
              <w:t xml:space="preserve">AR-0004</w:t>
            </w:r>
          </w:p>
        </w:tc>
        <w:tc>
          <w:tcPr>
            <w:shd w:fill="EFF3F7" w:val="clear"/>
            <w:tcMar>
              <w:top w:type="dxa" w:w="60"/>
              <w:left w:type="dxa" w:w="80"/>
              <w:bottom w:type="dxa" w:w="60"/>
              <w:right w:type="dxa" w:w="80"/>
            </w:tcMar>
          </w:tcPr>
          <w:p>
            <w:r>
              <w:rPr>
                <w:b w:val="false"/>
                <w:bCs w:val="false"/>
                <w:sz w:val="17"/>
                <w:szCs w:val="17"/>
              </w:rPr>
              <w:t xml:space="preserve">No partitioning on 4 designated tables.</w:t>
            </w:r>
          </w:p>
        </w:tc>
        <w:tc>
          <w:tcPr>
            <w:shd w:fill="EFF3F7" w:val="clear"/>
            <w:tcMar>
              <w:top w:type="dxa" w:w="60"/>
              <w:left w:type="dxa" w:w="80"/>
              <w:bottom w:type="dxa" w:w="60"/>
              <w:right w:type="dxa" w:w="80"/>
            </w:tcMar>
          </w:tcPr>
          <w:p>
            <w:r>
              <w:rPr>
                <w:b w:val="false"/>
                <w:bCs w:val="false"/>
                <w:sz w:val="17"/>
                <w:szCs w:val="17"/>
              </w:rPr>
              <w:t xml:space="preserve">Medium, growing over time.</w:t>
            </w:r>
          </w:p>
        </w:tc>
        <w:tc>
          <w:tcPr>
            <w:shd w:fill="EFF3F7" w:val="clear"/>
            <w:tcMar>
              <w:top w:type="dxa" w:w="60"/>
              <w:left w:type="dxa" w:w="80"/>
              <w:bottom w:type="dxa" w:w="60"/>
              <w:right w:type="dxa" w:w="80"/>
            </w:tcMar>
          </w:tcPr>
          <w:p>
            <w:r>
              <w:rPr>
                <w:b w:val="false"/>
                <w:bCs w:val="false"/>
                <w:sz w:val="17"/>
                <w:szCs w:val="17"/>
              </w:rPr>
              <w:t xml:space="preserve">Approved, deferred</w:t>
            </w:r>
          </w:p>
        </w:tc>
        <w:tc>
          <w:tcPr>
            <w:shd w:fill="EFF3F7" w:val="clear"/>
            <w:tcMar>
              <w:top w:type="dxa" w:w="60"/>
              <w:left w:type="dxa" w:w="80"/>
              <w:bottom w:type="dxa" w:w="60"/>
              <w:right w:type="dxa" w:w="80"/>
            </w:tcMar>
          </w:tcPr>
          <w:p>
            <w:r>
              <w:rPr>
                <w:b w:val="false"/>
                <w:bCs w:val="false"/>
                <w:sz w:val="17"/>
                <w:szCs w:val="17"/>
              </w:rPr>
              <w:t xml:space="preserve">Quarterly</w:t>
            </w:r>
          </w:p>
        </w:tc>
      </w:tr>
    </w:tbl>
    <w:p>
      <w:r>
        <w:br w:type="page"/>
      </w:r>
    </w:p>
    <w:p>
      <w:pPr>
        <w:pStyle w:val="Heading1"/>
        <w:spacing w:after="120" w:before="300"/>
      </w:pPr>
      <w:r>
        <w:t xml:space="preserve">7. Enterprise Architecture Traceability Matrix</w:t>
      </w:r>
    </w:p>
    <w:p>
      <w:pPr>
        <w:spacing w:after="120"/>
      </w:pPr>
      <w:r>
        <w:rPr>
          <w:sz w:val="20"/>
          <w:szCs w:val="20"/>
        </w:rPr>
        <w:t xml:space="preserve">Mandatory reference for all future ERP phases. Chain: Architecture Requirement → Governance Decision → Repository Evidence → Implementation Status → Work Package → Verification Method → Certification Requirement.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2A44" w:val="clear"/>
            <w:tcMar>
              <w:top w:type="dxa" w:w="60"/>
              <w:left w:type="dxa" w:w="80"/>
              <w:bottom w:type="dxa" w:w="60"/>
              <w:right w:type="dxa" w:w="80"/>
            </w:tcMar>
          </w:tcPr>
          <w:p>
            <w:r>
              <w:rPr>
                <w:b/>
                <w:bCs/>
                <w:color w:val="FFFFFF"/>
                <w:sz w:val="17"/>
                <w:szCs w:val="17"/>
              </w:rPr>
              <w:t xml:space="preserve">AR</w:t>
            </w:r>
          </w:p>
        </w:tc>
        <w:tc>
          <w:tcPr>
            <w:shd w:fill="1F2A44" w:val="clear"/>
            <w:tcMar>
              <w:top w:type="dxa" w:w="60"/>
              <w:left w:type="dxa" w:w="80"/>
              <w:bottom w:type="dxa" w:w="60"/>
              <w:right w:type="dxa" w:w="80"/>
            </w:tcMar>
          </w:tcPr>
          <w:p>
            <w:r>
              <w:rPr>
                <w:b/>
                <w:bCs/>
                <w:color w:val="FFFFFF"/>
                <w:sz w:val="17"/>
                <w:szCs w:val="17"/>
              </w:rPr>
              <w:t xml:space="preserve">EGD</w:t>
            </w:r>
          </w:p>
        </w:tc>
        <w:tc>
          <w:tcPr>
            <w:shd w:fill="1F2A44" w:val="clear"/>
            <w:tcMar>
              <w:top w:type="dxa" w:w="60"/>
              <w:left w:type="dxa" w:w="80"/>
              <w:bottom w:type="dxa" w:w="60"/>
              <w:right w:type="dxa" w:w="80"/>
            </w:tcMar>
          </w:tcPr>
          <w:p>
            <w:r>
              <w:rPr>
                <w:b/>
                <w:bCs/>
                <w:color w:val="FFFFFF"/>
                <w:sz w:val="17"/>
                <w:szCs w:val="17"/>
              </w:rPr>
              <w:t xml:space="preserve">Repository Evidence</w:t>
            </w:r>
          </w:p>
        </w:tc>
        <w:tc>
          <w:tcPr>
            <w:shd w:fill="1F2A44" w:val="clear"/>
            <w:tcMar>
              <w:top w:type="dxa" w:w="60"/>
              <w:left w:type="dxa" w:w="80"/>
              <w:bottom w:type="dxa" w:w="60"/>
              <w:right w:type="dxa" w:w="80"/>
            </w:tcMar>
          </w:tcPr>
          <w:p>
            <w:r>
              <w:rPr>
                <w:b/>
                <w:bCs/>
                <w:color w:val="FFFFFF"/>
                <w:sz w:val="17"/>
                <w:szCs w:val="17"/>
              </w:rPr>
              <w:t xml:space="preserve">Implementation Status</w:t>
            </w:r>
          </w:p>
        </w:tc>
        <w:tc>
          <w:tcPr>
            <w:shd w:fill="1F2A44" w:val="clear"/>
            <w:tcMar>
              <w:top w:type="dxa" w:w="60"/>
              <w:left w:type="dxa" w:w="80"/>
              <w:bottom w:type="dxa" w:w="60"/>
              <w:right w:type="dxa" w:w="80"/>
            </w:tcMar>
          </w:tcPr>
          <w:p>
            <w:r>
              <w:rPr>
                <w:b/>
                <w:bCs/>
                <w:color w:val="FFFFFF"/>
                <w:sz w:val="17"/>
                <w:szCs w:val="17"/>
              </w:rPr>
              <w:t xml:space="preserve">WP</w:t>
            </w:r>
          </w:p>
        </w:tc>
        <w:tc>
          <w:tcPr>
            <w:shd w:fill="1F2A44" w:val="clear"/>
            <w:tcMar>
              <w:top w:type="dxa" w:w="60"/>
              <w:left w:type="dxa" w:w="80"/>
              <w:bottom w:type="dxa" w:w="60"/>
              <w:right w:type="dxa" w:w="80"/>
            </w:tcMar>
          </w:tcPr>
          <w:p>
            <w:r>
              <w:rPr>
                <w:b/>
                <w:bCs/>
                <w:color w:val="FFFFFF"/>
                <w:sz w:val="17"/>
                <w:szCs w:val="17"/>
              </w:rPr>
              <w:t xml:space="preserve">Verification Method</w:t>
            </w:r>
          </w:p>
        </w:tc>
        <w:tc>
          <w:tcPr>
            <w:shd w:fill="1F2A44" w:val="clear"/>
            <w:tcMar>
              <w:top w:type="dxa" w:w="60"/>
              <w:left w:type="dxa" w:w="80"/>
              <w:bottom w:type="dxa" w:w="60"/>
              <w:right w:type="dxa" w:w="80"/>
            </w:tcMar>
          </w:tcPr>
          <w:p>
            <w:r>
              <w:rPr>
                <w:b/>
                <w:bCs/>
                <w:color w:val="FFFFFF"/>
                <w:sz w:val="17"/>
                <w:szCs w:val="17"/>
              </w:rPr>
              <w:t xml:space="preserve">Certification Level</w:t>
            </w:r>
          </w:p>
        </w:tc>
      </w:tr>
      <w:tr>
        <w:tc>
          <w:tcPr>
            <w:tcMar>
              <w:top w:type="dxa" w:w="60"/>
              <w:left w:type="dxa" w:w="80"/>
              <w:bottom w:type="dxa" w:w="60"/>
              <w:right w:type="dxa" w:w="80"/>
            </w:tcMar>
          </w:tcPr>
          <w:p>
            <w:r>
              <w:rPr>
                <w:b w:val="false"/>
                <w:bCs w:val="false"/>
                <w:sz w:val="17"/>
                <w:szCs w:val="17"/>
              </w:rPr>
              <w:t xml:space="preserve">AR-0001</w:t>
            </w:r>
          </w:p>
        </w:tc>
        <w:tc>
          <w:tcPr>
            <w:tcMar>
              <w:top w:type="dxa" w:w="60"/>
              <w:left w:type="dxa" w:w="80"/>
              <w:bottom w:type="dxa" w:w="60"/>
              <w:right w:type="dxa" w:w="80"/>
            </w:tcMar>
          </w:tcPr>
          <w:p>
            <w:r>
              <w:rPr>
                <w:b w:val="false"/>
                <w:bCs w:val="false"/>
                <w:sz w:val="17"/>
                <w:szCs w:val="17"/>
              </w:rPr>
              <w:t xml:space="preserve">EGD-0001</w:t>
            </w:r>
          </w:p>
        </w:tc>
        <w:tc>
          <w:tcPr>
            <w:tcMar>
              <w:top w:type="dxa" w:w="60"/>
              <w:left w:type="dxa" w:w="80"/>
              <w:bottom w:type="dxa" w:w="60"/>
              <w:right w:type="dxa" w:w="80"/>
            </w:tcMar>
          </w:tcPr>
          <w:p>
            <w:r>
              <w:rPr>
                <w:b w:val="false"/>
                <w:bCs w:val="false"/>
                <w:sz w:val="17"/>
                <w:szCs w:val="17"/>
              </w:rPr>
              <w:t xml:space="preserve">Phase A.1 §2–4; zero CREATE SCHEMA academic_domain matches.</w:t>
            </w:r>
          </w:p>
        </w:tc>
        <w:tc>
          <w:tcPr>
            <w:tcMar>
              <w:top w:type="dxa" w:w="60"/>
              <w:left w:type="dxa" w:w="80"/>
              <w:bottom w:type="dxa" w:w="60"/>
              <w:right w:type="dxa" w:w="80"/>
            </w:tcMar>
          </w:tcPr>
          <w:p>
            <w:r>
              <w:rPr>
                <w:b w:val="false"/>
                <w:bCs w:val="false"/>
                <w:sz w:val="17"/>
                <w:szCs w:val="17"/>
              </w:rPr>
              <w:t xml:space="preserve">Not implemented (deferred by design).</w:t>
            </w:r>
          </w:p>
        </w:tc>
        <w:tc>
          <w:tcPr>
            <w:tcMar>
              <w:top w:type="dxa" w:w="60"/>
              <w:left w:type="dxa" w:w="80"/>
              <w:bottom w:type="dxa" w:w="60"/>
              <w:right w:type="dxa" w:w="80"/>
            </w:tcMar>
          </w:tcPr>
          <w:p>
            <w:r>
              <w:rPr>
                <w:b w:val="false"/>
                <w:bCs w:val="false"/>
                <w:sz w:val="17"/>
                <w:szCs w:val="17"/>
              </w:rPr>
              <w:t xml:space="preserve">—</w:t>
            </w:r>
          </w:p>
        </w:tc>
        <w:tc>
          <w:tcPr>
            <w:tcMar>
              <w:top w:type="dxa" w:w="60"/>
              <w:left w:type="dxa" w:w="80"/>
              <w:bottom w:type="dxa" w:w="60"/>
              <w:right w:type="dxa" w:w="80"/>
            </w:tcMar>
          </w:tcPr>
          <w:p>
            <w:r>
              <w:rPr>
                <w:b w:val="false"/>
                <w:bCs w:val="false"/>
                <w:sz w:val="17"/>
                <w:szCs w:val="17"/>
              </w:rPr>
              <w:t xml:space="preserve">Quarterly trigger check (public table count).</w:t>
            </w:r>
          </w:p>
        </w:tc>
        <w:tc>
          <w:tcPr>
            <w:tcMar>
              <w:top w:type="dxa" w:w="60"/>
              <w:left w:type="dxa" w:w="80"/>
              <w:bottom w:type="dxa" w:w="60"/>
              <w:right w:type="dxa" w:w="80"/>
            </w:tcMar>
          </w:tcPr>
          <w:p>
            <w:r>
              <w:rPr>
                <w:b w:val="false"/>
                <w:bCs w:val="false"/>
                <w:sz w:val="17"/>
                <w:szCs w:val="17"/>
              </w:rPr>
              <w:t xml:space="preserve">L3</w:t>
            </w:r>
          </w:p>
        </w:tc>
      </w:tr>
      <w:tr>
        <w:tc>
          <w:tcPr>
            <w:shd w:fill="EFF3F7" w:val="clear"/>
            <w:tcMar>
              <w:top w:type="dxa" w:w="60"/>
              <w:left w:type="dxa" w:w="80"/>
              <w:bottom w:type="dxa" w:w="60"/>
              <w:right w:type="dxa" w:w="80"/>
            </w:tcMar>
          </w:tcPr>
          <w:p>
            <w:r>
              <w:rPr>
                <w:b w:val="false"/>
                <w:bCs w:val="false"/>
                <w:sz w:val="17"/>
                <w:szCs w:val="17"/>
              </w:rPr>
              <w:t xml:space="preserve">AR-0002</w:t>
            </w:r>
          </w:p>
        </w:tc>
        <w:tc>
          <w:tcPr>
            <w:shd w:fill="EFF3F7" w:val="clear"/>
            <w:tcMar>
              <w:top w:type="dxa" w:w="60"/>
              <w:left w:type="dxa" w:w="80"/>
              <w:bottom w:type="dxa" w:w="60"/>
              <w:right w:type="dxa" w:w="80"/>
            </w:tcMar>
          </w:tcPr>
          <w:p>
            <w:r>
              <w:rPr>
                <w:b w:val="false"/>
                <w:bCs w:val="false"/>
                <w:sz w:val="17"/>
                <w:szCs w:val="17"/>
              </w:rPr>
              <w:t xml:space="preserve">EGD-0002</w:t>
            </w:r>
          </w:p>
        </w:tc>
        <w:tc>
          <w:tcPr>
            <w:shd w:fill="EFF3F7" w:val="clear"/>
            <w:tcMar>
              <w:top w:type="dxa" w:w="60"/>
              <w:left w:type="dxa" w:w="80"/>
              <w:bottom w:type="dxa" w:w="60"/>
              <w:right w:type="dxa" w:w="80"/>
            </w:tcMar>
          </w:tcPr>
          <w:p>
            <w:r>
              <w:rPr>
                <w:b w:val="false"/>
                <w:bCs w:val="false"/>
                <w:sz w:val="17"/>
                <w:szCs w:val="17"/>
              </w:rPr>
              <w:t xml:space="preserve">Phase A.1 §4, Table Realization Matrix.</w:t>
            </w:r>
          </w:p>
        </w:tc>
        <w:tc>
          <w:tcPr>
            <w:shd w:fill="EFF3F7" w:val="clear"/>
            <w:tcMar>
              <w:top w:type="dxa" w:w="60"/>
              <w:left w:type="dxa" w:w="80"/>
              <w:bottom w:type="dxa" w:w="60"/>
              <w:right w:type="dxa" w:w="80"/>
            </w:tcMar>
          </w:tcPr>
          <w:p>
            <w:r>
              <w:rPr>
                <w:b w:val="false"/>
                <w:bCs w:val="false"/>
                <w:sz w:val="17"/>
                <w:szCs w:val="17"/>
              </w:rPr>
              <w:t xml:space="preserve">Not implemented under canonical names; documentation revision pending.</w:t>
            </w:r>
          </w:p>
        </w:tc>
        <w:tc>
          <w:tcPr>
            <w:shd w:fill="EFF3F7" w:val="clear"/>
            <w:tcMar>
              <w:top w:type="dxa" w:w="60"/>
              <w:left w:type="dxa" w:w="80"/>
              <w:bottom w:type="dxa" w:w="60"/>
              <w:right w:type="dxa" w:w="80"/>
            </w:tcMar>
          </w:tcPr>
          <w:p>
            <w:r>
              <w:rPr>
                <w:b w:val="false"/>
                <w:bCs w:val="false"/>
                <w:sz w:val="17"/>
                <w:szCs w:val="17"/>
              </w:rPr>
              <w:t xml:space="preserve">WP-0001</w:t>
            </w:r>
          </w:p>
        </w:tc>
        <w:tc>
          <w:tcPr>
            <w:shd w:fill="EFF3F7" w:val="clear"/>
            <w:tcMar>
              <w:top w:type="dxa" w:w="60"/>
              <w:left w:type="dxa" w:w="80"/>
              <w:bottom w:type="dxa" w:w="60"/>
              <w:right w:type="dxa" w:w="80"/>
            </w:tcMar>
          </w:tcPr>
          <w:p>
            <w:r>
              <w:rPr>
                <w:b w:val="false"/>
                <w:bCs w:val="false"/>
                <w:sz w:val="17"/>
                <w:szCs w:val="17"/>
              </w:rPr>
              <w:t xml:space="preserve">Table inventory diff vs. \dt public.* with zero discrepancies.</w:t>
            </w:r>
          </w:p>
        </w:tc>
        <w:tc>
          <w:tcPr>
            <w:shd w:fill="EFF3F7" w:val="clear"/>
            <w:tcMar>
              <w:top w:type="dxa" w:w="60"/>
              <w:left w:type="dxa" w:w="80"/>
              <w:bottom w:type="dxa" w:w="60"/>
              <w:right w:type="dxa" w:w="80"/>
            </w:tcMar>
          </w:tcPr>
          <w:p>
            <w:r>
              <w:rPr>
                <w:b w:val="false"/>
                <w:bCs w:val="false"/>
                <w:sz w:val="17"/>
                <w:szCs w:val="17"/>
              </w:rPr>
              <w:t xml:space="preserve">L4 (pending)</w:t>
            </w:r>
          </w:p>
        </w:tc>
      </w:tr>
      <w:tr>
        <w:tc>
          <w:tcPr>
            <w:tcMar>
              <w:top w:type="dxa" w:w="60"/>
              <w:left w:type="dxa" w:w="80"/>
              <w:bottom w:type="dxa" w:w="60"/>
              <w:right w:type="dxa" w:w="80"/>
            </w:tcMar>
          </w:tcPr>
          <w:p>
            <w:r>
              <w:rPr>
                <w:b w:val="false"/>
                <w:bCs w:val="false"/>
                <w:sz w:val="17"/>
                <w:szCs w:val="17"/>
              </w:rPr>
              <w:t xml:space="preserve">AR-0003</w:t>
            </w:r>
          </w:p>
        </w:tc>
        <w:tc>
          <w:tcPr>
            <w:tcMar>
              <w:top w:type="dxa" w:w="60"/>
              <w:left w:type="dxa" w:w="80"/>
              <w:bottom w:type="dxa" w:w="60"/>
              <w:right w:type="dxa" w:w="80"/>
            </w:tcMar>
          </w:tcPr>
          <w:p>
            <w:r>
              <w:rPr>
                <w:b w:val="false"/>
                <w:bCs w:val="false"/>
                <w:sz w:val="17"/>
                <w:szCs w:val="17"/>
              </w:rPr>
              <w:t xml:space="preserve">EGD-0003</w:t>
            </w:r>
          </w:p>
        </w:tc>
        <w:tc>
          <w:tcPr>
            <w:tcMar>
              <w:top w:type="dxa" w:w="60"/>
              <w:left w:type="dxa" w:w="80"/>
              <w:bottom w:type="dxa" w:w="60"/>
              <w:right w:type="dxa" w:w="80"/>
            </w:tcMar>
          </w:tcPr>
          <w:p>
            <w:r>
              <w:rPr>
                <w:b w:val="false"/>
                <w:bCs w:val="false"/>
                <w:sz w:val="17"/>
                <w:szCs w:val="17"/>
              </w:rPr>
              <w:t xml:space="preserve">Phase A.1 §3–4; academic_boards.country_id direct FK.</w:t>
            </w:r>
          </w:p>
        </w:tc>
        <w:tc>
          <w:tcPr>
            <w:tcMar>
              <w:top w:type="dxa" w:w="60"/>
              <w:left w:type="dxa" w:w="80"/>
              <w:bottom w:type="dxa" w:w="60"/>
              <w:right w:type="dxa" w:w="80"/>
            </w:tcMar>
          </w:tcPr>
          <w:p>
            <w:r>
              <w:rPr>
                <w:b w:val="false"/>
                <w:bCs w:val="false"/>
                <w:sz w:val="17"/>
                <w:szCs w:val="17"/>
              </w:rPr>
              <w:t xml:space="preserve">Implemented differently; accepted conditionally.</w:t>
            </w:r>
          </w:p>
        </w:tc>
        <w:tc>
          <w:tcPr>
            <w:tcMar>
              <w:top w:type="dxa" w:w="60"/>
              <w:left w:type="dxa" w:w="80"/>
              <w:bottom w:type="dxa" w:w="60"/>
              <w:right w:type="dxa" w:w="80"/>
            </w:tcMar>
          </w:tcPr>
          <w:p>
            <w:r>
              <w:rPr>
                <w:b w:val="false"/>
                <w:bCs w:val="false"/>
                <w:sz w:val="17"/>
                <w:szCs w:val="17"/>
              </w:rPr>
              <w:t xml:space="preserve">WP-0004</w:t>
            </w:r>
          </w:p>
        </w:tc>
        <w:tc>
          <w:tcPr>
            <w:tcMar>
              <w:top w:type="dxa" w:w="60"/>
              <w:left w:type="dxa" w:w="80"/>
              <w:bottom w:type="dxa" w:w="60"/>
              <w:right w:type="dxa" w:w="80"/>
            </w:tcMar>
          </w:tcPr>
          <w:p>
            <w:r>
              <w:rPr>
                <w:b w:val="false"/>
                <w:bCs w:val="false"/>
                <w:sz w:val="17"/>
                <w:szCs w:val="17"/>
              </w:rPr>
              <w:t xml:space="preserve">Per-release automated denormalization check.</w:t>
            </w:r>
          </w:p>
        </w:tc>
        <w:tc>
          <w:tcPr>
            <w:tcMar>
              <w:top w:type="dxa" w:w="60"/>
              <w:left w:type="dxa" w:w="80"/>
              <w:bottom w:type="dxa" w:w="60"/>
              <w:right w:type="dxa" w:w="80"/>
            </w:tcMar>
          </w:tcPr>
          <w:p>
            <w:r>
              <w:rPr>
                <w:b w:val="false"/>
                <w:bCs w:val="false"/>
                <w:sz w:val="17"/>
                <w:szCs w:val="17"/>
              </w:rPr>
              <w:t xml:space="preserve">L4 (pending)</w:t>
            </w:r>
          </w:p>
        </w:tc>
      </w:tr>
      <w:tr>
        <w:tc>
          <w:tcPr>
            <w:shd w:fill="EFF3F7" w:val="clear"/>
            <w:tcMar>
              <w:top w:type="dxa" w:w="60"/>
              <w:left w:type="dxa" w:w="80"/>
              <w:bottom w:type="dxa" w:w="60"/>
              <w:right w:type="dxa" w:w="80"/>
            </w:tcMar>
          </w:tcPr>
          <w:p>
            <w:r>
              <w:rPr>
                <w:b w:val="false"/>
                <w:bCs w:val="false"/>
                <w:sz w:val="17"/>
                <w:szCs w:val="17"/>
              </w:rPr>
              <w:t xml:space="preserve">AR-0004</w:t>
            </w:r>
          </w:p>
        </w:tc>
        <w:tc>
          <w:tcPr>
            <w:shd w:fill="EFF3F7" w:val="clear"/>
            <w:tcMar>
              <w:top w:type="dxa" w:w="60"/>
              <w:left w:type="dxa" w:w="80"/>
              <w:bottom w:type="dxa" w:w="60"/>
              <w:right w:type="dxa" w:w="80"/>
            </w:tcMar>
          </w:tcPr>
          <w:p>
            <w:r>
              <w:rPr>
                <w:b w:val="false"/>
                <w:bCs w:val="false"/>
                <w:sz w:val="17"/>
                <w:szCs w:val="17"/>
              </w:rPr>
              <w:t xml:space="preserve">EGD-0004</w:t>
            </w:r>
          </w:p>
        </w:tc>
        <w:tc>
          <w:tcPr>
            <w:shd w:fill="EFF3F7" w:val="clear"/>
            <w:tcMar>
              <w:top w:type="dxa" w:w="60"/>
              <w:left w:type="dxa" w:w="80"/>
              <w:bottom w:type="dxa" w:w="60"/>
              <w:right w:type="dxa" w:w="80"/>
            </w:tcMar>
          </w:tcPr>
          <w:p>
            <w:r>
              <w:rPr>
                <w:b w:val="false"/>
                <w:bCs w:val="false"/>
                <w:sz w:val="17"/>
                <w:szCs w:val="17"/>
              </w:rPr>
              <w:t xml:space="preserve">Phase A.1 §7; no PARTITION BY on domain tables.</w:t>
            </w:r>
          </w:p>
        </w:tc>
        <w:tc>
          <w:tcPr>
            <w:shd w:fill="EFF3F7" w:val="clear"/>
            <w:tcMar>
              <w:top w:type="dxa" w:w="60"/>
              <w:left w:type="dxa" w:w="80"/>
              <w:bottom w:type="dxa" w:w="60"/>
              <w:right w:type="dxa" w:w="80"/>
            </w:tcMar>
          </w:tcPr>
          <w:p>
            <w:r>
              <w:rPr>
                <w:b w:val="false"/>
                <w:bCs w:val="false"/>
                <w:sz w:val="17"/>
                <w:szCs w:val="17"/>
              </w:rPr>
              <w:t xml:space="preserve">Not implemented (deferred).</w:t>
            </w:r>
          </w:p>
        </w:tc>
        <w:tc>
          <w:tcPr>
            <w:shd w:fill="EFF3F7" w:val="clear"/>
            <w:tcMar>
              <w:top w:type="dxa" w:w="60"/>
              <w:left w:type="dxa" w:w="80"/>
              <w:bottom w:type="dxa" w:w="60"/>
              <w:right w:type="dxa" w:w="80"/>
            </w:tcMar>
          </w:tcPr>
          <w:p>
            <w:r>
              <w:rPr>
                <w:b w:val="false"/>
                <w:bCs w:val="false"/>
                <w:sz w:val="17"/>
                <w:szCs w:val="17"/>
              </w:rPr>
              <w:t xml:space="preserve">WP-0003</w:t>
            </w:r>
          </w:p>
        </w:tc>
        <w:tc>
          <w:tcPr>
            <w:shd w:fill="EFF3F7" w:val="clear"/>
            <w:tcMar>
              <w:top w:type="dxa" w:w="60"/>
              <w:left w:type="dxa" w:w="80"/>
              <w:bottom w:type="dxa" w:w="60"/>
              <w:right w:type="dxa" w:w="80"/>
            </w:tcMar>
          </w:tcPr>
          <w:p>
            <w:r>
              <w:rPr>
                <w:b w:val="false"/>
                <w:bCs w:val="false"/>
                <w:sz w:val="17"/>
                <w:szCs w:val="17"/>
              </w:rPr>
              <w:t xml:space="preserve">Quarterly row-count/latency check against trigger.</w:t>
            </w:r>
          </w:p>
        </w:tc>
        <w:tc>
          <w:tcPr>
            <w:shd w:fill="EFF3F7" w:val="clear"/>
            <w:tcMar>
              <w:top w:type="dxa" w:w="60"/>
              <w:left w:type="dxa" w:w="80"/>
              <w:bottom w:type="dxa" w:w="60"/>
              <w:right w:type="dxa" w:w="80"/>
            </w:tcMar>
          </w:tcPr>
          <w:p>
            <w:r>
              <w:rPr>
                <w:b w:val="false"/>
                <w:bCs w:val="false"/>
                <w:sz w:val="17"/>
                <w:szCs w:val="17"/>
              </w:rPr>
              <w:t xml:space="preserve">L3</w:t>
            </w:r>
          </w:p>
        </w:tc>
      </w:tr>
      <w:tr>
        <w:tc>
          <w:tcPr>
            <w:tcMar>
              <w:top w:type="dxa" w:w="60"/>
              <w:left w:type="dxa" w:w="80"/>
              <w:bottom w:type="dxa" w:w="60"/>
              <w:right w:type="dxa" w:w="80"/>
            </w:tcMar>
          </w:tcPr>
          <w:p>
            <w:r>
              <w:rPr>
                <w:b w:val="false"/>
                <w:bCs w:val="false"/>
                <w:sz w:val="17"/>
                <w:szCs w:val="17"/>
              </w:rPr>
              <w:t xml:space="preserve">AR-0005</w:t>
            </w:r>
          </w:p>
        </w:tc>
        <w:tc>
          <w:tcPr>
            <w:tcMar>
              <w:top w:type="dxa" w:w="60"/>
              <w:left w:type="dxa" w:w="80"/>
              <w:bottom w:type="dxa" w:w="60"/>
              <w:right w:type="dxa" w:w="80"/>
            </w:tcMar>
          </w:tcPr>
          <w:p>
            <w:r>
              <w:rPr>
                <w:b w:val="false"/>
                <w:bCs w:val="false"/>
                <w:sz w:val="17"/>
                <w:szCs w:val="17"/>
              </w:rPr>
              <w:t xml:space="preserve">EGD-0005</w:t>
            </w:r>
          </w:p>
        </w:tc>
        <w:tc>
          <w:tcPr>
            <w:tcMar>
              <w:top w:type="dxa" w:w="60"/>
              <w:left w:type="dxa" w:w="80"/>
              <w:bottom w:type="dxa" w:w="60"/>
              <w:right w:type="dxa" w:w="80"/>
            </w:tcMar>
          </w:tcPr>
          <w:p>
            <w:r>
              <w:rPr>
                <w:b w:val="false"/>
                <w:bCs w:val="false"/>
                <w:sz w:val="17"/>
                <w:szCs w:val="17"/>
              </w:rPr>
              <w:t xml:space="preserve">Phase A.1 §4.</w:t>
            </w:r>
          </w:p>
        </w:tc>
        <w:tc>
          <w:tcPr>
            <w:tcMar>
              <w:top w:type="dxa" w:w="60"/>
              <w:left w:type="dxa" w:w="80"/>
              <w:bottom w:type="dxa" w:w="60"/>
              <w:right w:type="dxa" w:w="80"/>
            </w:tcMar>
          </w:tcPr>
          <w:p>
            <w:r>
              <w:rPr>
                <w:b w:val="false"/>
                <w:bCs w:val="false"/>
                <w:sz w:val="17"/>
                <w:szCs w:val="17"/>
              </w:rPr>
              <w:t xml:space="preserve">Folded into 2-table model (deferred).</w:t>
            </w:r>
          </w:p>
        </w:tc>
        <w:tc>
          <w:tcPr>
            <w:tcMar>
              <w:top w:type="dxa" w:w="60"/>
              <w:left w:type="dxa" w:w="80"/>
              <w:bottom w:type="dxa" w:w="60"/>
              <w:right w:type="dxa" w:w="80"/>
            </w:tcMar>
          </w:tcPr>
          <w:p>
            <w:r>
              <w:rPr>
                <w:b w:val="false"/>
                <w:bCs w:val="false"/>
                <w:sz w:val="17"/>
                <w:szCs w:val="17"/>
              </w:rPr>
              <w:t xml:space="preserve">—</w:t>
            </w:r>
          </w:p>
        </w:tc>
        <w:tc>
          <w:tcPr>
            <w:tcMar>
              <w:top w:type="dxa" w:w="60"/>
              <w:left w:type="dxa" w:w="80"/>
              <w:bottom w:type="dxa" w:w="60"/>
              <w:right w:type="dxa" w:w="80"/>
            </w:tcMar>
          </w:tcPr>
          <w:p>
            <w:r>
              <w:rPr>
                <w:b w:val="false"/>
                <w:bCs w:val="false"/>
                <w:sz w:val="17"/>
                <w:szCs w:val="17"/>
              </w:rPr>
              <w:t xml:space="preserve">Product roadmap review.</w:t>
            </w:r>
          </w:p>
        </w:tc>
        <w:tc>
          <w:tcPr>
            <w:tcMar>
              <w:top w:type="dxa" w:w="60"/>
              <w:left w:type="dxa" w:w="80"/>
              <w:bottom w:type="dxa" w:w="60"/>
              <w:right w:type="dxa" w:w="80"/>
            </w:tcMar>
          </w:tcPr>
          <w:p>
            <w:r>
              <w:rPr>
                <w:b w:val="false"/>
                <w:bCs w:val="false"/>
                <w:sz w:val="17"/>
                <w:szCs w:val="17"/>
              </w:rPr>
              <w:t xml:space="preserve">L3</w:t>
            </w:r>
          </w:p>
        </w:tc>
      </w:tr>
      <w:tr>
        <w:tc>
          <w:tcPr>
            <w:shd w:fill="EFF3F7" w:val="clear"/>
            <w:tcMar>
              <w:top w:type="dxa" w:w="60"/>
              <w:left w:type="dxa" w:w="80"/>
              <w:bottom w:type="dxa" w:w="60"/>
              <w:right w:type="dxa" w:w="80"/>
            </w:tcMar>
          </w:tcPr>
          <w:p>
            <w:r>
              <w:rPr>
                <w:b w:val="false"/>
                <w:bCs w:val="false"/>
                <w:sz w:val="17"/>
                <w:szCs w:val="17"/>
              </w:rPr>
              <w:t xml:space="preserve">AR-0006</w:t>
            </w:r>
          </w:p>
        </w:tc>
        <w:tc>
          <w:tcPr>
            <w:shd w:fill="EFF3F7" w:val="clear"/>
            <w:tcMar>
              <w:top w:type="dxa" w:w="60"/>
              <w:left w:type="dxa" w:w="80"/>
              <w:bottom w:type="dxa" w:w="60"/>
              <w:right w:type="dxa" w:w="80"/>
            </w:tcMar>
          </w:tcPr>
          <w:p>
            <w:r>
              <w:rPr>
                <w:b w:val="false"/>
                <w:bCs w:val="false"/>
                <w:sz w:val="17"/>
                <w:szCs w:val="17"/>
              </w:rPr>
              <w:t xml:space="preserve">EGD-0006</w:t>
            </w:r>
          </w:p>
        </w:tc>
        <w:tc>
          <w:tcPr>
            <w:shd w:fill="EFF3F7" w:val="clear"/>
            <w:tcMar>
              <w:top w:type="dxa" w:w="60"/>
              <w:left w:type="dxa" w:w="80"/>
              <w:bottom w:type="dxa" w:w="60"/>
              <w:right w:type="dxa" w:w="80"/>
            </w:tcMar>
          </w:tcPr>
          <w:p>
            <w:r>
              <w:rPr>
                <w:b w:val="false"/>
                <w:bCs w:val="false"/>
                <w:sz w:val="17"/>
                <w:szCs w:val="17"/>
              </w:rPr>
              <w:t xml:space="preserve">Phase A.1 §5.</w:t>
            </w:r>
          </w:p>
        </w:tc>
        <w:tc>
          <w:tcPr>
            <w:shd w:fill="EFF3F7" w:val="clear"/>
            <w:tcMar>
              <w:top w:type="dxa" w:w="60"/>
              <w:left w:type="dxa" w:w="80"/>
              <w:bottom w:type="dxa" w:w="60"/>
              <w:right w:type="dxa" w:w="80"/>
            </w:tcMar>
          </w:tcPr>
          <w:p>
            <w:r>
              <w:rPr>
                <w:b w:val="false"/>
                <w:bCs w:val="false"/>
                <w:sz w:val="17"/>
                <w:szCs w:val="17"/>
              </w:rPr>
              <w:t xml:space="preserve">Not implemented (deferred).</w:t>
            </w:r>
          </w:p>
        </w:tc>
        <w:tc>
          <w:tcPr>
            <w:shd w:fill="EFF3F7" w:val="clear"/>
            <w:tcMar>
              <w:top w:type="dxa" w:w="60"/>
              <w:left w:type="dxa" w:w="80"/>
              <w:bottom w:type="dxa" w:w="60"/>
              <w:right w:type="dxa" w:w="80"/>
            </w:tcMar>
          </w:tcPr>
          <w:p>
            <w:r>
              <w:rPr>
                <w:b w:val="false"/>
                <w:bCs w:val="false"/>
                <w:sz w:val="17"/>
                <w:szCs w:val="17"/>
              </w:rPr>
              <w:t xml:space="preserve">—</w:t>
            </w:r>
          </w:p>
        </w:tc>
        <w:tc>
          <w:tcPr>
            <w:shd w:fill="EFF3F7" w:val="clear"/>
            <w:tcMar>
              <w:top w:type="dxa" w:w="60"/>
              <w:left w:type="dxa" w:w="80"/>
              <w:bottom w:type="dxa" w:w="60"/>
              <w:right w:type="dxa" w:w="80"/>
            </w:tcMar>
          </w:tcPr>
          <w:p>
            <w:r>
              <w:rPr>
                <w:b w:val="false"/>
                <w:bCs w:val="false"/>
                <w:sz w:val="17"/>
                <w:szCs w:val="17"/>
              </w:rPr>
              <w:t xml:space="preserve">Compliance/audit scope review.</w:t>
            </w:r>
          </w:p>
        </w:tc>
        <w:tc>
          <w:tcPr>
            <w:shd w:fill="EFF3F7" w:val="clear"/>
            <w:tcMar>
              <w:top w:type="dxa" w:w="60"/>
              <w:left w:type="dxa" w:w="80"/>
              <w:bottom w:type="dxa" w:w="60"/>
              <w:right w:type="dxa" w:w="80"/>
            </w:tcMar>
          </w:tcPr>
          <w:p>
            <w:r>
              <w:rPr>
                <w:b w:val="false"/>
                <w:bCs w:val="false"/>
                <w:sz w:val="17"/>
                <w:szCs w:val="17"/>
              </w:rPr>
              <w:t xml:space="preserve">L3</w:t>
            </w:r>
          </w:p>
        </w:tc>
      </w:tr>
      <w:tr>
        <w:tc>
          <w:tcPr>
            <w:tcMar>
              <w:top w:type="dxa" w:w="60"/>
              <w:left w:type="dxa" w:w="80"/>
              <w:bottom w:type="dxa" w:w="60"/>
              <w:right w:type="dxa" w:w="80"/>
            </w:tcMar>
          </w:tcPr>
          <w:p>
            <w:r>
              <w:rPr>
                <w:b w:val="false"/>
                <w:bCs w:val="false"/>
                <w:sz w:val="17"/>
                <w:szCs w:val="17"/>
              </w:rPr>
              <w:t xml:space="preserve">AR-0007</w:t>
            </w:r>
          </w:p>
        </w:tc>
        <w:tc>
          <w:tcPr>
            <w:tcMar>
              <w:top w:type="dxa" w:w="60"/>
              <w:left w:type="dxa" w:w="80"/>
              <w:bottom w:type="dxa" w:w="60"/>
              <w:right w:type="dxa" w:w="80"/>
            </w:tcMar>
          </w:tcPr>
          <w:p>
            <w:r>
              <w:rPr>
                <w:b w:val="false"/>
                <w:bCs w:val="false"/>
                <w:sz w:val="17"/>
                <w:szCs w:val="17"/>
              </w:rPr>
              <w:t xml:space="preserve">EGD-0007</w:t>
            </w:r>
          </w:p>
        </w:tc>
        <w:tc>
          <w:tcPr>
            <w:tcMar>
              <w:top w:type="dxa" w:w="60"/>
              <w:left w:type="dxa" w:w="80"/>
              <w:bottom w:type="dxa" w:w="60"/>
              <w:right w:type="dxa" w:w="80"/>
            </w:tcMar>
          </w:tcPr>
          <w:p>
            <w:r>
              <w:rPr>
                <w:b w:val="false"/>
                <w:bCs w:val="false"/>
                <w:sz w:val="17"/>
                <w:szCs w:val="17"/>
              </w:rPr>
              <w:t xml:space="preserve">Phase A.1 §8; confirmed on 2 tables, unverified elsewhere.</w:t>
            </w:r>
          </w:p>
        </w:tc>
        <w:tc>
          <w:tcPr>
            <w:tcMar>
              <w:top w:type="dxa" w:w="60"/>
              <w:left w:type="dxa" w:w="80"/>
              <w:bottom w:type="dxa" w:w="60"/>
              <w:right w:type="dxa" w:w="80"/>
            </w:tcMar>
          </w:tcPr>
          <w:p>
            <w:r>
              <w:rPr>
                <w:b w:val="false"/>
                <w:bCs w:val="false"/>
                <w:sz w:val="17"/>
                <w:szCs w:val="17"/>
              </w:rPr>
              <w:t xml:space="preserve">Partially implemented, verification in progress.</w:t>
            </w:r>
          </w:p>
        </w:tc>
        <w:tc>
          <w:tcPr>
            <w:tcMar>
              <w:top w:type="dxa" w:w="60"/>
              <w:left w:type="dxa" w:w="80"/>
              <w:bottom w:type="dxa" w:w="60"/>
              <w:right w:type="dxa" w:w="80"/>
            </w:tcMar>
          </w:tcPr>
          <w:p>
            <w:r>
              <w:rPr>
                <w:b w:val="false"/>
                <w:bCs w:val="false"/>
                <w:sz w:val="17"/>
                <w:szCs w:val="17"/>
              </w:rPr>
              <w:t xml:space="preserve">WP-0002</w:t>
            </w:r>
          </w:p>
        </w:tc>
        <w:tc>
          <w:tcPr>
            <w:tcMar>
              <w:top w:type="dxa" w:w="60"/>
              <w:left w:type="dxa" w:w="80"/>
              <w:bottom w:type="dxa" w:w="60"/>
              <w:right w:type="dxa" w:w="80"/>
            </w:tcMar>
          </w:tcPr>
          <w:p>
            <w:r>
              <w:rPr>
                <w:b w:val="false"/>
                <w:bCs w:val="false"/>
                <w:sz w:val="17"/>
                <w:szCs w:val="17"/>
              </w:rPr>
              <w:t xml:space="preserve">Written RLS status + policy list for every student-owned table.</w:t>
            </w:r>
          </w:p>
        </w:tc>
        <w:tc>
          <w:tcPr>
            <w:tcMar>
              <w:top w:type="dxa" w:w="60"/>
              <w:left w:type="dxa" w:w="80"/>
              <w:bottom w:type="dxa" w:w="60"/>
              <w:right w:type="dxa" w:w="80"/>
            </w:tcMar>
          </w:tcPr>
          <w:p>
            <w:r>
              <w:rPr>
                <w:b w:val="false"/>
                <w:bCs w:val="false"/>
                <w:sz w:val="17"/>
                <w:szCs w:val="17"/>
              </w:rPr>
              <w:t xml:space="preserve">L4 (pending)</w:t>
            </w:r>
          </w:p>
        </w:tc>
      </w:tr>
      <w:tr>
        <w:tc>
          <w:tcPr>
            <w:shd w:fill="EFF3F7" w:val="clear"/>
            <w:tcMar>
              <w:top w:type="dxa" w:w="60"/>
              <w:left w:type="dxa" w:w="80"/>
              <w:bottom w:type="dxa" w:w="60"/>
              <w:right w:type="dxa" w:w="80"/>
            </w:tcMar>
          </w:tcPr>
          <w:p>
            <w:r>
              <w:rPr>
                <w:b w:val="false"/>
                <w:bCs w:val="false"/>
                <w:sz w:val="17"/>
                <w:szCs w:val="17"/>
              </w:rPr>
              <w:t xml:space="preserve">AR-0008</w:t>
            </w:r>
          </w:p>
        </w:tc>
        <w:tc>
          <w:tcPr>
            <w:shd w:fill="EFF3F7" w:val="clear"/>
            <w:tcMar>
              <w:top w:type="dxa" w:w="60"/>
              <w:left w:type="dxa" w:w="80"/>
              <w:bottom w:type="dxa" w:w="60"/>
              <w:right w:type="dxa" w:w="80"/>
            </w:tcMar>
          </w:tcPr>
          <w:p>
            <w:r>
              <w:rPr>
                <w:b w:val="false"/>
                <w:bCs w:val="false"/>
                <w:sz w:val="17"/>
                <w:szCs w:val="17"/>
              </w:rPr>
              <w:t xml:space="preserve">EGD-0008</w:t>
            </w:r>
          </w:p>
        </w:tc>
        <w:tc>
          <w:tcPr>
            <w:shd w:fill="EFF3F7" w:val="clear"/>
            <w:tcMar>
              <w:top w:type="dxa" w:w="60"/>
              <w:left w:type="dxa" w:w="80"/>
              <w:bottom w:type="dxa" w:w="60"/>
              <w:right w:type="dxa" w:w="80"/>
            </w:tcMar>
          </w:tcPr>
          <w:p>
            <w:r>
              <w:rPr>
                <w:b w:val="false"/>
                <w:bCs w:val="false"/>
                <w:sz w:val="17"/>
                <w:szCs w:val="17"/>
              </w:rPr>
              <w:t xml:space="preserve">Phase A.1 §2.</w:t>
            </w:r>
          </w:p>
        </w:tc>
        <w:tc>
          <w:tcPr>
            <w:shd w:fill="EFF3F7" w:val="clear"/>
            <w:tcMar>
              <w:top w:type="dxa" w:w="60"/>
              <w:left w:type="dxa" w:w="80"/>
              <w:bottom w:type="dxa" w:w="60"/>
              <w:right w:type="dxa" w:w="80"/>
            </w:tcMar>
          </w:tcPr>
          <w:p>
            <w:r>
              <w:rPr>
                <w:b w:val="false"/>
                <w:bCs w:val="false"/>
                <w:sz w:val="17"/>
                <w:szCs w:val="17"/>
              </w:rPr>
              <w:t xml:space="preserve">Implemented, exceeds bar.</w:t>
            </w:r>
          </w:p>
        </w:tc>
        <w:tc>
          <w:tcPr>
            <w:shd w:fill="EFF3F7" w:val="clear"/>
            <w:tcMar>
              <w:top w:type="dxa" w:w="60"/>
              <w:left w:type="dxa" w:w="80"/>
              <w:bottom w:type="dxa" w:w="60"/>
              <w:right w:type="dxa" w:w="80"/>
            </w:tcMar>
          </w:tcPr>
          <w:p>
            <w:r>
              <w:rPr>
                <w:b w:val="false"/>
                <w:bCs w:val="false"/>
                <w:sz w:val="17"/>
                <w:szCs w:val="17"/>
              </w:rPr>
              <w:t xml:space="preserve">—</w:t>
            </w:r>
          </w:p>
        </w:tc>
        <w:tc>
          <w:tcPr>
            <w:shd w:fill="EFF3F7" w:val="clear"/>
            <w:tcMar>
              <w:top w:type="dxa" w:w="60"/>
              <w:left w:type="dxa" w:w="80"/>
              <w:bottom w:type="dxa" w:w="60"/>
              <w:right w:type="dxa" w:w="80"/>
            </w:tcMar>
          </w:tcPr>
          <w:p>
            <w:r>
              <w:rPr>
                <w:b w:val="false"/>
                <w:bCs w:val="false"/>
                <w:sz w:val="17"/>
                <w:szCs w:val="17"/>
              </w:rPr>
              <w:t xml:space="preserve">Schema audit (standing).</w:t>
            </w:r>
          </w:p>
        </w:tc>
        <w:tc>
          <w:tcPr>
            <w:shd w:fill="EFF3F7" w:val="clear"/>
            <w:tcMar>
              <w:top w:type="dxa" w:w="60"/>
              <w:left w:type="dxa" w:w="80"/>
              <w:bottom w:type="dxa" w:w="60"/>
              <w:right w:type="dxa" w:w="80"/>
            </w:tcMar>
          </w:tcPr>
          <w:p>
            <w:r>
              <w:rPr>
                <w:b w:val="false"/>
                <w:bCs w:val="false"/>
                <w:sz w:val="17"/>
                <w:szCs w:val="17"/>
              </w:rPr>
              <w:t xml:space="preserve">L4 (met)</w:t>
            </w:r>
          </w:p>
        </w:tc>
      </w:tr>
      <w:tr>
        <w:tc>
          <w:tcPr>
            <w:tcMar>
              <w:top w:type="dxa" w:w="60"/>
              <w:left w:type="dxa" w:w="80"/>
              <w:bottom w:type="dxa" w:w="60"/>
              <w:right w:type="dxa" w:w="80"/>
            </w:tcMar>
          </w:tcPr>
          <w:p>
            <w:r>
              <w:rPr>
                <w:b w:val="false"/>
                <w:bCs w:val="false"/>
                <w:sz w:val="17"/>
                <w:szCs w:val="17"/>
              </w:rPr>
              <w:t xml:space="preserve">AR-0009</w:t>
            </w:r>
          </w:p>
        </w:tc>
        <w:tc>
          <w:tcPr>
            <w:tcMar>
              <w:top w:type="dxa" w:w="60"/>
              <w:left w:type="dxa" w:w="80"/>
              <w:bottom w:type="dxa" w:w="60"/>
              <w:right w:type="dxa" w:w="80"/>
            </w:tcMar>
          </w:tcPr>
          <w:p>
            <w:r>
              <w:rPr>
                <w:b w:val="false"/>
                <w:bCs w:val="false"/>
                <w:sz w:val="17"/>
                <w:szCs w:val="17"/>
              </w:rPr>
              <w:t xml:space="preserve">EGD-0008</w:t>
            </w:r>
          </w:p>
        </w:tc>
        <w:tc>
          <w:tcPr>
            <w:tcMar>
              <w:top w:type="dxa" w:w="60"/>
              <w:left w:type="dxa" w:w="80"/>
              <w:bottom w:type="dxa" w:w="60"/>
              <w:right w:type="dxa" w:w="80"/>
            </w:tcMar>
          </w:tcPr>
          <w:p>
            <w:r>
              <w:rPr>
                <w:b w:val="false"/>
                <w:bCs w:val="false"/>
                <w:sz w:val="17"/>
                <w:szCs w:val="17"/>
              </w:rPr>
              <w:t xml:space="preserve">Phase A.1 §2.</w:t>
            </w:r>
          </w:p>
        </w:tc>
        <w:tc>
          <w:tcPr>
            <w:tcMar>
              <w:top w:type="dxa" w:w="60"/>
              <w:left w:type="dxa" w:w="80"/>
              <w:bottom w:type="dxa" w:w="60"/>
              <w:right w:type="dxa" w:w="80"/>
            </w:tcMar>
          </w:tcPr>
          <w:p>
            <w:r>
              <w:rPr>
                <w:b w:val="false"/>
                <w:bCs w:val="false"/>
                <w:sz w:val="17"/>
                <w:szCs w:val="17"/>
              </w:rPr>
              <w:t xml:space="preserve">Implemented, exceeds bar.</w:t>
            </w:r>
          </w:p>
        </w:tc>
        <w:tc>
          <w:tcPr>
            <w:tcMar>
              <w:top w:type="dxa" w:w="60"/>
              <w:left w:type="dxa" w:w="80"/>
              <w:bottom w:type="dxa" w:w="60"/>
              <w:right w:type="dxa" w:w="80"/>
            </w:tcMar>
          </w:tcPr>
          <w:p>
            <w:r>
              <w:rPr>
                <w:b w:val="false"/>
                <w:bCs w:val="false"/>
                <w:sz w:val="17"/>
                <w:szCs w:val="17"/>
              </w:rPr>
              <w:t xml:space="preserve">—</w:t>
            </w:r>
          </w:p>
        </w:tc>
        <w:tc>
          <w:tcPr>
            <w:tcMar>
              <w:top w:type="dxa" w:w="60"/>
              <w:left w:type="dxa" w:w="80"/>
              <w:bottom w:type="dxa" w:w="60"/>
              <w:right w:type="dxa" w:w="80"/>
            </w:tcMar>
          </w:tcPr>
          <w:p>
            <w:r>
              <w:rPr>
                <w:b w:val="false"/>
                <w:bCs w:val="false"/>
                <w:sz w:val="17"/>
                <w:szCs w:val="17"/>
              </w:rPr>
              <w:t xml:space="preserve">Schema audit (standing).</w:t>
            </w:r>
          </w:p>
        </w:tc>
        <w:tc>
          <w:tcPr>
            <w:tcMar>
              <w:top w:type="dxa" w:w="60"/>
              <w:left w:type="dxa" w:w="80"/>
              <w:bottom w:type="dxa" w:w="60"/>
              <w:right w:type="dxa" w:w="80"/>
            </w:tcMar>
          </w:tcPr>
          <w:p>
            <w:r>
              <w:rPr>
                <w:b w:val="false"/>
                <w:bCs w:val="false"/>
                <w:sz w:val="17"/>
                <w:szCs w:val="17"/>
              </w:rPr>
              <w:t xml:space="preserve">L4 (met)</w:t>
            </w:r>
          </w:p>
        </w:tc>
      </w:tr>
      <w:tr>
        <w:tc>
          <w:tcPr>
            <w:shd w:fill="EFF3F7" w:val="clear"/>
            <w:tcMar>
              <w:top w:type="dxa" w:w="60"/>
              <w:left w:type="dxa" w:w="80"/>
              <w:bottom w:type="dxa" w:w="60"/>
              <w:right w:type="dxa" w:w="80"/>
            </w:tcMar>
          </w:tcPr>
          <w:p>
            <w:r>
              <w:rPr>
                <w:b w:val="false"/>
                <w:bCs w:val="false"/>
                <w:sz w:val="17"/>
                <w:szCs w:val="17"/>
              </w:rPr>
              <w:t xml:space="preserve">AR-0010</w:t>
            </w:r>
          </w:p>
        </w:tc>
        <w:tc>
          <w:tcPr>
            <w:shd w:fill="EFF3F7" w:val="clear"/>
            <w:tcMar>
              <w:top w:type="dxa" w:w="60"/>
              <w:left w:type="dxa" w:w="80"/>
              <w:bottom w:type="dxa" w:w="60"/>
              <w:right w:type="dxa" w:w="80"/>
            </w:tcMar>
          </w:tcPr>
          <w:p>
            <w:r>
              <w:rPr>
                <w:b w:val="false"/>
                <w:bCs w:val="false"/>
                <w:sz w:val="17"/>
                <w:szCs w:val="17"/>
              </w:rPr>
              <w:t xml:space="preserve">EGD-0009</w:t>
            </w:r>
          </w:p>
        </w:tc>
        <w:tc>
          <w:tcPr>
            <w:shd w:fill="EFF3F7" w:val="clear"/>
            <w:tcMar>
              <w:top w:type="dxa" w:w="60"/>
              <w:left w:type="dxa" w:w="80"/>
              <w:bottom w:type="dxa" w:w="60"/>
              <w:right w:type="dxa" w:w="80"/>
            </w:tcMar>
          </w:tcPr>
          <w:p>
            <w:r>
              <w:rPr>
                <w:b w:val="false"/>
                <w:bCs w:val="false"/>
                <w:sz w:val="17"/>
                <w:szCs w:val="17"/>
              </w:rPr>
              <w:t xml:space="preserve">Phase A.1 §10.</w:t>
            </w:r>
          </w:p>
        </w:tc>
        <w:tc>
          <w:tcPr>
            <w:shd w:fill="EFF3F7" w:val="clear"/>
            <w:tcMar>
              <w:top w:type="dxa" w:w="60"/>
              <w:left w:type="dxa" w:w="80"/>
              <w:bottom w:type="dxa" w:w="60"/>
              <w:right w:type="dxa" w:w="80"/>
            </w:tcMar>
          </w:tcPr>
          <w:p>
            <w:r>
              <w:rPr>
                <w:b w:val="false"/>
                <w:bCs w:val="false"/>
                <w:sz w:val="17"/>
                <w:szCs w:val="17"/>
              </w:rPr>
              <w:t xml:space="preserve">Implemented, exceeds bar.</w:t>
            </w:r>
          </w:p>
        </w:tc>
        <w:tc>
          <w:tcPr>
            <w:shd w:fill="EFF3F7" w:val="clear"/>
            <w:tcMar>
              <w:top w:type="dxa" w:w="60"/>
              <w:left w:type="dxa" w:w="80"/>
              <w:bottom w:type="dxa" w:w="60"/>
              <w:right w:type="dxa" w:w="80"/>
            </w:tcMar>
          </w:tcPr>
          <w:p>
            <w:r>
              <w:rPr>
                <w:b w:val="false"/>
                <w:bCs w:val="false"/>
                <w:sz w:val="17"/>
                <w:szCs w:val="17"/>
              </w:rPr>
              <w:t xml:space="preserve">—</w:t>
            </w:r>
          </w:p>
        </w:tc>
        <w:tc>
          <w:tcPr>
            <w:shd w:fill="EFF3F7" w:val="clear"/>
            <w:tcMar>
              <w:top w:type="dxa" w:w="60"/>
              <w:left w:type="dxa" w:w="80"/>
              <w:bottom w:type="dxa" w:w="60"/>
              <w:right w:type="dxa" w:w="80"/>
            </w:tcMar>
          </w:tcPr>
          <w:p>
            <w:r>
              <w:rPr>
                <w:b w:val="false"/>
                <w:bCs w:val="false"/>
                <w:sz w:val="17"/>
                <w:szCs w:val="17"/>
              </w:rPr>
              <w:t xml:space="preserve">Migration review (standing).</w:t>
            </w:r>
          </w:p>
        </w:tc>
        <w:tc>
          <w:tcPr>
            <w:shd w:fill="EFF3F7" w:val="clear"/>
            <w:tcMar>
              <w:top w:type="dxa" w:w="60"/>
              <w:left w:type="dxa" w:w="80"/>
              <w:bottom w:type="dxa" w:w="60"/>
              <w:right w:type="dxa" w:w="80"/>
            </w:tcMar>
          </w:tcPr>
          <w:p>
            <w:r>
              <w:rPr>
                <w:b w:val="false"/>
                <w:bCs w:val="false"/>
                <w:sz w:val="17"/>
                <w:szCs w:val="17"/>
              </w:rPr>
              <w:t xml:space="preserve">L4 (met)</w:t>
            </w:r>
          </w:p>
        </w:tc>
      </w:tr>
    </w:tbl>
    <w:p>
      <w:r>
        <w:br w:type="page"/>
      </w:r>
    </w:p>
    <w:p>
      <w:pPr>
        <w:pStyle w:val="Heading1"/>
        <w:spacing w:after="120" w:before="300"/>
      </w:pPr>
      <w:r>
        <w:t xml:space="preserve">8. Enterprise Architecture Dependency Graph</w:t>
      </w:r>
    </w:p>
    <w:p>
      <w:pPr>
        <w:spacing w:after="120"/>
      </w:pPr>
      <w:r>
        <w:rPr>
          <w:sz w:val="20"/>
          <w:szCs w:val="20"/>
        </w:rPr>
        <w:t xml:space="preserve">Dependencies between requirements, decisions, and work packages. Expressed as a table rather than a diagram since the graph is shallow (max depth 2) and a table keeps every dependency individually citable.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2A44" w:val="clear"/>
            <w:tcMar>
              <w:top w:type="dxa" w:w="60"/>
              <w:left w:type="dxa" w:w="80"/>
              <w:bottom w:type="dxa" w:w="60"/>
              <w:right w:type="dxa" w:w="80"/>
            </w:tcMar>
          </w:tcPr>
          <w:p>
            <w:r>
              <w:rPr>
                <w:b/>
                <w:bCs/>
                <w:color w:val="FFFFFF"/>
                <w:sz w:val="17"/>
                <w:szCs w:val="17"/>
              </w:rPr>
              <w:t xml:space="preserve">Item</w:t>
            </w:r>
          </w:p>
        </w:tc>
        <w:tc>
          <w:tcPr>
            <w:shd w:fill="1F2A44" w:val="clear"/>
            <w:tcMar>
              <w:top w:type="dxa" w:w="60"/>
              <w:left w:type="dxa" w:w="80"/>
              <w:bottom w:type="dxa" w:w="60"/>
              <w:right w:type="dxa" w:w="80"/>
            </w:tcMar>
          </w:tcPr>
          <w:p>
            <w:r>
              <w:rPr>
                <w:b/>
                <w:bCs/>
                <w:color w:val="FFFFFF"/>
                <w:sz w:val="17"/>
                <w:szCs w:val="17"/>
              </w:rPr>
              <w:t xml:space="preserve">Depends On</w:t>
            </w:r>
          </w:p>
        </w:tc>
        <w:tc>
          <w:tcPr>
            <w:shd w:fill="1F2A44" w:val="clear"/>
            <w:tcMar>
              <w:top w:type="dxa" w:w="60"/>
              <w:left w:type="dxa" w:w="80"/>
              <w:bottom w:type="dxa" w:w="60"/>
              <w:right w:type="dxa" w:w="80"/>
            </w:tcMar>
          </w:tcPr>
          <w:p>
            <w:r>
              <w:rPr>
                <w:b/>
                <w:bCs/>
                <w:color w:val="FFFFFF"/>
                <w:sz w:val="17"/>
                <w:szCs w:val="17"/>
              </w:rPr>
              <w:t xml:space="preserve">Blocks / Enables</w:t>
            </w:r>
          </w:p>
        </w:tc>
        <w:tc>
          <w:tcPr>
            <w:shd w:fill="1F2A44" w:val="clear"/>
            <w:tcMar>
              <w:top w:type="dxa" w:w="60"/>
              <w:left w:type="dxa" w:w="80"/>
              <w:bottom w:type="dxa" w:w="60"/>
              <w:right w:type="dxa" w:w="80"/>
            </w:tcMar>
          </w:tcPr>
          <w:p>
            <w:r>
              <w:rPr>
                <w:b/>
                <w:bCs/>
                <w:color w:val="FFFFFF"/>
                <w:sz w:val="17"/>
                <w:szCs w:val="17"/>
              </w:rPr>
              <w:t xml:space="preserve">Type</w:t>
            </w:r>
          </w:p>
        </w:tc>
      </w:tr>
      <w:tr>
        <w:tc>
          <w:tcPr>
            <w:tcMar>
              <w:top w:type="dxa" w:w="60"/>
              <w:left w:type="dxa" w:w="80"/>
              <w:bottom w:type="dxa" w:w="60"/>
              <w:right w:type="dxa" w:w="80"/>
            </w:tcMar>
          </w:tcPr>
          <w:p>
            <w:r>
              <w:rPr>
                <w:b w:val="false"/>
                <w:bCs w:val="false"/>
                <w:sz w:val="17"/>
                <w:szCs w:val="17"/>
              </w:rPr>
              <w:t xml:space="preserve">WP-0006 (Assign named owners)</w:t>
            </w:r>
          </w:p>
        </w:tc>
        <w:tc>
          <w:tcPr>
            <w:tcMar>
              <w:top w:type="dxa" w:w="60"/>
              <w:left w:type="dxa" w:w="80"/>
              <w:bottom w:type="dxa" w:w="60"/>
              <w:right w:type="dxa" w:w="80"/>
            </w:tcMar>
          </w:tcPr>
          <w:p>
            <w:r>
              <w:rPr>
                <w:b w:val="false"/>
                <w:bCs w:val="false"/>
                <w:sz w:val="17"/>
                <w:szCs w:val="17"/>
              </w:rPr>
              <w:t xml:space="preserve">None</w:t>
            </w:r>
          </w:p>
        </w:tc>
        <w:tc>
          <w:tcPr>
            <w:tcMar>
              <w:top w:type="dxa" w:w="60"/>
              <w:left w:type="dxa" w:w="80"/>
              <w:bottom w:type="dxa" w:w="60"/>
              <w:right w:type="dxa" w:w="80"/>
            </w:tcMar>
          </w:tcPr>
          <w:p>
            <w:r>
              <w:rPr>
                <w:b w:val="false"/>
                <w:bCs w:val="false"/>
                <w:sz w:val="17"/>
                <w:szCs w:val="17"/>
              </w:rPr>
              <w:t xml:space="preserve">Every EGD's execution accountability; recommended by Phase A.2 §12 as the first item resolved.</w:t>
            </w:r>
          </w:p>
        </w:tc>
        <w:tc>
          <w:tcPr>
            <w:tcMar>
              <w:top w:type="dxa" w:w="60"/>
              <w:left w:type="dxa" w:w="80"/>
              <w:bottom w:type="dxa" w:w="60"/>
              <w:right w:type="dxa" w:w="80"/>
            </w:tcMar>
          </w:tcPr>
          <w:p>
            <w:r>
              <w:rPr>
                <w:b w:val="false"/>
                <w:bCs w:val="false"/>
                <w:sz w:val="17"/>
                <w:szCs w:val="17"/>
              </w:rPr>
              <w:t xml:space="preserve">Blocking, non-sequential precondition</w:t>
            </w:r>
          </w:p>
        </w:tc>
      </w:tr>
      <w:tr>
        <w:tc>
          <w:tcPr>
            <w:shd w:fill="EFF3F7" w:val="clear"/>
            <w:tcMar>
              <w:top w:type="dxa" w:w="60"/>
              <w:left w:type="dxa" w:w="80"/>
              <w:bottom w:type="dxa" w:w="60"/>
              <w:right w:type="dxa" w:w="80"/>
            </w:tcMar>
          </w:tcPr>
          <w:p>
            <w:r>
              <w:rPr>
                <w:b w:val="false"/>
                <w:bCs w:val="false"/>
                <w:sz w:val="17"/>
                <w:szCs w:val="17"/>
              </w:rPr>
              <w:t xml:space="preserve">WP-0001 (Revise EEP-01 Phase A doc — execute EGD-0002)</w:t>
            </w:r>
          </w:p>
        </w:tc>
        <w:tc>
          <w:tcPr>
            <w:shd w:fill="EFF3F7" w:val="clear"/>
            <w:tcMar>
              <w:top w:type="dxa" w:w="60"/>
              <w:left w:type="dxa" w:w="80"/>
              <w:bottom w:type="dxa" w:w="60"/>
              <w:right w:type="dxa" w:w="80"/>
            </w:tcMar>
          </w:tcPr>
          <w:p>
            <w:r>
              <w:rPr>
                <w:b w:val="false"/>
                <w:bCs w:val="false"/>
                <w:sz w:val="17"/>
                <w:szCs w:val="17"/>
              </w:rPr>
              <w:t xml:space="preserve">WP-0006 (owner) recommended, not strictly required to start drafting</w:t>
            </w:r>
          </w:p>
        </w:tc>
        <w:tc>
          <w:tcPr>
            <w:shd w:fill="EFF3F7" w:val="clear"/>
            <w:tcMar>
              <w:top w:type="dxa" w:w="60"/>
              <w:left w:type="dxa" w:w="80"/>
              <w:bottom w:type="dxa" w:w="60"/>
              <w:right w:type="dxa" w:w="80"/>
            </w:tcMar>
          </w:tcPr>
          <w:p>
            <w:r>
              <w:rPr>
                <w:b w:val="false"/>
                <w:bCs w:val="false"/>
                <w:sz w:val="17"/>
                <w:szCs w:val="17"/>
              </w:rPr>
              <w:t xml:space="preserve">Certification L4 for AR-0002; clean baseline for all future ERP phases reading table names</w:t>
            </w:r>
          </w:p>
        </w:tc>
        <w:tc>
          <w:tcPr>
            <w:shd w:fill="EFF3F7" w:val="clear"/>
            <w:tcMar>
              <w:top w:type="dxa" w:w="60"/>
              <w:left w:type="dxa" w:w="80"/>
              <w:bottom w:type="dxa" w:w="60"/>
              <w:right w:type="dxa" w:w="80"/>
            </w:tcMar>
          </w:tcPr>
          <w:p>
            <w:r>
              <w:rPr>
                <w:b w:val="false"/>
                <w:bCs w:val="false"/>
                <w:sz w:val="17"/>
                <w:szCs w:val="17"/>
              </w:rPr>
              <w:t xml:space="preserve">Sequential, high-priority</w:t>
            </w:r>
          </w:p>
        </w:tc>
      </w:tr>
      <w:tr>
        <w:tc>
          <w:tcPr>
            <w:tcMar>
              <w:top w:type="dxa" w:w="60"/>
              <w:left w:type="dxa" w:w="80"/>
              <w:bottom w:type="dxa" w:w="60"/>
              <w:right w:type="dxa" w:w="80"/>
            </w:tcMar>
          </w:tcPr>
          <w:p>
            <w:r>
              <w:rPr>
                <w:b w:val="false"/>
                <w:bCs w:val="false"/>
                <w:sz w:val="17"/>
                <w:szCs w:val="17"/>
              </w:rPr>
              <w:t xml:space="preserve">WP-0002 (Verify RLS coverage — execute EGD-0007)</w:t>
            </w:r>
          </w:p>
        </w:tc>
        <w:tc>
          <w:tcPr>
            <w:tcMar>
              <w:top w:type="dxa" w:w="60"/>
              <w:left w:type="dxa" w:w="80"/>
              <w:bottom w:type="dxa" w:w="60"/>
              <w:right w:type="dxa" w:w="80"/>
            </w:tcMar>
          </w:tcPr>
          <w:p>
            <w:r>
              <w:rPr>
                <w:b w:val="false"/>
                <w:bCs w:val="false"/>
                <w:sz w:val="17"/>
                <w:szCs w:val="17"/>
              </w:rPr>
              <w:t xml:space="preserve">None (can start immediately)</w:t>
            </w:r>
          </w:p>
        </w:tc>
        <w:tc>
          <w:tcPr>
            <w:tcMar>
              <w:top w:type="dxa" w:w="60"/>
              <w:left w:type="dxa" w:w="80"/>
              <w:bottom w:type="dxa" w:w="60"/>
              <w:right w:type="dxa" w:w="80"/>
            </w:tcMar>
          </w:tcPr>
          <w:p>
            <w:r>
              <w:rPr>
                <w:b w:val="false"/>
                <w:bCs w:val="false"/>
                <w:sz w:val="17"/>
                <w:szCs w:val="17"/>
              </w:rPr>
              <w:t xml:space="preserve">Certification L4 for AR-0007; closes the one open security unknown in this baseline</w:t>
            </w:r>
          </w:p>
        </w:tc>
        <w:tc>
          <w:tcPr>
            <w:tcMar>
              <w:top w:type="dxa" w:w="60"/>
              <w:left w:type="dxa" w:w="80"/>
              <w:bottom w:type="dxa" w:w="60"/>
              <w:right w:type="dxa" w:w="80"/>
            </w:tcMar>
          </w:tcPr>
          <w:p>
            <w:r>
              <w:rPr>
                <w:b w:val="false"/>
                <w:bCs w:val="false"/>
                <w:sz w:val="17"/>
                <w:szCs w:val="17"/>
              </w:rPr>
              <w:t xml:space="preserve">Blocking for security certification, parallel-eligible</w:t>
            </w:r>
          </w:p>
        </w:tc>
      </w:tr>
      <w:tr>
        <w:tc>
          <w:tcPr>
            <w:shd w:fill="EFF3F7" w:val="clear"/>
            <w:tcMar>
              <w:top w:type="dxa" w:w="60"/>
              <w:left w:type="dxa" w:w="80"/>
              <w:bottom w:type="dxa" w:w="60"/>
              <w:right w:type="dxa" w:w="80"/>
            </w:tcMar>
          </w:tcPr>
          <w:p>
            <w:r>
              <w:rPr>
                <w:b w:val="false"/>
                <w:bCs w:val="false"/>
                <w:sz w:val="17"/>
                <w:szCs w:val="17"/>
              </w:rPr>
              <w:t xml:space="preserve">WP-0003 (Partitioning assessment)</w:t>
            </w:r>
          </w:p>
        </w:tc>
        <w:tc>
          <w:tcPr>
            <w:shd w:fill="EFF3F7" w:val="clear"/>
            <w:tcMar>
              <w:top w:type="dxa" w:w="60"/>
              <w:left w:type="dxa" w:w="80"/>
              <w:bottom w:type="dxa" w:w="60"/>
              <w:right w:type="dxa" w:w="80"/>
            </w:tcMar>
          </w:tcPr>
          <w:p>
            <w:r>
              <w:rPr>
                <w:b w:val="false"/>
                <w:bCs w:val="false"/>
                <w:sz w:val="17"/>
                <w:szCs w:val="17"/>
              </w:rPr>
              <w:t xml:space="preserve">Requires current row-count/growth data (external dependency, not yet gathered)</w:t>
            </w:r>
          </w:p>
        </w:tc>
        <w:tc>
          <w:tcPr>
            <w:shd w:fill="EFF3F7" w:val="clear"/>
            <w:tcMar>
              <w:top w:type="dxa" w:w="60"/>
              <w:left w:type="dxa" w:w="80"/>
              <w:bottom w:type="dxa" w:w="60"/>
              <w:right w:type="dxa" w:w="80"/>
            </w:tcMar>
          </w:tcPr>
          <w:p>
            <w:r>
              <w:rPr>
                <w:b w:val="false"/>
                <w:bCs w:val="false"/>
                <w:sz w:val="17"/>
                <w:szCs w:val="17"/>
              </w:rPr>
              <w:t xml:space="preserve">EGD-0004 trigger monitoring; informs future partitioning WP</w:t>
            </w:r>
          </w:p>
        </w:tc>
        <w:tc>
          <w:tcPr>
            <w:shd w:fill="EFF3F7" w:val="clear"/>
            <w:tcMar>
              <w:top w:type="dxa" w:w="60"/>
              <w:left w:type="dxa" w:w="80"/>
              <w:bottom w:type="dxa" w:w="60"/>
              <w:right w:type="dxa" w:w="80"/>
            </w:tcMar>
          </w:tcPr>
          <w:p>
            <w:r>
              <w:rPr>
                <w:b w:val="false"/>
                <w:bCs w:val="false"/>
                <w:sz w:val="17"/>
                <w:szCs w:val="17"/>
              </w:rPr>
              <w:t xml:space="preserve">Sequential — data-gathering blocks assessment</w:t>
            </w:r>
          </w:p>
        </w:tc>
      </w:tr>
      <w:tr>
        <w:tc>
          <w:tcPr>
            <w:tcMar>
              <w:top w:type="dxa" w:w="60"/>
              <w:left w:type="dxa" w:w="80"/>
              <w:bottom w:type="dxa" w:w="60"/>
              <w:right w:type="dxa" w:w="80"/>
            </w:tcMar>
          </w:tcPr>
          <w:p>
            <w:r>
              <w:rPr>
                <w:b w:val="false"/>
                <w:bCs w:val="false"/>
                <w:sz w:val="17"/>
                <w:szCs w:val="17"/>
              </w:rPr>
              <w:t xml:space="preserve">WP-0004 (Taxonomy denormalization check)</w:t>
            </w:r>
          </w:p>
        </w:tc>
        <w:tc>
          <w:tcPr>
            <w:tcMar>
              <w:top w:type="dxa" w:w="60"/>
              <w:left w:type="dxa" w:w="80"/>
              <w:bottom w:type="dxa" w:w="60"/>
              <w:right w:type="dxa" w:w="80"/>
            </w:tcMar>
          </w:tcPr>
          <w:p>
            <w:r>
              <w:rPr>
                <w:b w:val="false"/>
                <w:bCs w:val="false"/>
                <w:sz w:val="17"/>
                <w:szCs w:val="17"/>
              </w:rPr>
              <w:t xml:space="preserve">Benefits from WP-0001 naming clarity</w:t>
            </w:r>
          </w:p>
        </w:tc>
        <w:tc>
          <w:tcPr>
            <w:tcMar>
              <w:top w:type="dxa" w:w="60"/>
              <w:left w:type="dxa" w:w="80"/>
              <w:bottom w:type="dxa" w:w="60"/>
              <w:right w:type="dxa" w:w="80"/>
            </w:tcMar>
          </w:tcPr>
          <w:p>
            <w:r>
              <w:rPr>
                <w:b w:val="false"/>
                <w:bCs w:val="false"/>
                <w:sz w:val="17"/>
                <w:szCs w:val="17"/>
              </w:rPr>
              <w:t xml:space="preserve">EGD-0003's ongoing condition monitoring</w:t>
            </w:r>
          </w:p>
        </w:tc>
        <w:tc>
          <w:tcPr>
            <w:tcMar>
              <w:top w:type="dxa" w:w="60"/>
              <w:left w:type="dxa" w:w="80"/>
              <w:bottom w:type="dxa" w:w="60"/>
              <w:right w:type="dxa" w:w="80"/>
            </w:tcMar>
          </w:tcPr>
          <w:p>
            <w:r>
              <w:rPr>
                <w:b w:val="false"/>
                <w:bCs w:val="false"/>
                <w:sz w:val="17"/>
                <w:szCs w:val="17"/>
              </w:rPr>
              <w:t xml:space="preserve">Optional dependency, parallel-eligible</w:t>
            </w:r>
          </w:p>
        </w:tc>
      </w:tr>
      <w:tr>
        <w:tc>
          <w:tcPr>
            <w:shd w:fill="EFF3F7" w:val="clear"/>
            <w:tcMar>
              <w:top w:type="dxa" w:w="60"/>
              <w:left w:type="dxa" w:w="80"/>
              <w:bottom w:type="dxa" w:w="60"/>
              <w:right w:type="dxa" w:w="80"/>
            </w:tcMar>
          </w:tcPr>
          <w:p>
            <w:r>
              <w:rPr>
                <w:b w:val="false"/>
                <w:bCs w:val="false"/>
                <w:sz w:val="17"/>
                <w:szCs w:val="17"/>
              </w:rPr>
              <w:t xml:space="preserve">WP-0005 (Column-level access review)</w:t>
            </w:r>
          </w:p>
        </w:tc>
        <w:tc>
          <w:tcPr>
            <w:shd w:fill="EFF3F7" w:val="clear"/>
            <w:tcMar>
              <w:top w:type="dxa" w:w="60"/>
              <w:left w:type="dxa" w:w="80"/>
              <w:bottom w:type="dxa" w:w="60"/>
              <w:right w:type="dxa" w:w="80"/>
            </w:tcMar>
          </w:tcPr>
          <w:p>
            <w:r>
              <w:rPr>
                <w:b w:val="false"/>
                <w:bCs w:val="false"/>
                <w:sz w:val="17"/>
                <w:szCs w:val="17"/>
              </w:rPr>
              <w:t xml:space="preserve">Benefits from WP-0002 completion (same tables, same reviewer)</w:t>
            </w:r>
          </w:p>
        </w:tc>
        <w:tc>
          <w:tcPr>
            <w:shd w:fill="EFF3F7" w:val="clear"/>
            <w:tcMar>
              <w:top w:type="dxa" w:w="60"/>
              <w:left w:type="dxa" w:w="80"/>
              <w:bottom w:type="dxa" w:w="60"/>
              <w:right w:type="dxa" w:w="80"/>
            </w:tcMar>
          </w:tcPr>
          <w:p>
            <w:r>
              <w:rPr>
                <w:b w:val="false"/>
                <w:bCs w:val="false"/>
                <w:sz w:val="17"/>
                <w:szCs w:val="17"/>
              </w:rPr>
              <w:t xml:space="preserve">Column-level protection decision for cognitive raw-response data</w:t>
            </w:r>
          </w:p>
        </w:tc>
        <w:tc>
          <w:tcPr>
            <w:shd w:fill="EFF3F7" w:val="clear"/>
            <w:tcMar>
              <w:top w:type="dxa" w:w="60"/>
              <w:left w:type="dxa" w:w="80"/>
              <w:bottom w:type="dxa" w:w="60"/>
              <w:right w:type="dxa" w:w="80"/>
            </w:tcMar>
          </w:tcPr>
          <w:p>
            <w:r>
              <w:rPr>
                <w:b w:val="false"/>
                <w:bCs w:val="false"/>
                <w:sz w:val="17"/>
                <w:szCs w:val="17"/>
              </w:rPr>
              <w:t xml:space="preserve">Optional dependency, parallel-eligible</w:t>
            </w:r>
          </w:p>
        </w:tc>
      </w:tr>
      <w:tr>
        <w:tc>
          <w:tcPr>
            <w:tcMar>
              <w:top w:type="dxa" w:w="60"/>
              <w:left w:type="dxa" w:w="80"/>
              <w:bottom w:type="dxa" w:w="60"/>
              <w:right w:type="dxa" w:w="80"/>
            </w:tcMar>
          </w:tcPr>
          <w:p>
            <w:r>
              <w:rPr>
                <w:b w:val="false"/>
                <w:bCs w:val="false"/>
                <w:sz w:val="17"/>
                <w:szCs w:val="17"/>
              </w:rPr>
              <w:t xml:space="preserve">EGD-0001 / EGD-0004 / EGD-0005 / EGD-0006 (all Deferred)</w:t>
            </w:r>
          </w:p>
        </w:tc>
        <w:tc>
          <w:tcPr>
            <w:tcMar>
              <w:top w:type="dxa" w:w="60"/>
              <w:left w:type="dxa" w:w="80"/>
              <w:bottom w:type="dxa" w:w="60"/>
              <w:right w:type="dxa" w:w="80"/>
            </w:tcMar>
          </w:tcPr>
          <w:p>
            <w:r>
              <w:rPr>
                <w:b w:val="false"/>
                <w:bCs w:val="false"/>
                <w:sz w:val="17"/>
                <w:szCs w:val="17"/>
              </w:rPr>
              <w:t xml:space="preserve">External business/product/compliance triggers, not internal work packages</w:t>
            </w:r>
          </w:p>
        </w:tc>
        <w:tc>
          <w:tcPr>
            <w:tcMar>
              <w:top w:type="dxa" w:w="60"/>
              <w:left w:type="dxa" w:w="80"/>
              <w:bottom w:type="dxa" w:w="60"/>
              <w:right w:type="dxa" w:w="80"/>
            </w:tcMar>
          </w:tcPr>
          <w:p>
            <w:r>
              <w:rPr>
                <w:b w:val="false"/>
                <w:bCs w:val="false"/>
                <w:sz w:val="17"/>
                <w:szCs w:val="17"/>
              </w:rPr>
              <w:t xml:space="preserve">Future ERP phase scoping once triggered</w:t>
            </w:r>
          </w:p>
        </w:tc>
        <w:tc>
          <w:tcPr>
            <w:tcMar>
              <w:top w:type="dxa" w:w="60"/>
              <w:left w:type="dxa" w:w="80"/>
              <w:bottom w:type="dxa" w:w="60"/>
              <w:right w:type="dxa" w:w="80"/>
            </w:tcMar>
          </w:tcPr>
          <w:p>
            <w:r>
              <w:rPr>
                <w:b w:val="false"/>
                <w:bCs w:val="false"/>
                <w:sz w:val="17"/>
                <w:szCs w:val="17"/>
              </w:rPr>
              <w:t xml:space="preserve">Trigger-gated, not work-gated</w:t>
            </w:r>
          </w:p>
        </w:tc>
      </w:tr>
    </w:tbl>
    <w:p>
      <w:pPr>
        <w:pStyle w:val="Heading2"/>
        <w:spacing w:after="100" w:before="220"/>
      </w:pPr>
      <w:r>
        <w:t xml:space="preserve">Realization order</w:t>
      </w:r>
    </w:p>
    <w:p>
      <w:pPr>
        <w:spacing w:after="120"/>
      </w:pPr>
      <w:r>
        <w:rPr>
          <w:sz w:val="20"/>
          <w:szCs w:val="20"/>
        </w:rPr>
        <w:t xml:space="preserve">Parallel, startable now: WP-0002 (RLS verification) and WP-0006 (owner assignment) — both low-cost, high-leverage, no blocking dependency.</w:t>
      </w:r>
    </w:p>
    <w:p>
      <w:pPr>
        <w:spacing w:after="120"/>
      </w:pPr>
      <w:r>
        <w:rPr>
          <w:sz w:val="20"/>
          <w:szCs w:val="20"/>
        </w:rPr>
        <w:t xml:space="preserve">Sequential, next: WP-0001 (documentation revision), ideally after WP-0006 assigns the enterprise architecture owner who will be accountable for it.</w:t>
      </w:r>
    </w:p>
    <w:p>
      <w:pPr>
        <w:spacing w:after="120"/>
      </w:pPr>
      <w:r>
        <w:rPr>
          <w:sz w:val="20"/>
          <w:szCs w:val="20"/>
        </w:rPr>
        <w:t xml:space="preserve">Deferred, trigger-gated: WP-0003 pending growth data; EGD-0001/0004/0005/0006 pending their respective business/technical triggers.</w:t>
      </w:r>
    </w:p>
    <w:p>
      <w:r>
        <w:br w:type="page"/>
      </w:r>
    </w:p>
    <w:p>
      <w:pPr>
        <w:pStyle w:val="Heading1"/>
        <w:spacing w:after="120" w:before="300"/>
      </w:pPr>
      <w:r>
        <w:t xml:space="preserve">9. Enterprise Work Package Catalog</w:t>
      </w:r>
    </w:p>
    <w:p>
      <w:pPr>
        <w:spacing w:after="120"/>
      </w:pPr>
      <w:r>
        <w:rPr>
          <w:sz w:val="20"/>
          <w:szCs w:val="20"/>
        </w:rPr>
        <w:t xml:space="preserve">Five work packages carried forward from Phase A.1's Prioritized Realization Backlog (renumbered into the permanent WP- family), plus one new work package (WP-0006) surfaced by Phase A.2's cross-cutting ownership finding.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2A44" w:val="clear"/>
            <w:tcMar>
              <w:top w:type="dxa" w:w="60"/>
              <w:left w:type="dxa" w:w="80"/>
              <w:bottom w:type="dxa" w:w="60"/>
              <w:right w:type="dxa" w:w="80"/>
            </w:tcMar>
          </w:tcPr>
          <w:p>
            <w:r>
              <w:rPr>
                <w:b/>
                <w:bCs/>
                <w:color w:val="FFFFFF"/>
                <w:sz w:val="17"/>
                <w:szCs w:val="17"/>
              </w:rPr>
              <w:t xml:space="preserve">WP ID</w:t>
            </w:r>
          </w:p>
        </w:tc>
        <w:tc>
          <w:tcPr>
            <w:shd w:fill="1F2A44" w:val="clear"/>
            <w:tcMar>
              <w:top w:type="dxa" w:w="60"/>
              <w:left w:type="dxa" w:w="80"/>
              <w:bottom w:type="dxa" w:w="60"/>
              <w:right w:type="dxa" w:w="80"/>
            </w:tcMar>
          </w:tcPr>
          <w:p>
            <w:r>
              <w:rPr>
                <w:b/>
                <w:bCs/>
                <w:color w:val="FFFFFF"/>
                <w:sz w:val="17"/>
                <w:szCs w:val="17"/>
              </w:rPr>
              <w:t xml:space="preserve">Description</w:t>
            </w:r>
          </w:p>
        </w:tc>
        <w:tc>
          <w:tcPr>
            <w:shd w:fill="1F2A44" w:val="clear"/>
            <w:tcMar>
              <w:top w:type="dxa" w:w="60"/>
              <w:left w:type="dxa" w:w="80"/>
              <w:bottom w:type="dxa" w:w="60"/>
              <w:right w:type="dxa" w:w="80"/>
            </w:tcMar>
          </w:tcPr>
          <w:p>
            <w:r>
              <w:rPr>
                <w:b/>
                <w:bCs/>
                <w:color w:val="FFFFFF"/>
                <w:sz w:val="17"/>
                <w:szCs w:val="17"/>
              </w:rPr>
              <w:t xml:space="preserve">AR / EGD</w:t>
            </w:r>
          </w:p>
        </w:tc>
        <w:tc>
          <w:tcPr>
            <w:shd w:fill="1F2A44" w:val="clear"/>
            <w:tcMar>
              <w:top w:type="dxa" w:w="60"/>
              <w:left w:type="dxa" w:w="80"/>
              <w:bottom w:type="dxa" w:w="60"/>
              <w:right w:type="dxa" w:w="80"/>
            </w:tcMar>
          </w:tcPr>
          <w:p>
            <w:r>
              <w:rPr>
                <w:b/>
                <w:bCs/>
                <w:color w:val="FFFFFF"/>
                <w:sz w:val="17"/>
                <w:szCs w:val="17"/>
              </w:rPr>
              <w:t xml:space="preserve">Business Value</w:t>
            </w:r>
          </w:p>
        </w:tc>
        <w:tc>
          <w:tcPr>
            <w:shd w:fill="1F2A44" w:val="clear"/>
            <w:tcMar>
              <w:top w:type="dxa" w:w="60"/>
              <w:left w:type="dxa" w:w="80"/>
              <w:bottom w:type="dxa" w:w="60"/>
              <w:right w:type="dxa" w:w="80"/>
            </w:tcMar>
          </w:tcPr>
          <w:p>
            <w:r>
              <w:rPr>
                <w:b/>
                <w:bCs/>
                <w:color w:val="FFFFFF"/>
                <w:sz w:val="17"/>
                <w:szCs w:val="17"/>
              </w:rPr>
              <w:t xml:space="preserve">Complexity</w:t>
            </w:r>
          </w:p>
        </w:tc>
        <w:tc>
          <w:tcPr>
            <w:shd w:fill="1F2A44" w:val="clear"/>
            <w:tcMar>
              <w:top w:type="dxa" w:w="60"/>
              <w:left w:type="dxa" w:w="80"/>
              <w:bottom w:type="dxa" w:w="60"/>
              <w:right w:type="dxa" w:w="80"/>
            </w:tcMar>
          </w:tcPr>
          <w:p>
            <w:r>
              <w:rPr>
                <w:b/>
                <w:bCs/>
                <w:color w:val="FFFFFF"/>
                <w:sz w:val="17"/>
                <w:szCs w:val="17"/>
              </w:rPr>
              <w:t xml:space="preserve">Priority</w:t>
            </w:r>
          </w:p>
        </w:tc>
        <w:tc>
          <w:tcPr>
            <w:shd w:fill="1F2A44" w:val="clear"/>
            <w:tcMar>
              <w:top w:type="dxa" w:w="60"/>
              <w:left w:type="dxa" w:w="80"/>
              <w:bottom w:type="dxa" w:w="60"/>
              <w:right w:type="dxa" w:w="80"/>
            </w:tcMar>
          </w:tcPr>
          <w:p>
            <w:r>
              <w:rPr>
                <w:b/>
                <w:bCs/>
                <w:color w:val="FFFFFF"/>
                <w:sz w:val="17"/>
                <w:szCs w:val="17"/>
              </w:rPr>
              <w:t xml:space="preserve">Target Phase</w:t>
            </w:r>
          </w:p>
        </w:tc>
      </w:tr>
      <w:tr>
        <w:tc>
          <w:tcPr>
            <w:tcMar>
              <w:top w:type="dxa" w:w="60"/>
              <w:left w:type="dxa" w:w="80"/>
              <w:bottom w:type="dxa" w:w="60"/>
              <w:right w:type="dxa" w:w="80"/>
            </w:tcMar>
          </w:tcPr>
          <w:p>
            <w:r>
              <w:rPr>
                <w:b w:val="false"/>
                <w:bCs w:val="false"/>
                <w:sz w:val="17"/>
                <w:szCs w:val="17"/>
              </w:rPr>
              <w:t xml:space="preserve">WP-0001</w:t>
            </w:r>
          </w:p>
        </w:tc>
        <w:tc>
          <w:tcPr>
            <w:tcMar>
              <w:top w:type="dxa" w:w="60"/>
              <w:left w:type="dxa" w:w="80"/>
              <w:bottom w:type="dxa" w:w="60"/>
              <w:right w:type="dxa" w:w="80"/>
            </w:tcMar>
          </w:tcPr>
          <w:p>
            <w:r>
              <w:rPr>
                <w:b w:val="false"/>
                <w:bCs w:val="false"/>
                <w:sz w:val="17"/>
                <w:szCs w:val="17"/>
              </w:rPr>
              <w:t xml:space="preserve">Execute EGD-0002: author the revised EEP-01 Phase A document describing the live schema as canonical.</w:t>
            </w:r>
          </w:p>
        </w:tc>
        <w:tc>
          <w:tcPr>
            <w:tcMar>
              <w:top w:type="dxa" w:w="60"/>
              <w:left w:type="dxa" w:w="80"/>
              <w:bottom w:type="dxa" w:w="60"/>
              <w:right w:type="dxa" w:w="80"/>
            </w:tcMar>
          </w:tcPr>
          <w:p>
            <w:r>
              <w:rPr>
                <w:b w:val="false"/>
                <w:bCs w:val="false"/>
                <w:sz w:val="17"/>
                <w:szCs w:val="17"/>
              </w:rPr>
              <w:t xml:space="preserve">AR-0002 / EGD-0002</w:t>
            </w:r>
          </w:p>
        </w:tc>
        <w:tc>
          <w:tcPr>
            <w:tcMar>
              <w:top w:type="dxa" w:w="60"/>
              <w:left w:type="dxa" w:w="80"/>
              <w:bottom w:type="dxa" w:w="60"/>
              <w:right w:type="dxa" w:w="80"/>
            </w:tcMar>
          </w:tcPr>
          <w:p>
            <w:r>
              <w:rPr>
                <w:b w:val="false"/>
                <w:bCs w:val="false"/>
                <w:sz w:val="17"/>
                <w:szCs w:val="17"/>
              </w:rPr>
              <w:t xml:space="preserve">High — resolves the top-rated risk in this baseline (documentation/maintainability).</w:t>
            </w:r>
          </w:p>
        </w:tc>
        <w:tc>
          <w:tcPr>
            <w:tcMar>
              <w:top w:type="dxa" w:w="60"/>
              <w:left w:type="dxa" w:w="80"/>
              <w:bottom w:type="dxa" w:w="60"/>
              <w:right w:type="dxa" w:w="80"/>
            </w:tcMar>
          </w:tcPr>
          <w:p>
            <w:r>
              <w:rPr>
                <w:b w:val="false"/>
                <w:bCs w:val="false"/>
                <w:sz w:val="17"/>
                <w:szCs w:val="17"/>
              </w:rPr>
              <w:t xml:space="preserve">Low (documentation)</w:t>
            </w:r>
          </w:p>
        </w:tc>
        <w:tc>
          <w:tcPr>
            <w:tcMar>
              <w:top w:type="dxa" w:w="60"/>
              <w:left w:type="dxa" w:w="80"/>
              <w:bottom w:type="dxa" w:w="60"/>
              <w:right w:type="dxa" w:w="80"/>
            </w:tcMar>
          </w:tcPr>
          <w:p>
            <w:r>
              <w:rPr>
                <w:b w:val="false"/>
                <w:bCs w:val="false"/>
                <w:sz w:val="17"/>
                <w:szCs w:val="17"/>
              </w:rPr>
              <w:t xml:space="preserve">Critical</w:t>
            </w:r>
          </w:p>
        </w:tc>
        <w:tc>
          <w:tcPr>
            <w:tcMar>
              <w:top w:type="dxa" w:w="60"/>
              <w:left w:type="dxa" w:w="80"/>
              <w:bottom w:type="dxa" w:w="60"/>
              <w:right w:type="dxa" w:w="80"/>
            </w:tcMar>
          </w:tcPr>
          <w:p>
            <w:r>
              <w:rPr>
                <w:b w:val="false"/>
                <w:bCs w:val="false"/>
                <w:sz w:val="17"/>
                <w:szCs w:val="17"/>
              </w:rPr>
              <w:t xml:space="preserve">Immediate / next ERP cycle</w:t>
            </w:r>
          </w:p>
        </w:tc>
      </w:tr>
      <w:tr>
        <w:tc>
          <w:tcPr>
            <w:shd w:fill="EFF3F7" w:val="clear"/>
            <w:tcMar>
              <w:top w:type="dxa" w:w="60"/>
              <w:left w:type="dxa" w:w="80"/>
              <w:bottom w:type="dxa" w:w="60"/>
              <w:right w:type="dxa" w:w="80"/>
            </w:tcMar>
          </w:tcPr>
          <w:p>
            <w:r>
              <w:rPr>
                <w:b w:val="false"/>
                <w:bCs w:val="false"/>
                <w:sz w:val="17"/>
                <w:szCs w:val="17"/>
              </w:rPr>
              <w:t xml:space="preserve">WP-0002</w:t>
            </w:r>
          </w:p>
        </w:tc>
        <w:tc>
          <w:tcPr>
            <w:shd w:fill="EFF3F7" w:val="clear"/>
            <w:tcMar>
              <w:top w:type="dxa" w:w="60"/>
              <w:left w:type="dxa" w:w="80"/>
              <w:bottom w:type="dxa" w:w="60"/>
              <w:right w:type="dxa" w:w="80"/>
            </w:tcMar>
          </w:tcPr>
          <w:p>
            <w:r>
              <w:rPr>
                <w:b w:val="false"/>
                <w:bCs w:val="false"/>
                <w:sz w:val="17"/>
                <w:szCs w:val="17"/>
              </w:rPr>
              <w:t xml:space="preserve">Verify RLS coverage on student_activities, student_cognitive_responses, student_signal_vectors, and related tables.</w:t>
            </w:r>
          </w:p>
        </w:tc>
        <w:tc>
          <w:tcPr>
            <w:shd w:fill="EFF3F7" w:val="clear"/>
            <w:tcMar>
              <w:top w:type="dxa" w:w="60"/>
              <w:left w:type="dxa" w:w="80"/>
              <w:bottom w:type="dxa" w:w="60"/>
              <w:right w:type="dxa" w:w="80"/>
            </w:tcMar>
          </w:tcPr>
          <w:p>
            <w:r>
              <w:rPr>
                <w:b w:val="false"/>
                <w:bCs w:val="false"/>
                <w:sz w:val="17"/>
                <w:szCs w:val="17"/>
              </w:rPr>
              <w:t xml:space="preserve">AR-0007 / EGD-0007</w:t>
            </w:r>
          </w:p>
        </w:tc>
        <w:tc>
          <w:tcPr>
            <w:shd w:fill="EFF3F7" w:val="clear"/>
            <w:tcMar>
              <w:top w:type="dxa" w:w="60"/>
              <w:left w:type="dxa" w:w="80"/>
              <w:bottom w:type="dxa" w:w="60"/>
              <w:right w:type="dxa" w:w="80"/>
            </w:tcMar>
          </w:tcPr>
          <w:p>
            <w:r>
              <w:rPr>
                <w:b w:val="false"/>
                <w:bCs w:val="false"/>
                <w:sz w:val="17"/>
                <w:szCs w:val="17"/>
              </w:rPr>
              <w:t xml:space="preserve">High — closes an unverified security gap.</w:t>
            </w:r>
          </w:p>
        </w:tc>
        <w:tc>
          <w:tcPr>
            <w:shd w:fill="EFF3F7" w:val="clear"/>
            <w:tcMar>
              <w:top w:type="dxa" w:w="60"/>
              <w:left w:type="dxa" w:w="80"/>
              <w:bottom w:type="dxa" w:w="60"/>
              <w:right w:type="dxa" w:w="80"/>
            </w:tcMar>
          </w:tcPr>
          <w:p>
            <w:r>
              <w:rPr>
                <w:b w:val="false"/>
                <w:bCs w:val="false"/>
                <w:sz w:val="17"/>
                <w:szCs w:val="17"/>
              </w:rPr>
              <w:t xml:space="preserve">Low</w:t>
            </w:r>
          </w:p>
        </w:tc>
        <w:tc>
          <w:tcPr>
            <w:shd w:fill="EFF3F7" w:val="clear"/>
            <w:tcMar>
              <w:top w:type="dxa" w:w="60"/>
              <w:left w:type="dxa" w:w="80"/>
              <w:bottom w:type="dxa" w:w="60"/>
              <w:right w:type="dxa" w:w="80"/>
            </w:tcMar>
          </w:tcPr>
          <w:p>
            <w:r>
              <w:rPr>
                <w:b w:val="false"/>
                <w:bCs w:val="false"/>
                <w:sz w:val="17"/>
                <w:szCs w:val="17"/>
              </w:rPr>
              <w:t xml:space="preserve">Critical</w:t>
            </w:r>
          </w:p>
        </w:tc>
        <w:tc>
          <w:tcPr>
            <w:shd w:fill="EFF3F7" w:val="clear"/>
            <w:tcMar>
              <w:top w:type="dxa" w:w="60"/>
              <w:left w:type="dxa" w:w="80"/>
              <w:bottom w:type="dxa" w:w="60"/>
              <w:right w:type="dxa" w:w="80"/>
            </w:tcMar>
          </w:tcPr>
          <w:p>
            <w:r>
              <w:rPr>
                <w:b w:val="false"/>
                <w:bCs w:val="false"/>
                <w:sz w:val="17"/>
                <w:szCs w:val="17"/>
              </w:rPr>
              <w:t xml:space="preserve">Immediate</w:t>
            </w:r>
          </w:p>
        </w:tc>
      </w:tr>
      <w:tr>
        <w:tc>
          <w:tcPr>
            <w:tcMar>
              <w:top w:type="dxa" w:w="60"/>
              <w:left w:type="dxa" w:w="80"/>
              <w:bottom w:type="dxa" w:w="60"/>
              <w:right w:type="dxa" w:w="80"/>
            </w:tcMar>
          </w:tcPr>
          <w:p>
            <w:r>
              <w:rPr>
                <w:b w:val="false"/>
                <w:bCs w:val="false"/>
                <w:sz w:val="17"/>
                <w:szCs w:val="17"/>
              </w:rPr>
              <w:t xml:space="preserve">WP-0003</w:t>
            </w:r>
          </w:p>
        </w:tc>
        <w:tc>
          <w:tcPr>
            <w:tcMar>
              <w:top w:type="dxa" w:w="60"/>
              <w:left w:type="dxa" w:w="80"/>
              <w:bottom w:type="dxa" w:w="60"/>
              <w:right w:type="dxa" w:w="80"/>
            </w:tcMar>
          </w:tcPr>
          <w:p>
            <w:r>
              <w:rPr>
                <w:b w:val="false"/>
                <w:bCs w:val="false"/>
                <w:sz w:val="17"/>
                <w:szCs w:val="17"/>
              </w:rPr>
              <w:t xml:space="preserve">Partitioning assessment and plan for high-growth tables, triggered by actual volume data.</w:t>
            </w:r>
          </w:p>
        </w:tc>
        <w:tc>
          <w:tcPr>
            <w:tcMar>
              <w:top w:type="dxa" w:w="60"/>
              <w:left w:type="dxa" w:w="80"/>
              <w:bottom w:type="dxa" w:w="60"/>
              <w:right w:type="dxa" w:w="80"/>
            </w:tcMar>
          </w:tcPr>
          <w:p>
            <w:r>
              <w:rPr>
                <w:b w:val="false"/>
                <w:bCs w:val="false"/>
                <w:sz w:val="17"/>
                <w:szCs w:val="17"/>
              </w:rPr>
              <w:t xml:space="preserve">AR-0004 / EGD-0004</w:t>
            </w:r>
          </w:p>
        </w:tc>
        <w:tc>
          <w:tcPr>
            <w:tcMar>
              <w:top w:type="dxa" w:w="60"/>
              <w:left w:type="dxa" w:w="80"/>
              <w:bottom w:type="dxa" w:w="60"/>
              <w:right w:type="dxa" w:w="80"/>
            </w:tcMar>
          </w:tcPr>
          <w:p>
            <w:r>
              <w:rPr>
                <w:b w:val="false"/>
                <w:bCs w:val="false"/>
                <w:sz w:val="17"/>
                <w:szCs w:val="17"/>
              </w:rPr>
              <w:t xml:space="preserve">Medium, time-sensitive.</w:t>
            </w:r>
          </w:p>
        </w:tc>
        <w:tc>
          <w:tcPr>
            <w:tcMar>
              <w:top w:type="dxa" w:w="60"/>
              <w:left w:type="dxa" w:w="80"/>
              <w:bottom w:type="dxa" w:w="60"/>
              <w:right w:type="dxa" w:w="80"/>
            </w:tcMar>
          </w:tcPr>
          <w:p>
            <w:r>
              <w:rPr>
                <w:b w:val="false"/>
                <w:bCs w:val="false"/>
                <w:sz w:val="17"/>
                <w:szCs w:val="17"/>
              </w:rPr>
              <w:t xml:space="preserve">Medium (assessment); high if migration chosen</w:t>
            </w:r>
          </w:p>
        </w:tc>
        <w:tc>
          <w:tcPr>
            <w:tcMar>
              <w:top w:type="dxa" w:w="60"/>
              <w:left w:type="dxa" w:w="80"/>
              <w:bottom w:type="dxa" w:w="60"/>
              <w:right w:type="dxa" w:w="80"/>
            </w:tcMar>
          </w:tcPr>
          <w:p>
            <w:r>
              <w:rPr>
                <w:b w:val="false"/>
                <w:bCs w:val="false"/>
                <w:sz w:val="17"/>
                <w:szCs w:val="17"/>
              </w:rPr>
              <w:t xml:space="preserve">Medium</w:t>
            </w:r>
          </w:p>
        </w:tc>
        <w:tc>
          <w:tcPr>
            <w:tcMar>
              <w:top w:type="dxa" w:w="60"/>
              <w:left w:type="dxa" w:w="80"/>
              <w:bottom w:type="dxa" w:w="60"/>
              <w:right w:type="dxa" w:w="80"/>
            </w:tcMar>
          </w:tcPr>
          <w:p>
            <w:r>
              <w:rPr>
                <w:b w:val="false"/>
                <w:bCs w:val="false"/>
                <w:sz w:val="17"/>
                <w:szCs w:val="17"/>
              </w:rPr>
              <w:t xml:space="preserve">Trigger-based</w:t>
            </w:r>
          </w:p>
        </w:tc>
      </w:tr>
      <w:tr>
        <w:tc>
          <w:tcPr>
            <w:shd w:fill="EFF3F7" w:val="clear"/>
            <w:tcMar>
              <w:top w:type="dxa" w:w="60"/>
              <w:left w:type="dxa" w:w="80"/>
              <w:bottom w:type="dxa" w:w="60"/>
              <w:right w:type="dxa" w:w="80"/>
            </w:tcMar>
          </w:tcPr>
          <w:p>
            <w:r>
              <w:rPr>
                <w:b w:val="false"/>
                <w:bCs w:val="false"/>
                <w:sz w:val="17"/>
                <w:szCs w:val="17"/>
              </w:rPr>
              <w:t xml:space="preserve">WP-0004</w:t>
            </w:r>
          </w:p>
        </w:tc>
        <w:tc>
          <w:tcPr>
            <w:shd w:fill="EFF3F7" w:val="clear"/>
            <w:tcMar>
              <w:top w:type="dxa" w:w="60"/>
              <w:left w:type="dxa" w:w="80"/>
              <w:bottom w:type="dxa" w:w="60"/>
              <w:right w:type="dxa" w:w="80"/>
            </w:tcMar>
          </w:tcPr>
          <w:p>
            <w:r>
              <w:rPr>
                <w:b w:val="false"/>
                <w:bCs w:val="false"/>
                <w:sz w:val="17"/>
                <w:szCs w:val="17"/>
              </w:rPr>
              <w:t xml:space="preserve">Document the accepted direct-FK taxonomy pattern; establish a per-release automated denormalization check.</w:t>
            </w:r>
          </w:p>
        </w:tc>
        <w:tc>
          <w:tcPr>
            <w:shd w:fill="EFF3F7" w:val="clear"/>
            <w:tcMar>
              <w:top w:type="dxa" w:w="60"/>
              <w:left w:type="dxa" w:w="80"/>
              <w:bottom w:type="dxa" w:w="60"/>
              <w:right w:type="dxa" w:w="80"/>
            </w:tcMar>
          </w:tcPr>
          <w:p>
            <w:r>
              <w:rPr>
                <w:b w:val="false"/>
                <w:bCs w:val="false"/>
                <w:sz w:val="17"/>
                <w:szCs w:val="17"/>
              </w:rPr>
              <w:t xml:space="preserve">AR-0003 / EGD-0003</w:t>
            </w:r>
          </w:p>
        </w:tc>
        <w:tc>
          <w:tcPr>
            <w:shd w:fill="EFF3F7" w:val="clear"/>
            <w:tcMar>
              <w:top w:type="dxa" w:w="60"/>
              <w:left w:type="dxa" w:w="80"/>
              <w:bottom w:type="dxa" w:w="60"/>
              <w:right w:type="dxa" w:w="80"/>
            </w:tcMar>
          </w:tcPr>
          <w:p>
            <w:r>
              <w:rPr>
                <w:b w:val="false"/>
                <w:bCs w:val="false"/>
                <w:sz w:val="17"/>
                <w:szCs w:val="17"/>
              </w:rPr>
              <w:t xml:space="preserve">Medium.</w:t>
            </w:r>
          </w:p>
        </w:tc>
        <w:tc>
          <w:tcPr>
            <w:shd w:fill="EFF3F7" w:val="clear"/>
            <w:tcMar>
              <w:top w:type="dxa" w:w="60"/>
              <w:left w:type="dxa" w:w="80"/>
              <w:bottom w:type="dxa" w:w="60"/>
              <w:right w:type="dxa" w:w="80"/>
            </w:tcMar>
          </w:tcPr>
          <w:p>
            <w:r>
              <w:rPr>
                <w:b w:val="false"/>
                <w:bCs w:val="false"/>
                <w:sz w:val="17"/>
                <w:szCs w:val="17"/>
              </w:rPr>
              <w:t xml:space="preserve">Low (doc) to high (if retrofit ever needed)</w:t>
            </w:r>
          </w:p>
        </w:tc>
        <w:tc>
          <w:tcPr>
            <w:shd w:fill="EFF3F7" w:val="clear"/>
            <w:tcMar>
              <w:top w:type="dxa" w:w="60"/>
              <w:left w:type="dxa" w:w="80"/>
              <w:bottom w:type="dxa" w:w="60"/>
              <w:right w:type="dxa" w:w="80"/>
            </w:tcMar>
          </w:tcPr>
          <w:p>
            <w:r>
              <w:rPr>
                <w:b w:val="false"/>
                <w:bCs w:val="false"/>
                <w:sz w:val="17"/>
                <w:szCs w:val="17"/>
              </w:rPr>
              <w:t xml:space="preserve">Medium</w:t>
            </w:r>
          </w:p>
        </w:tc>
        <w:tc>
          <w:tcPr>
            <w:shd w:fill="EFF3F7" w:val="clear"/>
            <w:tcMar>
              <w:top w:type="dxa" w:w="60"/>
              <w:left w:type="dxa" w:w="80"/>
              <w:bottom w:type="dxa" w:w="60"/>
              <w:right w:type="dxa" w:w="80"/>
            </w:tcMar>
          </w:tcPr>
          <w:p>
            <w:r>
              <w:rPr>
                <w:b w:val="false"/>
                <w:bCs w:val="false"/>
                <w:sz w:val="17"/>
                <w:szCs w:val="17"/>
              </w:rPr>
              <w:t xml:space="preserve">Next ERP cycle</w:t>
            </w:r>
          </w:p>
        </w:tc>
      </w:tr>
      <w:tr>
        <w:tc>
          <w:tcPr>
            <w:tcMar>
              <w:top w:type="dxa" w:w="60"/>
              <w:left w:type="dxa" w:w="80"/>
              <w:bottom w:type="dxa" w:w="60"/>
              <w:right w:type="dxa" w:w="80"/>
            </w:tcMar>
          </w:tcPr>
          <w:p>
            <w:r>
              <w:rPr>
                <w:b w:val="false"/>
                <w:bCs w:val="false"/>
                <w:sz w:val="17"/>
                <w:szCs w:val="17"/>
              </w:rPr>
              <w:t xml:space="preserve">WP-0005</w:t>
            </w:r>
          </w:p>
        </w:tc>
        <w:tc>
          <w:tcPr>
            <w:tcMar>
              <w:top w:type="dxa" w:w="60"/>
              <w:left w:type="dxa" w:w="80"/>
              <w:bottom w:type="dxa" w:w="60"/>
              <w:right w:type="dxa" w:w="80"/>
            </w:tcMar>
          </w:tcPr>
          <w:p>
            <w:r>
              <w:rPr>
                <w:b w:val="false"/>
                <w:bCs w:val="false"/>
                <w:sz w:val="17"/>
                <w:szCs w:val="17"/>
              </w:rPr>
              <w:t xml:space="preserve">Column-level access review for free-text/JSON payload columns (e.g., cognitive raw responses).</w:t>
            </w:r>
          </w:p>
        </w:tc>
        <w:tc>
          <w:tcPr>
            <w:tcMar>
              <w:top w:type="dxa" w:w="60"/>
              <w:left w:type="dxa" w:w="80"/>
              <w:bottom w:type="dxa" w:w="60"/>
              <w:right w:type="dxa" w:w="80"/>
            </w:tcMar>
          </w:tcPr>
          <w:p>
            <w:r>
              <w:rPr>
                <w:b w:val="false"/>
                <w:bCs w:val="false"/>
                <w:sz w:val="17"/>
                <w:szCs w:val="17"/>
              </w:rPr>
              <w:t xml:space="preserve">AR-0007 (extension)</w:t>
            </w:r>
          </w:p>
        </w:tc>
        <w:tc>
          <w:tcPr>
            <w:tcMar>
              <w:top w:type="dxa" w:w="60"/>
              <w:left w:type="dxa" w:w="80"/>
              <w:bottom w:type="dxa" w:w="60"/>
              <w:right w:type="dxa" w:w="80"/>
            </w:tcMar>
          </w:tcPr>
          <w:p>
            <w:r>
              <w:rPr>
                <w:b w:val="false"/>
                <w:bCs w:val="false"/>
                <w:sz w:val="17"/>
                <w:szCs w:val="17"/>
              </w:rPr>
              <w:t xml:space="preserve">Medium.</w:t>
            </w:r>
          </w:p>
        </w:tc>
        <w:tc>
          <w:tcPr>
            <w:tcMar>
              <w:top w:type="dxa" w:w="60"/>
              <w:left w:type="dxa" w:w="80"/>
              <w:bottom w:type="dxa" w:w="60"/>
              <w:right w:type="dxa" w:w="80"/>
            </w:tcMar>
          </w:tcPr>
          <w:p>
            <w:r>
              <w:rPr>
                <w:b w:val="false"/>
                <w:bCs w:val="false"/>
                <w:sz w:val="17"/>
                <w:szCs w:val="17"/>
              </w:rPr>
              <w:t xml:space="preserve">Low-Medium</w:t>
            </w:r>
          </w:p>
        </w:tc>
        <w:tc>
          <w:tcPr>
            <w:tcMar>
              <w:top w:type="dxa" w:w="60"/>
              <w:left w:type="dxa" w:w="80"/>
              <w:bottom w:type="dxa" w:w="60"/>
              <w:right w:type="dxa" w:w="80"/>
            </w:tcMar>
          </w:tcPr>
          <w:p>
            <w:r>
              <w:rPr>
                <w:b w:val="false"/>
                <w:bCs w:val="false"/>
                <w:sz w:val="17"/>
                <w:szCs w:val="17"/>
              </w:rPr>
              <w:t xml:space="preserve">Low</w:t>
            </w:r>
          </w:p>
        </w:tc>
        <w:tc>
          <w:tcPr>
            <w:tcMar>
              <w:top w:type="dxa" w:w="60"/>
              <w:left w:type="dxa" w:w="80"/>
              <w:bottom w:type="dxa" w:w="60"/>
              <w:right w:type="dxa" w:w="80"/>
            </w:tcMar>
          </w:tcPr>
          <w:p>
            <w:r>
              <w:rPr>
                <w:b w:val="false"/>
                <w:bCs w:val="false"/>
                <w:sz w:val="17"/>
                <w:szCs w:val="17"/>
              </w:rPr>
              <w:t xml:space="preserve">Following WP-0002</w:t>
            </w:r>
          </w:p>
        </w:tc>
      </w:tr>
      <w:tr>
        <w:tc>
          <w:tcPr>
            <w:shd w:fill="EFF3F7" w:val="clear"/>
            <w:tcMar>
              <w:top w:type="dxa" w:w="60"/>
              <w:left w:type="dxa" w:w="80"/>
              <w:bottom w:type="dxa" w:w="60"/>
              <w:right w:type="dxa" w:w="80"/>
            </w:tcMar>
          </w:tcPr>
          <w:p>
            <w:r>
              <w:rPr>
                <w:b w:val="false"/>
                <w:bCs w:val="false"/>
                <w:sz w:val="17"/>
                <w:szCs w:val="17"/>
              </w:rPr>
              <w:t xml:space="preserve">WP-0006</w:t>
            </w:r>
          </w:p>
        </w:tc>
        <w:tc>
          <w:tcPr>
            <w:shd w:fill="EFF3F7" w:val="clear"/>
            <w:tcMar>
              <w:top w:type="dxa" w:w="60"/>
              <w:left w:type="dxa" w:w="80"/>
              <w:bottom w:type="dxa" w:w="60"/>
              <w:right w:type="dxa" w:w="80"/>
            </w:tcMar>
          </w:tcPr>
          <w:p>
            <w:r>
              <w:rPr>
                <w:b w:val="false"/>
                <w:bCs w:val="false"/>
                <w:sz w:val="17"/>
                <w:szCs w:val="17"/>
              </w:rPr>
              <w:t xml:space="preserve">Assign named, accountable owners to every architecture, data-governance, security/platform, and compliance role this baseline lists as unassigned.</w:t>
            </w:r>
          </w:p>
        </w:tc>
        <w:tc>
          <w:tcPr>
            <w:shd w:fill="EFF3F7" w:val="clear"/>
            <w:tcMar>
              <w:top w:type="dxa" w:w="60"/>
              <w:left w:type="dxa" w:w="80"/>
              <w:bottom w:type="dxa" w:w="60"/>
              <w:right w:type="dxa" w:w="80"/>
            </w:tcMar>
          </w:tcPr>
          <w:p>
            <w:r>
              <w:rPr>
                <w:b w:val="false"/>
                <w:bCs w:val="false"/>
                <w:sz w:val="17"/>
                <w:szCs w:val="17"/>
              </w:rPr>
              <w:t xml:space="preserve">AP-009 (all EGDs)</w:t>
            </w:r>
          </w:p>
        </w:tc>
        <w:tc>
          <w:tcPr>
            <w:shd w:fill="EFF3F7" w:val="clear"/>
            <w:tcMar>
              <w:top w:type="dxa" w:w="60"/>
              <w:left w:type="dxa" w:w="80"/>
              <w:bottom w:type="dxa" w:w="60"/>
              <w:right w:type="dxa" w:w="80"/>
            </w:tcMar>
          </w:tcPr>
          <w:p>
            <w:r>
              <w:rPr>
                <w:b w:val="false"/>
                <w:bCs w:val="false"/>
                <w:sz w:val="17"/>
                <w:szCs w:val="17"/>
              </w:rPr>
              <w:t xml:space="preserve">Critical — precondition for every other recommendation being executable rather than aspirational.</w:t>
            </w:r>
          </w:p>
        </w:tc>
        <w:tc>
          <w:tcPr>
            <w:shd w:fill="EFF3F7" w:val="clear"/>
            <w:tcMar>
              <w:top w:type="dxa" w:w="60"/>
              <w:left w:type="dxa" w:w="80"/>
              <w:bottom w:type="dxa" w:w="60"/>
              <w:right w:type="dxa" w:w="80"/>
            </w:tcMar>
          </w:tcPr>
          <w:p>
            <w:r>
              <w:rPr>
                <w:b w:val="false"/>
                <w:bCs w:val="false"/>
                <w:sz w:val="17"/>
                <w:szCs w:val="17"/>
              </w:rPr>
              <w:t xml:space="preserve">Low (organizational, not technical)</w:t>
            </w:r>
          </w:p>
        </w:tc>
        <w:tc>
          <w:tcPr>
            <w:shd w:fill="EFF3F7" w:val="clear"/>
            <w:tcMar>
              <w:top w:type="dxa" w:w="60"/>
              <w:left w:type="dxa" w:w="80"/>
              <w:bottom w:type="dxa" w:w="60"/>
              <w:right w:type="dxa" w:w="80"/>
            </w:tcMar>
          </w:tcPr>
          <w:p>
            <w:r>
              <w:rPr>
                <w:b w:val="false"/>
                <w:bCs w:val="false"/>
                <w:sz w:val="17"/>
                <w:szCs w:val="17"/>
              </w:rPr>
              <w:t xml:space="preserve">Critical</w:t>
            </w:r>
          </w:p>
        </w:tc>
        <w:tc>
          <w:tcPr>
            <w:shd w:fill="EFF3F7" w:val="clear"/>
            <w:tcMar>
              <w:top w:type="dxa" w:w="60"/>
              <w:left w:type="dxa" w:w="80"/>
              <w:bottom w:type="dxa" w:w="60"/>
              <w:right w:type="dxa" w:w="80"/>
            </w:tcMar>
          </w:tcPr>
          <w:p>
            <w:r>
              <w:rPr>
                <w:b w:val="false"/>
                <w:bCs w:val="false"/>
                <w:sz w:val="17"/>
                <w:szCs w:val="17"/>
              </w:rPr>
              <w:t xml:space="preserve">Immediate</w:t>
            </w:r>
          </w:p>
        </w:tc>
      </w:tr>
    </w:tbl>
    <w:p>
      <w:r>
        <w:br w:type="page"/>
      </w:r>
    </w:p>
    <w:p>
      <w:pPr>
        <w:pStyle w:val="Heading1"/>
        <w:spacing w:after="120" w:before="300"/>
      </w:pPr>
      <w:r>
        <w:t xml:space="preserve">10. Enterprise Architecture KPI Catalog</w:t>
      </w:r>
    </w:p>
    <w:p>
      <w:pPr>
        <w:spacing w:after="120"/>
      </w:pPr>
      <w:r>
        <w:rPr>
          <w:sz w:val="20"/>
          <w:szCs w:val="20"/>
        </w:rPr>
        <w:t xml:space="preserve">Ten measurable KPIs, each with a current baseline value taken directly from Phase A.1/A.2 scoring so this baseline is falsifiable against future re-assessment, not just descriptive.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2A44" w:val="clear"/>
            <w:tcMar>
              <w:top w:type="dxa" w:w="60"/>
              <w:left w:type="dxa" w:w="80"/>
              <w:bottom w:type="dxa" w:w="60"/>
              <w:right w:type="dxa" w:w="80"/>
            </w:tcMar>
          </w:tcPr>
          <w:p>
            <w:r>
              <w:rPr>
                <w:b/>
                <w:bCs/>
                <w:color w:val="FFFFFF"/>
                <w:sz w:val="17"/>
                <w:szCs w:val="17"/>
              </w:rPr>
              <w:t xml:space="preserve">KPI ID</w:t>
            </w:r>
          </w:p>
        </w:tc>
        <w:tc>
          <w:tcPr>
            <w:shd w:fill="1F2A44" w:val="clear"/>
            <w:tcMar>
              <w:top w:type="dxa" w:w="60"/>
              <w:left w:type="dxa" w:w="80"/>
              <w:bottom w:type="dxa" w:w="60"/>
              <w:right w:type="dxa" w:w="80"/>
            </w:tcMar>
          </w:tcPr>
          <w:p>
            <w:r>
              <w:rPr>
                <w:b/>
                <w:bCs/>
                <w:color w:val="FFFFFF"/>
                <w:sz w:val="17"/>
                <w:szCs w:val="17"/>
              </w:rPr>
              <w:t xml:space="preserve">Metric</w:t>
            </w:r>
          </w:p>
        </w:tc>
        <w:tc>
          <w:tcPr>
            <w:shd w:fill="1F2A44" w:val="clear"/>
            <w:tcMar>
              <w:top w:type="dxa" w:w="60"/>
              <w:left w:type="dxa" w:w="80"/>
              <w:bottom w:type="dxa" w:w="60"/>
              <w:right w:type="dxa" w:w="80"/>
            </w:tcMar>
          </w:tcPr>
          <w:p>
            <w:r>
              <w:rPr>
                <w:b/>
                <w:bCs/>
                <w:color w:val="FFFFFF"/>
                <w:sz w:val="17"/>
                <w:szCs w:val="17"/>
              </w:rPr>
              <w:t xml:space="preserve">Baseline</w:t>
            </w:r>
          </w:p>
        </w:tc>
        <w:tc>
          <w:tcPr>
            <w:shd w:fill="1F2A44" w:val="clear"/>
            <w:tcMar>
              <w:top w:type="dxa" w:w="60"/>
              <w:left w:type="dxa" w:w="80"/>
              <w:bottom w:type="dxa" w:w="60"/>
              <w:right w:type="dxa" w:w="80"/>
            </w:tcMar>
          </w:tcPr>
          <w:p>
            <w:r>
              <w:rPr>
                <w:b/>
                <w:bCs/>
                <w:color w:val="FFFFFF"/>
                <w:sz w:val="17"/>
                <w:szCs w:val="17"/>
              </w:rPr>
              <w:t xml:space="preserve">Target</w:t>
            </w:r>
          </w:p>
        </w:tc>
        <w:tc>
          <w:tcPr>
            <w:shd w:fill="1F2A44" w:val="clear"/>
            <w:tcMar>
              <w:top w:type="dxa" w:w="60"/>
              <w:left w:type="dxa" w:w="80"/>
              <w:bottom w:type="dxa" w:w="60"/>
              <w:right w:type="dxa" w:w="80"/>
            </w:tcMar>
          </w:tcPr>
          <w:p>
            <w:r>
              <w:rPr>
                <w:b/>
                <w:bCs/>
                <w:color w:val="FFFFFF"/>
                <w:sz w:val="17"/>
                <w:szCs w:val="17"/>
              </w:rPr>
              <w:t xml:space="preserve">Frequency</w:t>
            </w:r>
          </w:p>
        </w:tc>
        <w:tc>
          <w:tcPr>
            <w:shd w:fill="1F2A44" w:val="clear"/>
            <w:tcMar>
              <w:top w:type="dxa" w:w="60"/>
              <w:left w:type="dxa" w:w="80"/>
              <w:bottom w:type="dxa" w:w="60"/>
              <w:right w:type="dxa" w:w="80"/>
            </w:tcMar>
          </w:tcPr>
          <w:p>
            <w:r>
              <w:rPr>
                <w:b/>
                <w:bCs/>
                <w:color w:val="FFFFFF"/>
                <w:sz w:val="17"/>
                <w:szCs w:val="17"/>
              </w:rPr>
              <w:t xml:space="preserve">Owner</w:t>
            </w:r>
          </w:p>
        </w:tc>
        <w:tc>
          <w:tcPr>
            <w:shd w:fill="1F2A44" w:val="clear"/>
            <w:tcMar>
              <w:top w:type="dxa" w:w="60"/>
              <w:left w:type="dxa" w:w="80"/>
              <w:bottom w:type="dxa" w:w="60"/>
              <w:right w:type="dxa" w:w="80"/>
            </w:tcMar>
          </w:tcPr>
          <w:p>
            <w:r>
              <w:rPr>
                <w:b/>
                <w:bCs/>
                <w:color w:val="FFFFFF"/>
                <w:sz w:val="17"/>
                <w:szCs w:val="17"/>
              </w:rPr>
              <w:t xml:space="preserve">Data Source</w:t>
            </w:r>
          </w:p>
        </w:tc>
      </w:tr>
      <w:tr>
        <w:tc>
          <w:tcPr>
            <w:tcMar>
              <w:top w:type="dxa" w:w="60"/>
              <w:left w:type="dxa" w:w="80"/>
              <w:bottom w:type="dxa" w:w="60"/>
              <w:right w:type="dxa" w:w="80"/>
            </w:tcMar>
          </w:tcPr>
          <w:p>
            <w:r>
              <w:rPr>
                <w:b w:val="false"/>
                <w:bCs w:val="false"/>
                <w:sz w:val="17"/>
                <w:szCs w:val="17"/>
              </w:rPr>
              <w:t xml:space="preserve">KPI-01</w:t>
            </w:r>
          </w:p>
        </w:tc>
        <w:tc>
          <w:tcPr>
            <w:tcMar>
              <w:top w:type="dxa" w:w="60"/>
              <w:left w:type="dxa" w:w="80"/>
              <w:bottom w:type="dxa" w:w="60"/>
              <w:right w:type="dxa" w:w="80"/>
            </w:tcMar>
          </w:tcPr>
          <w:p>
            <w:r>
              <w:rPr>
                <w:b w:val="false"/>
                <w:bCs w:val="false"/>
                <w:sz w:val="17"/>
                <w:szCs w:val="17"/>
              </w:rPr>
              <w:t xml:space="preserve">Architecture Conformance %</w:t>
            </w:r>
          </w:p>
        </w:tc>
        <w:tc>
          <w:tcPr>
            <w:tcMar>
              <w:top w:type="dxa" w:w="60"/>
              <w:left w:type="dxa" w:w="80"/>
              <w:bottom w:type="dxa" w:w="60"/>
              <w:right w:type="dxa" w:w="80"/>
            </w:tcMar>
          </w:tcPr>
          <w:p>
            <w:r>
              <w:rPr>
                <w:b w:val="false"/>
                <w:bCs w:val="false"/>
                <w:sz w:val="17"/>
                <w:szCs w:val="17"/>
              </w:rPr>
              <w:t xml:space="preserve">35/100 (Phase A.1 §14 overall score)</w:t>
            </w:r>
          </w:p>
        </w:tc>
        <w:tc>
          <w:tcPr>
            <w:tcMar>
              <w:top w:type="dxa" w:w="60"/>
              <w:left w:type="dxa" w:w="80"/>
              <w:bottom w:type="dxa" w:w="60"/>
              <w:right w:type="dxa" w:w="80"/>
            </w:tcMar>
          </w:tcPr>
          <w:p>
            <w:r>
              <w:rPr>
                <w:b w:val="false"/>
                <w:bCs w:val="false"/>
                <w:sz w:val="17"/>
                <w:szCs w:val="17"/>
              </w:rPr>
              <w:t xml:space="preserve">≥90 once WP-0001 resets the baseline to the live schema</w:t>
            </w:r>
          </w:p>
        </w:tc>
        <w:tc>
          <w:tcPr>
            <w:tcMar>
              <w:top w:type="dxa" w:w="60"/>
              <w:left w:type="dxa" w:w="80"/>
              <w:bottom w:type="dxa" w:w="60"/>
              <w:right w:type="dxa" w:w="80"/>
            </w:tcMar>
          </w:tcPr>
          <w:p>
            <w:r>
              <w:rPr>
                <w:b w:val="false"/>
                <w:bCs w:val="false"/>
                <w:sz w:val="17"/>
                <w:szCs w:val="17"/>
              </w:rPr>
              <w:t xml:space="preserve">Per ERP phase</w:t>
            </w:r>
          </w:p>
        </w:tc>
        <w:tc>
          <w:tcPr>
            <w:tcMar>
              <w:top w:type="dxa" w:w="60"/>
              <w:left w:type="dxa" w:w="80"/>
              <w:bottom w:type="dxa" w:w="60"/>
              <w:right w:type="dxa" w:w="80"/>
            </w:tcMar>
          </w:tcPr>
          <w:p>
            <w:r>
              <w:rPr>
                <w:b w:val="false"/>
                <w:bCs w:val="false"/>
                <w:sz w:val="17"/>
                <w:szCs w:val="17"/>
              </w:rPr>
              <w:t xml:space="preserve">Enterprise architecture owner (WP-0006)</w:t>
            </w:r>
          </w:p>
        </w:tc>
        <w:tc>
          <w:tcPr>
            <w:tcMar>
              <w:top w:type="dxa" w:w="60"/>
              <w:left w:type="dxa" w:w="80"/>
              <w:bottom w:type="dxa" w:w="60"/>
              <w:right w:type="dxa" w:w="80"/>
            </w:tcMar>
          </w:tcPr>
          <w:p>
            <w:r>
              <w:rPr>
                <w:b w:val="false"/>
                <w:bCs w:val="false"/>
                <w:sz w:val="17"/>
                <w:szCs w:val="17"/>
              </w:rPr>
              <w:t xml:space="preserve">Phase A.1-style realization assessment</w:t>
            </w:r>
          </w:p>
        </w:tc>
      </w:tr>
      <w:tr>
        <w:tc>
          <w:tcPr>
            <w:shd w:fill="EFF3F7" w:val="clear"/>
            <w:tcMar>
              <w:top w:type="dxa" w:w="60"/>
              <w:left w:type="dxa" w:w="80"/>
              <w:bottom w:type="dxa" w:w="60"/>
              <w:right w:type="dxa" w:w="80"/>
            </w:tcMar>
          </w:tcPr>
          <w:p>
            <w:r>
              <w:rPr>
                <w:b w:val="false"/>
                <w:bCs w:val="false"/>
                <w:sz w:val="17"/>
                <w:szCs w:val="17"/>
              </w:rPr>
              <w:t xml:space="preserve">KPI-02</w:t>
            </w:r>
          </w:p>
        </w:tc>
        <w:tc>
          <w:tcPr>
            <w:shd w:fill="EFF3F7" w:val="clear"/>
            <w:tcMar>
              <w:top w:type="dxa" w:w="60"/>
              <w:left w:type="dxa" w:w="80"/>
              <w:bottom w:type="dxa" w:w="60"/>
              <w:right w:type="dxa" w:w="80"/>
            </w:tcMar>
          </w:tcPr>
          <w:p>
            <w:r>
              <w:rPr>
                <w:b w:val="false"/>
                <w:bCs w:val="false"/>
                <w:sz w:val="17"/>
                <w:szCs w:val="17"/>
              </w:rPr>
              <w:t xml:space="preserve">Documentation Accuracy %</w:t>
            </w:r>
          </w:p>
        </w:tc>
        <w:tc>
          <w:tcPr>
            <w:shd w:fill="EFF3F7" w:val="clear"/>
            <w:tcMar>
              <w:top w:type="dxa" w:w="60"/>
              <w:left w:type="dxa" w:w="80"/>
              <w:bottom w:type="dxa" w:w="60"/>
              <w:right w:type="dxa" w:w="80"/>
            </w:tcMar>
          </w:tcPr>
          <w:p>
            <w:r>
              <w:rPr>
                <w:b w:val="false"/>
                <w:bCs w:val="false"/>
                <w:sz w:val="17"/>
                <w:szCs w:val="17"/>
              </w:rPr>
              <w:t xml:space="preserve">30/100 (Phase A.2 §10)</w:t>
            </w:r>
          </w:p>
        </w:tc>
        <w:tc>
          <w:tcPr>
            <w:shd w:fill="EFF3F7" w:val="clear"/>
            <w:tcMar>
              <w:top w:type="dxa" w:w="60"/>
              <w:left w:type="dxa" w:w="80"/>
              <w:bottom w:type="dxa" w:w="60"/>
              <w:right w:type="dxa" w:w="80"/>
            </w:tcMar>
          </w:tcPr>
          <w:p>
            <w:r>
              <w:rPr>
                <w:b w:val="false"/>
                <w:bCs w:val="false"/>
                <w:sz w:val="17"/>
                <w:szCs w:val="17"/>
              </w:rPr>
              <w:t xml:space="preserve">100 on WP-0001 completion; monitored quarterly thereafter for drift</w:t>
            </w:r>
          </w:p>
        </w:tc>
        <w:tc>
          <w:tcPr>
            <w:shd w:fill="EFF3F7" w:val="clear"/>
            <w:tcMar>
              <w:top w:type="dxa" w:w="60"/>
              <w:left w:type="dxa" w:w="80"/>
              <w:bottom w:type="dxa" w:w="60"/>
              <w:right w:type="dxa" w:w="80"/>
            </w:tcMar>
          </w:tcPr>
          <w:p>
            <w:r>
              <w:rPr>
                <w:b w:val="false"/>
                <w:bCs w:val="false"/>
                <w:sz w:val="17"/>
                <w:szCs w:val="17"/>
              </w:rPr>
              <w:t xml:space="preserve">One-time, then quarterly</w:t>
            </w:r>
          </w:p>
        </w:tc>
        <w:tc>
          <w:tcPr>
            <w:shd w:fill="EFF3F7" w:val="clear"/>
            <w:tcMar>
              <w:top w:type="dxa" w:w="60"/>
              <w:left w:type="dxa" w:w="80"/>
              <w:bottom w:type="dxa" w:w="60"/>
              <w:right w:type="dxa" w:w="80"/>
            </w:tcMar>
          </w:tcPr>
          <w:p>
            <w:r>
              <w:rPr>
                <w:b w:val="false"/>
                <w:bCs w:val="false"/>
                <w:sz w:val="17"/>
                <w:szCs w:val="17"/>
              </w:rPr>
              <w:t xml:space="preserve">Enterprise architecture owner (WP-0006)</w:t>
            </w:r>
          </w:p>
        </w:tc>
        <w:tc>
          <w:tcPr>
            <w:shd w:fill="EFF3F7" w:val="clear"/>
            <w:tcMar>
              <w:top w:type="dxa" w:w="60"/>
              <w:left w:type="dxa" w:w="80"/>
              <w:bottom w:type="dxa" w:w="60"/>
              <w:right w:type="dxa" w:w="80"/>
            </w:tcMar>
          </w:tcPr>
          <w:p>
            <w:r>
              <w:rPr>
                <w:b w:val="false"/>
                <w:bCs w:val="false"/>
                <w:sz w:val="17"/>
                <w:szCs w:val="17"/>
              </w:rPr>
              <w:t xml:space="preserve">Table-name diff vs. live schema</w:t>
            </w:r>
          </w:p>
        </w:tc>
      </w:tr>
      <w:tr>
        <w:tc>
          <w:tcPr>
            <w:tcMar>
              <w:top w:type="dxa" w:w="60"/>
              <w:left w:type="dxa" w:w="80"/>
              <w:bottom w:type="dxa" w:w="60"/>
              <w:right w:type="dxa" w:w="80"/>
            </w:tcMar>
          </w:tcPr>
          <w:p>
            <w:r>
              <w:rPr>
                <w:b w:val="false"/>
                <w:bCs w:val="false"/>
                <w:sz w:val="17"/>
                <w:szCs w:val="17"/>
              </w:rPr>
              <w:t xml:space="preserve">KPI-03</w:t>
            </w:r>
          </w:p>
        </w:tc>
        <w:tc>
          <w:tcPr>
            <w:tcMar>
              <w:top w:type="dxa" w:w="60"/>
              <w:left w:type="dxa" w:w="80"/>
              <w:bottom w:type="dxa" w:w="60"/>
              <w:right w:type="dxa" w:w="80"/>
            </w:tcMar>
          </w:tcPr>
          <w:p>
            <w:r>
              <w:rPr>
                <w:b w:val="false"/>
                <w:bCs w:val="false"/>
                <w:sz w:val="17"/>
                <w:szCs w:val="17"/>
              </w:rPr>
              <w:t xml:space="preserve">Overall Governance Compliance %</w:t>
            </w:r>
          </w:p>
        </w:tc>
        <w:tc>
          <w:tcPr>
            <w:tcMar>
              <w:top w:type="dxa" w:w="60"/>
              <w:left w:type="dxa" w:w="80"/>
              <w:bottom w:type="dxa" w:w="60"/>
              <w:right w:type="dxa" w:w="80"/>
            </w:tcMar>
          </w:tcPr>
          <w:p>
            <w:r>
              <w:rPr>
                <w:b w:val="false"/>
                <w:bCs w:val="false"/>
                <w:sz w:val="17"/>
                <w:szCs w:val="17"/>
              </w:rPr>
              <w:t xml:space="preserve">48/100 (Phase A.2 §10 Overall Enterprise Governance score)</w:t>
            </w:r>
          </w:p>
        </w:tc>
        <w:tc>
          <w:tcPr>
            <w:tcMar>
              <w:top w:type="dxa" w:w="60"/>
              <w:left w:type="dxa" w:w="80"/>
              <w:bottom w:type="dxa" w:w="60"/>
              <w:right w:type="dxa" w:w="80"/>
            </w:tcMar>
          </w:tcPr>
          <w:p>
            <w:r>
              <w:rPr>
                <w:b w:val="false"/>
                <w:bCs w:val="false"/>
                <w:sz w:val="17"/>
                <w:szCs w:val="17"/>
              </w:rPr>
              <w:t xml:space="preserve">≥70 once WP-0006 and WP-0001 complete</w:t>
            </w:r>
          </w:p>
        </w:tc>
        <w:tc>
          <w:tcPr>
            <w:tcMar>
              <w:top w:type="dxa" w:w="60"/>
              <w:left w:type="dxa" w:w="80"/>
              <w:bottom w:type="dxa" w:w="60"/>
              <w:right w:type="dxa" w:w="80"/>
            </w:tcMar>
          </w:tcPr>
          <w:p>
            <w:r>
              <w:rPr>
                <w:b w:val="false"/>
                <w:bCs w:val="false"/>
                <w:sz w:val="17"/>
                <w:szCs w:val="17"/>
              </w:rPr>
              <w:t xml:space="preserve">Quarterly</w:t>
            </w:r>
          </w:p>
        </w:tc>
        <w:tc>
          <w:tcPr>
            <w:tcMar>
              <w:top w:type="dxa" w:w="60"/>
              <w:left w:type="dxa" w:w="80"/>
              <w:bottom w:type="dxa" w:w="60"/>
              <w:right w:type="dxa" w:w="80"/>
            </w:tcMar>
          </w:tcPr>
          <w:p>
            <w:r>
              <w:rPr>
                <w:b w:val="false"/>
                <w:bCs w:val="false"/>
                <w:sz w:val="17"/>
                <w:szCs w:val="17"/>
              </w:rPr>
              <w:t xml:space="preserve">Enterprise architecture owner (WP-0006)</w:t>
            </w:r>
          </w:p>
        </w:tc>
        <w:tc>
          <w:tcPr>
            <w:tcMar>
              <w:top w:type="dxa" w:w="60"/>
              <w:left w:type="dxa" w:w="80"/>
              <w:bottom w:type="dxa" w:w="60"/>
              <w:right w:type="dxa" w:w="80"/>
            </w:tcMar>
          </w:tcPr>
          <w:p>
            <w:r>
              <w:rPr>
                <w:b w:val="false"/>
                <w:bCs w:val="false"/>
                <w:sz w:val="17"/>
                <w:szCs w:val="17"/>
              </w:rPr>
              <w:t xml:space="preserve">Governance scorecard re-run</w:t>
            </w:r>
          </w:p>
        </w:tc>
      </w:tr>
      <w:tr>
        <w:tc>
          <w:tcPr>
            <w:shd w:fill="EFF3F7" w:val="clear"/>
            <w:tcMar>
              <w:top w:type="dxa" w:w="60"/>
              <w:left w:type="dxa" w:w="80"/>
              <w:bottom w:type="dxa" w:w="60"/>
              <w:right w:type="dxa" w:w="80"/>
            </w:tcMar>
          </w:tcPr>
          <w:p>
            <w:r>
              <w:rPr>
                <w:b w:val="false"/>
                <w:bCs w:val="false"/>
                <w:sz w:val="17"/>
                <w:szCs w:val="17"/>
              </w:rPr>
              <w:t xml:space="preserve">KPI-04</w:t>
            </w:r>
          </w:p>
        </w:tc>
        <w:tc>
          <w:tcPr>
            <w:shd w:fill="EFF3F7" w:val="clear"/>
            <w:tcMar>
              <w:top w:type="dxa" w:w="60"/>
              <w:left w:type="dxa" w:w="80"/>
              <w:bottom w:type="dxa" w:w="60"/>
              <w:right w:type="dxa" w:w="80"/>
            </w:tcMar>
          </w:tcPr>
          <w:p>
            <w:r>
              <w:rPr>
                <w:b w:val="false"/>
                <w:bCs w:val="false"/>
                <w:sz w:val="17"/>
                <w:szCs w:val="17"/>
              </w:rPr>
              <w:t xml:space="preserve">Approved Variances (count)</w:t>
            </w:r>
          </w:p>
        </w:tc>
        <w:tc>
          <w:tcPr>
            <w:shd w:fill="EFF3F7" w:val="clear"/>
            <w:tcMar>
              <w:top w:type="dxa" w:w="60"/>
              <w:left w:type="dxa" w:w="80"/>
              <w:bottom w:type="dxa" w:w="60"/>
              <w:right w:type="dxa" w:w="80"/>
            </w:tcMar>
          </w:tcPr>
          <w:p>
            <w:r>
              <w:rPr>
                <w:b w:val="false"/>
                <w:bCs w:val="false"/>
                <w:sz w:val="17"/>
                <w:szCs w:val="17"/>
              </w:rPr>
              <w:t xml:space="preserve">4 (VAR-01–04)</w:t>
            </w:r>
          </w:p>
        </w:tc>
        <w:tc>
          <w:tcPr>
            <w:shd w:fill="EFF3F7" w:val="clear"/>
            <w:tcMar>
              <w:top w:type="dxa" w:w="60"/>
              <w:left w:type="dxa" w:w="80"/>
              <w:bottom w:type="dxa" w:w="60"/>
              <w:right w:type="dxa" w:w="80"/>
            </w:tcMar>
          </w:tcPr>
          <w:p>
            <w:r>
              <w:rPr>
                <w:b w:val="false"/>
                <w:bCs w:val="false"/>
                <w:sz w:val="17"/>
                <w:szCs w:val="17"/>
              </w:rPr>
              <w:t xml:space="preserve">Stable or declining as items convert from Deferred to Realized/Retired</w:t>
            </w:r>
          </w:p>
        </w:tc>
        <w:tc>
          <w:tcPr>
            <w:shd w:fill="EFF3F7" w:val="clear"/>
            <w:tcMar>
              <w:top w:type="dxa" w:w="60"/>
              <w:left w:type="dxa" w:w="80"/>
              <w:bottom w:type="dxa" w:w="60"/>
              <w:right w:type="dxa" w:w="80"/>
            </w:tcMar>
          </w:tcPr>
          <w:p>
            <w:r>
              <w:rPr>
                <w:b w:val="false"/>
                <w:bCs w:val="false"/>
                <w:sz w:val="17"/>
                <w:szCs w:val="17"/>
              </w:rPr>
              <w:t xml:space="preserve">Per review cycle</w:t>
            </w:r>
          </w:p>
        </w:tc>
        <w:tc>
          <w:tcPr>
            <w:shd w:fill="EFF3F7" w:val="clear"/>
            <w:tcMar>
              <w:top w:type="dxa" w:w="60"/>
              <w:left w:type="dxa" w:w="80"/>
              <w:bottom w:type="dxa" w:w="60"/>
              <w:right w:type="dxa" w:w="80"/>
            </w:tcMar>
          </w:tcPr>
          <w:p>
            <w:r>
              <w:rPr>
                <w:b w:val="false"/>
                <w:bCs w:val="false"/>
                <w:sz w:val="17"/>
                <w:szCs w:val="17"/>
              </w:rPr>
              <w:t xml:space="preserve">Data/enterprise architecture owner</w:t>
            </w:r>
          </w:p>
        </w:tc>
        <w:tc>
          <w:tcPr>
            <w:shd w:fill="EFF3F7" w:val="clear"/>
            <w:tcMar>
              <w:top w:type="dxa" w:w="60"/>
              <w:left w:type="dxa" w:w="80"/>
              <w:bottom w:type="dxa" w:w="60"/>
              <w:right w:type="dxa" w:w="80"/>
            </w:tcMar>
          </w:tcPr>
          <w:p>
            <w:r>
              <w:rPr>
                <w:b w:val="false"/>
                <w:bCs w:val="false"/>
                <w:sz w:val="17"/>
                <w:szCs w:val="17"/>
              </w:rPr>
              <w:t xml:space="preserve">Variance Register (§6)</w:t>
            </w:r>
          </w:p>
        </w:tc>
      </w:tr>
      <w:tr>
        <w:tc>
          <w:tcPr>
            <w:tcMar>
              <w:top w:type="dxa" w:w="60"/>
              <w:left w:type="dxa" w:w="80"/>
              <w:bottom w:type="dxa" w:w="60"/>
              <w:right w:type="dxa" w:w="80"/>
            </w:tcMar>
          </w:tcPr>
          <w:p>
            <w:r>
              <w:rPr>
                <w:b w:val="false"/>
                <w:bCs w:val="false"/>
                <w:sz w:val="17"/>
                <w:szCs w:val="17"/>
              </w:rPr>
              <w:t xml:space="preserve">KPI-05</w:t>
            </w:r>
          </w:p>
        </w:tc>
        <w:tc>
          <w:tcPr>
            <w:tcMar>
              <w:top w:type="dxa" w:w="60"/>
              <w:left w:type="dxa" w:w="80"/>
              <w:bottom w:type="dxa" w:w="60"/>
              <w:right w:type="dxa" w:w="80"/>
            </w:tcMar>
          </w:tcPr>
          <w:p>
            <w:r>
              <w:rPr>
                <w:b w:val="false"/>
                <w:bCs w:val="false"/>
                <w:sz w:val="17"/>
                <w:szCs w:val="17"/>
              </w:rPr>
              <w:t xml:space="preserve">Deferred Decisions (count)</w:t>
            </w:r>
          </w:p>
        </w:tc>
        <w:tc>
          <w:tcPr>
            <w:tcMar>
              <w:top w:type="dxa" w:w="60"/>
              <w:left w:type="dxa" w:w="80"/>
              <w:bottom w:type="dxa" w:w="60"/>
              <w:right w:type="dxa" w:w="80"/>
            </w:tcMar>
          </w:tcPr>
          <w:p>
            <w:r>
              <w:rPr>
                <w:b w:val="false"/>
                <w:bCs w:val="false"/>
                <w:sz w:val="17"/>
                <w:szCs w:val="17"/>
              </w:rPr>
              <w:t xml:space="preserve">4 (EGD-0001, 0004, 0005, 0006)</w:t>
            </w:r>
          </w:p>
        </w:tc>
        <w:tc>
          <w:tcPr>
            <w:tcMar>
              <w:top w:type="dxa" w:w="60"/>
              <w:left w:type="dxa" w:w="80"/>
              <w:bottom w:type="dxa" w:w="60"/>
              <w:right w:type="dxa" w:w="80"/>
            </w:tcMar>
          </w:tcPr>
          <w:p>
            <w:r>
              <w:rPr>
                <w:b w:val="false"/>
                <w:bCs w:val="false"/>
                <w:sz w:val="17"/>
                <w:szCs w:val="17"/>
              </w:rPr>
              <w:t xml:space="preserve">Declining as triggers fire and items resolve</w:t>
            </w:r>
          </w:p>
        </w:tc>
        <w:tc>
          <w:tcPr>
            <w:tcMar>
              <w:top w:type="dxa" w:w="60"/>
              <w:left w:type="dxa" w:w="80"/>
              <w:bottom w:type="dxa" w:w="60"/>
              <w:right w:type="dxa" w:w="80"/>
            </w:tcMar>
          </w:tcPr>
          <w:p>
            <w:r>
              <w:rPr>
                <w:b w:val="false"/>
                <w:bCs w:val="false"/>
                <w:sz w:val="17"/>
                <w:szCs w:val="17"/>
              </w:rPr>
              <w:t xml:space="preserve">Quarterly</w:t>
            </w:r>
          </w:p>
        </w:tc>
        <w:tc>
          <w:tcPr>
            <w:tcMar>
              <w:top w:type="dxa" w:w="60"/>
              <w:left w:type="dxa" w:w="80"/>
              <w:bottom w:type="dxa" w:w="60"/>
              <w:right w:type="dxa" w:w="80"/>
            </w:tcMar>
          </w:tcPr>
          <w:p>
            <w:r>
              <w:rPr>
                <w:b w:val="false"/>
                <w:bCs w:val="false"/>
                <w:sz w:val="17"/>
                <w:szCs w:val="17"/>
              </w:rPr>
              <w:t xml:space="preserve">Respective EGD owners (WP-0006)</w:t>
            </w:r>
          </w:p>
        </w:tc>
        <w:tc>
          <w:tcPr>
            <w:tcMar>
              <w:top w:type="dxa" w:w="60"/>
              <w:left w:type="dxa" w:w="80"/>
              <w:bottom w:type="dxa" w:w="60"/>
              <w:right w:type="dxa" w:w="80"/>
            </w:tcMar>
          </w:tcPr>
          <w:p>
            <w:r>
              <w:rPr>
                <w:b w:val="false"/>
                <w:bCs w:val="false"/>
                <w:sz w:val="17"/>
                <w:szCs w:val="17"/>
              </w:rPr>
              <w:t xml:space="preserve">Governance Decision Register (§4)</w:t>
            </w:r>
          </w:p>
        </w:tc>
      </w:tr>
      <w:tr>
        <w:tc>
          <w:tcPr>
            <w:shd w:fill="EFF3F7" w:val="clear"/>
            <w:tcMar>
              <w:top w:type="dxa" w:w="60"/>
              <w:left w:type="dxa" w:w="80"/>
              <w:bottom w:type="dxa" w:w="60"/>
              <w:right w:type="dxa" w:w="80"/>
            </w:tcMar>
          </w:tcPr>
          <w:p>
            <w:r>
              <w:rPr>
                <w:b w:val="false"/>
                <w:bCs w:val="false"/>
                <w:sz w:val="17"/>
                <w:szCs w:val="17"/>
              </w:rPr>
              <w:t xml:space="preserve">KPI-06</w:t>
            </w:r>
          </w:p>
        </w:tc>
        <w:tc>
          <w:tcPr>
            <w:shd w:fill="EFF3F7" w:val="clear"/>
            <w:tcMar>
              <w:top w:type="dxa" w:w="60"/>
              <w:left w:type="dxa" w:w="80"/>
              <w:bottom w:type="dxa" w:w="60"/>
              <w:right w:type="dxa" w:w="80"/>
            </w:tcMar>
          </w:tcPr>
          <w:p>
            <w:r>
              <w:rPr>
                <w:b w:val="false"/>
                <w:bCs w:val="false"/>
                <w:sz w:val="17"/>
                <w:szCs w:val="17"/>
              </w:rPr>
              <w:t xml:space="preserve">RLS Coverage %</w:t>
            </w:r>
          </w:p>
        </w:tc>
        <w:tc>
          <w:tcPr>
            <w:shd w:fill="EFF3F7" w:val="clear"/>
            <w:tcMar>
              <w:top w:type="dxa" w:w="60"/>
              <w:left w:type="dxa" w:w="80"/>
              <w:bottom w:type="dxa" w:w="60"/>
              <w:right w:type="dxa" w:w="80"/>
            </w:tcMar>
          </w:tcPr>
          <w:p>
            <w:r>
              <w:rPr>
                <w:b w:val="false"/>
                <w:bCs w:val="false"/>
                <w:sz w:val="17"/>
                <w:szCs w:val="17"/>
              </w:rPr>
              <w:t xml:space="preserve">Confirmed on 2 tables; unverified on remainder</w:t>
            </w:r>
          </w:p>
        </w:tc>
        <w:tc>
          <w:tcPr>
            <w:shd w:fill="EFF3F7" w:val="clear"/>
            <w:tcMar>
              <w:top w:type="dxa" w:w="60"/>
              <w:left w:type="dxa" w:w="80"/>
              <w:bottom w:type="dxa" w:w="60"/>
              <w:right w:type="dxa" w:w="80"/>
            </w:tcMar>
          </w:tcPr>
          <w:p>
            <w:r>
              <w:rPr>
                <w:b w:val="false"/>
                <w:bCs w:val="false"/>
                <w:sz w:val="17"/>
                <w:szCs w:val="17"/>
              </w:rPr>
              <w:t xml:space="preserve">100% confirmed</w:t>
            </w:r>
          </w:p>
        </w:tc>
        <w:tc>
          <w:tcPr>
            <w:shd w:fill="EFF3F7" w:val="clear"/>
            <w:tcMar>
              <w:top w:type="dxa" w:w="60"/>
              <w:left w:type="dxa" w:w="80"/>
              <w:bottom w:type="dxa" w:w="60"/>
              <w:right w:type="dxa" w:w="80"/>
            </w:tcMar>
          </w:tcPr>
          <w:p>
            <w:r>
              <w:rPr>
                <w:b w:val="false"/>
                <w:bCs w:val="false"/>
                <w:sz w:val="17"/>
                <w:szCs w:val="17"/>
              </w:rPr>
              <w:t xml:space="preserve">Immediate, then per-release</w:t>
            </w:r>
          </w:p>
        </w:tc>
        <w:tc>
          <w:tcPr>
            <w:shd w:fill="EFF3F7" w:val="clear"/>
            <w:tcMar>
              <w:top w:type="dxa" w:w="60"/>
              <w:left w:type="dxa" w:w="80"/>
              <w:bottom w:type="dxa" w:w="60"/>
              <w:right w:type="dxa" w:w="80"/>
            </w:tcMar>
          </w:tcPr>
          <w:p>
            <w:r>
              <w:rPr>
                <w:b w:val="false"/>
                <w:bCs w:val="false"/>
                <w:sz w:val="17"/>
                <w:szCs w:val="17"/>
              </w:rPr>
              <w:t xml:space="preserve">Security/platform engineering (WP-0006)</w:t>
            </w:r>
          </w:p>
        </w:tc>
        <w:tc>
          <w:tcPr>
            <w:shd w:fill="EFF3F7" w:val="clear"/>
            <w:tcMar>
              <w:top w:type="dxa" w:w="60"/>
              <w:left w:type="dxa" w:w="80"/>
              <w:bottom w:type="dxa" w:w="60"/>
              <w:right w:type="dxa" w:w="80"/>
            </w:tcMar>
          </w:tcPr>
          <w:p>
            <w:r>
              <w:rPr>
                <w:b w:val="false"/>
                <w:bCs w:val="false"/>
                <w:sz w:val="17"/>
                <w:szCs w:val="17"/>
              </w:rPr>
              <w:t xml:space="preserve">WP-0002 verification output</w:t>
            </w:r>
          </w:p>
        </w:tc>
      </w:tr>
      <w:tr>
        <w:tc>
          <w:tcPr>
            <w:tcMar>
              <w:top w:type="dxa" w:w="60"/>
              <w:left w:type="dxa" w:w="80"/>
              <w:bottom w:type="dxa" w:w="60"/>
              <w:right w:type="dxa" w:w="80"/>
            </w:tcMar>
          </w:tcPr>
          <w:p>
            <w:r>
              <w:rPr>
                <w:b w:val="false"/>
                <w:bCs w:val="false"/>
                <w:sz w:val="17"/>
                <w:szCs w:val="17"/>
              </w:rPr>
              <w:t xml:space="preserve">KPI-07</w:t>
            </w:r>
          </w:p>
        </w:tc>
        <w:tc>
          <w:tcPr>
            <w:tcMar>
              <w:top w:type="dxa" w:w="60"/>
              <w:left w:type="dxa" w:w="80"/>
              <w:bottom w:type="dxa" w:w="60"/>
              <w:right w:type="dxa" w:w="80"/>
            </w:tcMar>
          </w:tcPr>
          <w:p>
            <w:r>
              <w:rPr>
                <w:b w:val="false"/>
                <w:bCs w:val="false"/>
                <w:sz w:val="17"/>
                <w:szCs w:val="17"/>
              </w:rPr>
              <w:t xml:space="preserve">Governance Decision Traceability %</w:t>
            </w:r>
          </w:p>
        </w:tc>
        <w:tc>
          <w:tcPr>
            <w:tcMar>
              <w:top w:type="dxa" w:w="60"/>
              <w:left w:type="dxa" w:w="80"/>
              <w:bottom w:type="dxa" w:w="60"/>
              <w:right w:type="dxa" w:w="80"/>
            </w:tcMar>
          </w:tcPr>
          <w:p>
            <w:r>
              <w:rPr>
                <w:b w:val="false"/>
                <w:bCs w:val="false"/>
                <w:sz w:val="17"/>
                <w:szCs w:val="17"/>
              </w:rPr>
              <w:t xml:space="preserve">70/100 (Phase A.2 §10)</w:t>
            </w:r>
          </w:p>
        </w:tc>
        <w:tc>
          <w:tcPr>
            <w:tcMar>
              <w:top w:type="dxa" w:w="60"/>
              <w:left w:type="dxa" w:w="80"/>
              <w:bottom w:type="dxa" w:w="60"/>
              <w:right w:type="dxa" w:w="80"/>
            </w:tcMar>
          </w:tcPr>
          <w:p>
            <w:r>
              <w:rPr>
                <w:b w:val="false"/>
                <w:bCs w:val="false"/>
                <w:sz w:val="17"/>
                <w:szCs w:val="17"/>
              </w:rPr>
              <w:t xml:space="preserve">100 — every EGD cites file-level evidence</w:t>
            </w:r>
          </w:p>
        </w:tc>
        <w:tc>
          <w:tcPr>
            <w:tcMar>
              <w:top w:type="dxa" w:w="60"/>
              <w:left w:type="dxa" w:w="80"/>
              <w:bottom w:type="dxa" w:w="60"/>
              <w:right w:type="dxa" w:w="80"/>
            </w:tcMar>
          </w:tcPr>
          <w:p>
            <w:r>
              <w:rPr>
                <w:b w:val="false"/>
                <w:bCs w:val="false"/>
                <w:sz w:val="17"/>
                <w:szCs w:val="17"/>
              </w:rPr>
              <w:t xml:space="preserve">Per ERP phase</w:t>
            </w:r>
          </w:p>
        </w:tc>
        <w:tc>
          <w:tcPr>
            <w:tcMar>
              <w:top w:type="dxa" w:w="60"/>
              <w:left w:type="dxa" w:w="80"/>
              <w:bottom w:type="dxa" w:w="60"/>
              <w:right w:type="dxa" w:w="80"/>
            </w:tcMar>
          </w:tcPr>
          <w:p>
            <w:r>
              <w:rPr>
                <w:b w:val="false"/>
                <w:bCs w:val="false"/>
                <w:sz w:val="17"/>
                <w:szCs w:val="17"/>
              </w:rPr>
              <w:t xml:space="preserve">Enterprise architecture owner</w:t>
            </w:r>
          </w:p>
        </w:tc>
        <w:tc>
          <w:tcPr>
            <w:tcMar>
              <w:top w:type="dxa" w:w="60"/>
              <w:left w:type="dxa" w:w="80"/>
              <w:bottom w:type="dxa" w:w="60"/>
              <w:right w:type="dxa" w:w="80"/>
            </w:tcMar>
          </w:tcPr>
          <w:p>
            <w:r>
              <w:rPr>
                <w:b w:val="false"/>
                <w:bCs w:val="false"/>
                <w:sz w:val="17"/>
                <w:szCs w:val="17"/>
              </w:rPr>
              <w:t xml:space="preserve">ADR/EGD evidence audit</w:t>
            </w:r>
          </w:p>
        </w:tc>
      </w:tr>
      <w:tr>
        <w:tc>
          <w:tcPr>
            <w:shd w:fill="EFF3F7" w:val="clear"/>
            <w:tcMar>
              <w:top w:type="dxa" w:w="60"/>
              <w:left w:type="dxa" w:w="80"/>
              <w:bottom w:type="dxa" w:w="60"/>
              <w:right w:type="dxa" w:w="80"/>
            </w:tcMar>
          </w:tcPr>
          <w:p>
            <w:r>
              <w:rPr>
                <w:b w:val="false"/>
                <w:bCs w:val="false"/>
                <w:sz w:val="17"/>
                <w:szCs w:val="17"/>
              </w:rPr>
              <w:t xml:space="preserve">KPI-08</w:t>
            </w:r>
          </w:p>
        </w:tc>
        <w:tc>
          <w:tcPr>
            <w:shd w:fill="EFF3F7" w:val="clear"/>
            <w:tcMar>
              <w:top w:type="dxa" w:w="60"/>
              <w:left w:type="dxa" w:w="80"/>
              <w:bottom w:type="dxa" w:w="60"/>
              <w:right w:type="dxa" w:w="80"/>
            </w:tcMar>
          </w:tcPr>
          <w:p>
            <w:r>
              <w:rPr>
                <w:b w:val="false"/>
                <w:bCs w:val="false"/>
                <w:sz w:val="17"/>
                <w:szCs w:val="17"/>
              </w:rPr>
              <w:t xml:space="preserve">Ownership Assignment %</w:t>
            </w:r>
          </w:p>
        </w:tc>
        <w:tc>
          <w:tcPr>
            <w:shd w:fill="EFF3F7" w:val="clear"/>
            <w:tcMar>
              <w:top w:type="dxa" w:w="60"/>
              <w:left w:type="dxa" w:w="80"/>
              <w:bottom w:type="dxa" w:w="60"/>
              <w:right w:type="dxa" w:w="80"/>
            </w:tcMar>
          </w:tcPr>
          <w:p>
            <w:r>
              <w:rPr>
                <w:b w:val="false"/>
                <w:bCs w:val="false"/>
                <w:sz w:val="17"/>
                <w:szCs w:val="17"/>
              </w:rPr>
              <w:t xml:space="preserve">0% — every owner field unassigned (Phase A.2 §12)</w:t>
            </w:r>
          </w:p>
        </w:tc>
        <w:tc>
          <w:tcPr>
            <w:shd w:fill="EFF3F7" w:val="clear"/>
            <w:tcMar>
              <w:top w:type="dxa" w:w="60"/>
              <w:left w:type="dxa" w:w="80"/>
              <w:bottom w:type="dxa" w:w="60"/>
              <w:right w:type="dxa" w:w="80"/>
            </w:tcMar>
          </w:tcPr>
          <w:p>
            <w:r>
              <w:rPr>
                <w:b w:val="false"/>
                <w:bCs w:val="false"/>
                <w:sz w:val="17"/>
                <w:szCs w:val="17"/>
              </w:rPr>
              <w:t xml:space="preserve">100% on WP-0006 completion</w:t>
            </w:r>
          </w:p>
        </w:tc>
        <w:tc>
          <w:tcPr>
            <w:shd w:fill="EFF3F7" w:val="clear"/>
            <w:tcMar>
              <w:top w:type="dxa" w:w="60"/>
              <w:left w:type="dxa" w:w="80"/>
              <w:bottom w:type="dxa" w:w="60"/>
              <w:right w:type="dxa" w:w="80"/>
            </w:tcMar>
          </w:tcPr>
          <w:p>
            <w:r>
              <w:rPr>
                <w:b w:val="false"/>
                <w:bCs w:val="false"/>
                <w:sz w:val="17"/>
                <w:szCs w:val="17"/>
              </w:rPr>
              <w:t xml:space="preserve">Immediate</w:t>
            </w:r>
          </w:p>
        </w:tc>
        <w:tc>
          <w:tcPr>
            <w:shd w:fill="EFF3F7" w:val="clear"/>
            <w:tcMar>
              <w:top w:type="dxa" w:w="60"/>
              <w:left w:type="dxa" w:w="80"/>
              <w:bottom w:type="dxa" w:w="60"/>
              <w:right w:type="dxa" w:w="80"/>
            </w:tcMar>
          </w:tcPr>
          <w:p>
            <w:r>
              <w:rPr>
                <w:b w:val="false"/>
                <w:bCs w:val="false"/>
                <w:sz w:val="17"/>
                <w:szCs w:val="17"/>
              </w:rPr>
              <w:t xml:space="preserve">Executive sponsor</w:t>
            </w:r>
          </w:p>
        </w:tc>
        <w:tc>
          <w:tcPr>
            <w:shd w:fill="EFF3F7" w:val="clear"/>
            <w:tcMar>
              <w:top w:type="dxa" w:w="60"/>
              <w:left w:type="dxa" w:w="80"/>
              <w:bottom w:type="dxa" w:w="60"/>
              <w:right w:type="dxa" w:w="80"/>
            </w:tcMar>
          </w:tcPr>
          <w:p>
            <w:r>
              <w:rPr>
                <w:b w:val="false"/>
                <w:bCs w:val="false"/>
                <w:sz w:val="17"/>
                <w:szCs w:val="17"/>
              </w:rPr>
              <w:t xml:space="preserve">EGD / WP owner fields</w:t>
            </w:r>
          </w:p>
        </w:tc>
      </w:tr>
      <w:tr>
        <w:tc>
          <w:tcPr>
            <w:tcMar>
              <w:top w:type="dxa" w:w="60"/>
              <w:left w:type="dxa" w:w="80"/>
              <w:bottom w:type="dxa" w:w="60"/>
              <w:right w:type="dxa" w:w="80"/>
            </w:tcMar>
          </w:tcPr>
          <w:p>
            <w:r>
              <w:rPr>
                <w:b w:val="false"/>
                <w:bCs w:val="false"/>
                <w:sz w:val="17"/>
                <w:szCs w:val="17"/>
              </w:rPr>
              <w:t xml:space="preserve">KPI-09</w:t>
            </w:r>
          </w:p>
        </w:tc>
        <w:tc>
          <w:tcPr>
            <w:tcMar>
              <w:top w:type="dxa" w:w="60"/>
              <w:left w:type="dxa" w:w="80"/>
              <w:bottom w:type="dxa" w:w="60"/>
              <w:right w:type="dxa" w:w="80"/>
            </w:tcMar>
          </w:tcPr>
          <w:p>
            <w:r>
              <w:rPr>
                <w:b w:val="false"/>
                <w:bCs w:val="false"/>
                <w:sz w:val="17"/>
                <w:szCs w:val="17"/>
              </w:rPr>
              <w:t xml:space="preserve">Technical Debt by Class (Critical / Strategic / Tactical / Acceptable)</w:t>
            </w:r>
          </w:p>
        </w:tc>
        <w:tc>
          <w:tcPr>
            <w:tcMar>
              <w:top w:type="dxa" w:w="60"/>
              <w:left w:type="dxa" w:w="80"/>
              <w:bottom w:type="dxa" w:w="60"/>
              <w:right w:type="dxa" w:w="80"/>
            </w:tcMar>
          </w:tcPr>
          <w:p>
            <w:r>
              <w:rPr>
                <w:b w:val="false"/>
                <w:bCs w:val="false"/>
                <w:sz w:val="17"/>
                <w:szCs w:val="17"/>
              </w:rPr>
              <w:t xml:space="preserve">1 / 1 / 1 / 1 (Phase A.2 §8)</w:t>
            </w:r>
          </w:p>
        </w:tc>
        <w:tc>
          <w:tcPr>
            <w:tcMar>
              <w:top w:type="dxa" w:w="60"/>
              <w:left w:type="dxa" w:w="80"/>
              <w:bottom w:type="dxa" w:w="60"/>
              <w:right w:type="dxa" w:w="80"/>
            </w:tcMar>
          </w:tcPr>
          <w:p>
            <w:r>
              <w:rPr>
                <w:b w:val="false"/>
                <w:bCs w:val="false"/>
                <w:sz w:val="17"/>
                <w:szCs w:val="17"/>
              </w:rPr>
              <w:t xml:space="preserve">Critical → 0 on WP-0002 completion</w:t>
            </w:r>
          </w:p>
        </w:tc>
        <w:tc>
          <w:tcPr>
            <w:tcMar>
              <w:top w:type="dxa" w:w="60"/>
              <w:left w:type="dxa" w:w="80"/>
              <w:bottom w:type="dxa" w:w="60"/>
              <w:right w:type="dxa" w:w="80"/>
            </w:tcMar>
          </w:tcPr>
          <w:p>
            <w:r>
              <w:rPr>
                <w:b w:val="false"/>
                <w:bCs w:val="false"/>
                <w:sz w:val="17"/>
                <w:szCs w:val="17"/>
              </w:rPr>
              <w:t xml:space="preserve">Immediate then quarterly</w:t>
            </w:r>
          </w:p>
        </w:tc>
        <w:tc>
          <w:tcPr>
            <w:tcMar>
              <w:top w:type="dxa" w:w="60"/>
              <w:left w:type="dxa" w:w="80"/>
              <w:bottom w:type="dxa" w:w="60"/>
              <w:right w:type="dxa" w:w="80"/>
            </w:tcMar>
          </w:tcPr>
          <w:p>
            <w:r>
              <w:rPr>
                <w:b w:val="false"/>
                <w:bCs w:val="false"/>
                <w:sz w:val="17"/>
                <w:szCs w:val="17"/>
              </w:rPr>
              <w:t xml:space="preserve">Respective owners (WP-0006)</w:t>
            </w:r>
          </w:p>
        </w:tc>
        <w:tc>
          <w:tcPr>
            <w:tcMar>
              <w:top w:type="dxa" w:w="60"/>
              <w:left w:type="dxa" w:w="80"/>
              <w:bottom w:type="dxa" w:w="60"/>
              <w:right w:type="dxa" w:w="80"/>
            </w:tcMar>
          </w:tcPr>
          <w:p>
            <w:r>
              <w:rPr>
                <w:b w:val="false"/>
                <w:bCs w:val="false"/>
                <w:sz w:val="17"/>
                <w:szCs w:val="17"/>
              </w:rPr>
              <w:t xml:space="preserve">Technical Debt Governance register (Phase A.2 §8)</w:t>
            </w:r>
          </w:p>
        </w:tc>
      </w:tr>
      <w:tr>
        <w:tc>
          <w:tcPr>
            <w:shd w:fill="EFF3F7" w:val="clear"/>
            <w:tcMar>
              <w:top w:type="dxa" w:w="60"/>
              <w:left w:type="dxa" w:w="80"/>
              <w:bottom w:type="dxa" w:w="60"/>
              <w:right w:type="dxa" w:w="80"/>
            </w:tcMar>
          </w:tcPr>
          <w:p>
            <w:r>
              <w:rPr>
                <w:b w:val="false"/>
                <w:bCs w:val="false"/>
                <w:sz w:val="17"/>
                <w:szCs w:val="17"/>
              </w:rPr>
              <w:t xml:space="preserve">KPI-10</w:t>
            </w:r>
          </w:p>
        </w:tc>
        <w:tc>
          <w:tcPr>
            <w:shd w:fill="EFF3F7" w:val="clear"/>
            <w:tcMar>
              <w:top w:type="dxa" w:w="60"/>
              <w:left w:type="dxa" w:w="80"/>
              <w:bottom w:type="dxa" w:w="60"/>
              <w:right w:type="dxa" w:w="80"/>
            </w:tcMar>
          </w:tcPr>
          <w:p>
            <w:r>
              <w:rPr>
                <w:b w:val="false"/>
                <w:bCs w:val="false"/>
                <w:sz w:val="17"/>
                <w:szCs w:val="17"/>
              </w:rPr>
              <w:t xml:space="preserve">Architecture Review SLA</w:t>
            </w:r>
          </w:p>
        </w:tc>
        <w:tc>
          <w:tcPr>
            <w:shd w:fill="EFF3F7" w:val="clear"/>
            <w:tcMar>
              <w:top w:type="dxa" w:w="60"/>
              <w:left w:type="dxa" w:w="80"/>
              <w:bottom w:type="dxa" w:w="60"/>
              <w:right w:type="dxa" w:w="80"/>
            </w:tcMar>
          </w:tcPr>
          <w:p>
            <w:r>
              <w:rPr>
                <w:b w:val="false"/>
                <w:bCs w:val="false"/>
                <w:sz w:val="17"/>
                <w:szCs w:val="17"/>
              </w:rPr>
              <w:t xml:space="preserve">Not yet defined — no standing cadence exists today</w:t>
            </w:r>
          </w:p>
        </w:tc>
        <w:tc>
          <w:tcPr>
            <w:shd w:fill="EFF3F7" w:val="clear"/>
            <w:tcMar>
              <w:top w:type="dxa" w:w="60"/>
              <w:left w:type="dxa" w:w="80"/>
              <w:bottom w:type="dxa" w:w="60"/>
              <w:right w:type="dxa" w:w="80"/>
            </w:tcMar>
          </w:tcPr>
          <w:p>
            <w:r>
              <w:rPr>
                <w:b w:val="false"/>
                <w:bCs w:val="false"/>
                <w:sz w:val="17"/>
                <w:szCs w:val="17"/>
              </w:rPr>
              <w:t xml:space="preserve">Quarterly trigger review formally adopted</w:t>
            </w:r>
          </w:p>
        </w:tc>
        <w:tc>
          <w:tcPr>
            <w:shd w:fill="EFF3F7" w:val="clear"/>
            <w:tcMar>
              <w:top w:type="dxa" w:w="60"/>
              <w:left w:type="dxa" w:w="80"/>
              <w:bottom w:type="dxa" w:w="60"/>
              <w:right w:type="dxa" w:w="80"/>
            </w:tcMar>
          </w:tcPr>
          <w:p>
            <w:r>
              <w:rPr>
                <w:b w:val="false"/>
                <w:bCs w:val="false"/>
                <w:sz w:val="17"/>
                <w:szCs w:val="17"/>
              </w:rPr>
              <w:t xml:space="preserve">Quarterly</w:t>
            </w:r>
          </w:p>
        </w:tc>
        <w:tc>
          <w:tcPr>
            <w:shd w:fill="EFF3F7" w:val="clear"/>
            <w:tcMar>
              <w:top w:type="dxa" w:w="60"/>
              <w:left w:type="dxa" w:w="80"/>
              <w:bottom w:type="dxa" w:w="60"/>
              <w:right w:type="dxa" w:w="80"/>
            </w:tcMar>
          </w:tcPr>
          <w:p>
            <w:r>
              <w:rPr>
                <w:b w:val="false"/>
                <w:bCs w:val="false"/>
                <w:sz w:val="17"/>
                <w:szCs w:val="17"/>
              </w:rPr>
              <w:t xml:space="preserve">Enterprise architecture owner (WP-0006)</w:t>
            </w:r>
          </w:p>
        </w:tc>
        <w:tc>
          <w:tcPr>
            <w:shd w:fill="EFF3F7" w:val="clear"/>
            <w:tcMar>
              <w:top w:type="dxa" w:w="60"/>
              <w:left w:type="dxa" w:w="80"/>
              <w:bottom w:type="dxa" w:w="60"/>
              <w:right w:type="dxa" w:w="80"/>
            </w:tcMar>
          </w:tcPr>
          <w:p>
            <w:r>
              <w:rPr>
                <w:b w:val="false"/>
                <w:bCs w:val="false"/>
                <w:sz w:val="17"/>
                <w:szCs w:val="17"/>
              </w:rPr>
              <w:t xml:space="preserve">This baseline's own review cadence (§4, §9)</w:t>
            </w:r>
          </w:p>
        </w:tc>
      </w:tr>
    </w:tbl>
    <w:p>
      <w:r>
        <w:br w:type="page"/>
      </w:r>
    </w:p>
    <w:p>
      <w:pPr>
        <w:pStyle w:val="Heading1"/>
        <w:spacing w:after="120" w:before="300"/>
      </w:pPr>
      <w:r>
        <w:t xml:space="preserve">11. Enterprise Certification Framework</w:t>
      </w:r>
    </w:p>
    <w:p>
      <w:pPr>
        <w:spacing w:after="120"/>
      </w:pPr>
      <w:r>
        <w:rPr>
          <w:sz w:val="20"/>
          <w:szCs w:val="20"/>
        </w:rPr>
        <w:t xml:space="preserve">Five certification levels with mandatory evidence per level. Status reflects this baseline's own state as of publication.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2A44" w:val="clear"/>
            <w:tcMar>
              <w:top w:type="dxa" w:w="60"/>
              <w:left w:type="dxa" w:w="80"/>
              <w:bottom w:type="dxa" w:w="60"/>
              <w:right w:type="dxa" w:w="80"/>
            </w:tcMar>
          </w:tcPr>
          <w:p>
            <w:r>
              <w:rPr>
                <w:b/>
                <w:bCs/>
                <w:color w:val="FFFFFF"/>
                <w:sz w:val="17"/>
                <w:szCs w:val="17"/>
              </w:rPr>
              <w:t xml:space="preserve">Level</w:t>
            </w:r>
          </w:p>
        </w:tc>
        <w:tc>
          <w:tcPr>
            <w:shd w:fill="1F2A44" w:val="clear"/>
            <w:tcMar>
              <w:top w:type="dxa" w:w="60"/>
              <w:left w:type="dxa" w:w="80"/>
              <w:bottom w:type="dxa" w:w="60"/>
              <w:right w:type="dxa" w:w="80"/>
            </w:tcMar>
          </w:tcPr>
          <w:p>
            <w:r>
              <w:rPr>
                <w:b/>
                <w:bCs/>
                <w:color w:val="FFFFFF"/>
                <w:sz w:val="17"/>
                <w:szCs w:val="17"/>
              </w:rPr>
              <w:t xml:space="preserve">Definition</w:t>
            </w:r>
          </w:p>
        </w:tc>
        <w:tc>
          <w:tcPr>
            <w:shd w:fill="1F2A44" w:val="clear"/>
            <w:tcMar>
              <w:top w:type="dxa" w:w="60"/>
              <w:left w:type="dxa" w:w="80"/>
              <w:bottom w:type="dxa" w:w="60"/>
              <w:right w:type="dxa" w:w="80"/>
            </w:tcMar>
          </w:tcPr>
          <w:p>
            <w:r>
              <w:rPr>
                <w:b/>
                <w:bCs/>
                <w:color w:val="FFFFFF"/>
                <w:sz w:val="17"/>
                <w:szCs w:val="17"/>
              </w:rPr>
              <w:t xml:space="preserve">Mandatory Evidence</w:t>
            </w:r>
          </w:p>
        </w:tc>
        <w:tc>
          <w:tcPr>
            <w:shd w:fill="1F2A44" w:val="clear"/>
            <w:tcMar>
              <w:top w:type="dxa" w:w="60"/>
              <w:left w:type="dxa" w:w="80"/>
              <w:bottom w:type="dxa" w:w="60"/>
              <w:right w:type="dxa" w:w="80"/>
            </w:tcMar>
          </w:tcPr>
          <w:p>
            <w:r>
              <w:rPr>
                <w:b/>
                <w:bCs/>
                <w:color w:val="FFFFFF"/>
                <w:sz w:val="17"/>
                <w:szCs w:val="17"/>
              </w:rPr>
              <w:t xml:space="preserve">Status</w:t>
            </w:r>
          </w:p>
        </w:tc>
      </w:tr>
      <w:tr>
        <w:tc>
          <w:tcPr>
            <w:tcMar>
              <w:top w:type="dxa" w:w="60"/>
              <w:left w:type="dxa" w:w="80"/>
              <w:bottom w:type="dxa" w:w="60"/>
              <w:right w:type="dxa" w:w="80"/>
            </w:tcMar>
          </w:tcPr>
          <w:p>
            <w:r>
              <w:rPr>
                <w:b w:val="false"/>
                <w:bCs w:val="false"/>
                <w:sz w:val="17"/>
                <w:szCs w:val="17"/>
              </w:rPr>
              <w:t xml:space="preserve">L1</w:t>
            </w:r>
          </w:p>
        </w:tc>
        <w:tc>
          <w:tcPr>
            <w:tcMar>
              <w:top w:type="dxa" w:w="60"/>
              <w:left w:type="dxa" w:w="80"/>
              <w:bottom w:type="dxa" w:w="60"/>
              <w:right w:type="dxa" w:w="80"/>
            </w:tcMar>
          </w:tcPr>
          <w:p>
            <w:r>
              <w:rPr>
                <w:b w:val="false"/>
                <w:bCs w:val="false"/>
                <w:sz w:val="17"/>
                <w:szCs w:val="17"/>
              </w:rPr>
              <w:t xml:space="preserve">Architecture Baseline Established</w:t>
            </w:r>
          </w:p>
        </w:tc>
        <w:tc>
          <w:tcPr>
            <w:tcMar>
              <w:top w:type="dxa" w:w="60"/>
              <w:left w:type="dxa" w:w="80"/>
              <w:bottom w:type="dxa" w:w="60"/>
              <w:right w:type="dxa" w:w="80"/>
            </w:tcMar>
          </w:tcPr>
          <w:p>
            <w:r>
              <w:rPr>
                <w:b w:val="false"/>
                <w:bCs w:val="false"/>
                <w:sz w:val="17"/>
                <w:szCs w:val="17"/>
              </w:rPr>
              <w:t xml:space="preserve">Complete AP / AR / EGD / ER / VAR registers, cross-referenced (§2–6 of this document).</w:t>
            </w:r>
          </w:p>
        </w:tc>
        <w:tc>
          <w:tcPr>
            <w:tcMar>
              <w:top w:type="dxa" w:w="60"/>
              <w:left w:type="dxa" w:w="80"/>
              <w:bottom w:type="dxa" w:w="60"/>
              <w:right w:type="dxa" w:w="80"/>
            </w:tcMar>
          </w:tcPr>
          <w:p>
            <w:r>
              <w:rPr>
                <w:b w:val="false"/>
                <w:bCs w:val="false"/>
                <w:sz w:val="17"/>
                <w:szCs w:val="17"/>
              </w:rPr>
              <w:t xml:space="preserve">MET — established by this document</w:t>
            </w:r>
          </w:p>
        </w:tc>
      </w:tr>
      <w:tr>
        <w:tc>
          <w:tcPr>
            <w:shd w:fill="EFF3F7" w:val="clear"/>
            <w:tcMar>
              <w:top w:type="dxa" w:w="60"/>
              <w:left w:type="dxa" w:w="80"/>
              <w:bottom w:type="dxa" w:w="60"/>
              <w:right w:type="dxa" w:w="80"/>
            </w:tcMar>
          </w:tcPr>
          <w:p>
            <w:r>
              <w:rPr>
                <w:b w:val="false"/>
                <w:bCs w:val="false"/>
                <w:sz w:val="17"/>
                <w:szCs w:val="17"/>
              </w:rPr>
              <w:t xml:space="preserve">L2</w:t>
            </w:r>
          </w:p>
        </w:tc>
        <w:tc>
          <w:tcPr>
            <w:shd w:fill="EFF3F7" w:val="clear"/>
            <w:tcMar>
              <w:top w:type="dxa" w:w="60"/>
              <w:left w:type="dxa" w:w="80"/>
              <w:bottom w:type="dxa" w:w="60"/>
              <w:right w:type="dxa" w:w="80"/>
            </w:tcMar>
          </w:tcPr>
          <w:p>
            <w:r>
              <w:rPr>
                <w:b w:val="false"/>
                <w:bCs w:val="false"/>
                <w:sz w:val="17"/>
                <w:szCs w:val="17"/>
              </w:rPr>
              <w:t xml:space="preserve">Governance Complete</w:t>
            </w:r>
          </w:p>
        </w:tc>
        <w:tc>
          <w:tcPr>
            <w:shd w:fill="EFF3F7" w:val="clear"/>
            <w:tcMar>
              <w:top w:type="dxa" w:w="60"/>
              <w:left w:type="dxa" w:w="80"/>
              <w:bottom w:type="dxa" w:w="60"/>
              <w:right w:type="dxa" w:w="80"/>
            </w:tcMar>
          </w:tcPr>
          <w:p>
            <w:r>
              <w:rPr>
                <w:b w:val="false"/>
                <w:bCs w:val="false"/>
                <w:sz w:val="17"/>
                <w:szCs w:val="17"/>
              </w:rPr>
              <w:t xml:space="preserve">Every AR has a corresponding EGD with an explicit disposition; no open (undispositioned) gaps.</w:t>
            </w:r>
          </w:p>
        </w:tc>
        <w:tc>
          <w:tcPr>
            <w:shd w:fill="EFF3F7" w:val="clear"/>
            <w:tcMar>
              <w:top w:type="dxa" w:w="60"/>
              <w:left w:type="dxa" w:w="80"/>
              <w:bottom w:type="dxa" w:w="60"/>
              <w:right w:type="dxa" w:w="80"/>
            </w:tcMar>
          </w:tcPr>
          <w:p>
            <w:r>
              <w:rPr>
                <w:b w:val="false"/>
                <w:bCs w:val="false"/>
                <w:sz w:val="17"/>
                <w:szCs w:val="17"/>
              </w:rPr>
              <w:t xml:space="preserve">MET — Phase A.2's seven ADRs plus EGD-0008/0009 cover all ten ARs</w:t>
            </w:r>
          </w:p>
        </w:tc>
      </w:tr>
      <w:tr>
        <w:tc>
          <w:tcPr>
            <w:tcMar>
              <w:top w:type="dxa" w:w="60"/>
              <w:left w:type="dxa" w:w="80"/>
              <w:bottom w:type="dxa" w:w="60"/>
              <w:right w:type="dxa" w:w="80"/>
            </w:tcMar>
          </w:tcPr>
          <w:p>
            <w:r>
              <w:rPr>
                <w:b w:val="false"/>
                <w:bCs w:val="false"/>
                <w:sz w:val="17"/>
                <w:szCs w:val="17"/>
              </w:rPr>
              <w:t xml:space="preserve">L3</w:t>
            </w:r>
          </w:p>
        </w:tc>
        <w:tc>
          <w:tcPr>
            <w:tcMar>
              <w:top w:type="dxa" w:w="60"/>
              <w:left w:type="dxa" w:w="80"/>
              <w:bottom w:type="dxa" w:w="60"/>
              <w:right w:type="dxa" w:w="80"/>
            </w:tcMar>
          </w:tcPr>
          <w:p>
            <w:r>
              <w:rPr>
                <w:b w:val="false"/>
                <w:bCs w:val="false"/>
                <w:sz w:val="17"/>
                <w:szCs w:val="17"/>
              </w:rPr>
              <w:t xml:space="preserve">Implementation Traceable</w:t>
            </w:r>
          </w:p>
        </w:tc>
        <w:tc>
          <w:tcPr>
            <w:tcMar>
              <w:top w:type="dxa" w:w="60"/>
              <w:left w:type="dxa" w:w="80"/>
              <w:bottom w:type="dxa" w:w="60"/>
              <w:right w:type="dxa" w:w="80"/>
            </w:tcMar>
          </w:tcPr>
          <w:p>
            <w:r>
              <w:rPr>
                <w:b w:val="false"/>
                <w:bCs w:val="false"/>
                <w:sz w:val="17"/>
                <w:szCs w:val="17"/>
              </w:rPr>
              <w:t xml:space="preserve">Traceability Matrix (§7) linking every AR to evidence, WP, and verification method.</w:t>
            </w:r>
          </w:p>
        </w:tc>
        <w:tc>
          <w:tcPr>
            <w:tcMar>
              <w:top w:type="dxa" w:w="60"/>
              <w:left w:type="dxa" w:w="80"/>
              <w:bottom w:type="dxa" w:w="60"/>
              <w:right w:type="dxa" w:w="80"/>
            </w:tcMar>
          </w:tcPr>
          <w:p>
            <w:r>
              <w:rPr>
                <w:b w:val="false"/>
                <w:bCs w:val="false"/>
                <w:sz w:val="17"/>
                <w:szCs w:val="17"/>
              </w:rPr>
              <w:t xml:space="preserve">MET — established by this document</w:t>
            </w:r>
          </w:p>
        </w:tc>
      </w:tr>
      <w:tr>
        <w:tc>
          <w:tcPr>
            <w:shd w:fill="EFF3F7" w:val="clear"/>
            <w:tcMar>
              <w:top w:type="dxa" w:w="60"/>
              <w:left w:type="dxa" w:w="80"/>
              <w:bottom w:type="dxa" w:w="60"/>
              <w:right w:type="dxa" w:w="80"/>
            </w:tcMar>
          </w:tcPr>
          <w:p>
            <w:r>
              <w:rPr>
                <w:b w:val="false"/>
                <w:bCs w:val="false"/>
                <w:sz w:val="17"/>
                <w:szCs w:val="17"/>
              </w:rPr>
              <w:t xml:space="preserve">L4</w:t>
            </w:r>
          </w:p>
        </w:tc>
        <w:tc>
          <w:tcPr>
            <w:shd w:fill="EFF3F7" w:val="clear"/>
            <w:tcMar>
              <w:top w:type="dxa" w:w="60"/>
              <w:left w:type="dxa" w:w="80"/>
              <w:bottom w:type="dxa" w:w="60"/>
              <w:right w:type="dxa" w:w="80"/>
            </w:tcMar>
          </w:tcPr>
          <w:p>
            <w:r>
              <w:rPr>
                <w:b w:val="false"/>
                <w:bCs w:val="false"/>
                <w:sz w:val="17"/>
                <w:szCs w:val="17"/>
              </w:rPr>
              <w:t xml:space="preserve">Implementation Verified</w:t>
            </w:r>
          </w:p>
        </w:tc>
        <w:tc>
          <w:tcPr>
            <w:shd w:fill="EFF3F7" w:val="clear"/>
            <w:tcMar>
              <w:top w:type="dxa" w:w="60"/>
              <w:left w:type="dxa" w:w="80"/>
              <w:bottom w:type="dxa" w:w="60"/>
              <w:right w:type="dxa" w:w="80"/>
            </w:tcMar>
          </w:tcPr>
          <w:p>
            <w:r>
              <w:rPr>
                <w:b w:val="false"/>
                <w:bCs w:val="false"/>
                <w:sz w:val="17"/>
                <w:szCs w:val="17"/>
              </w:rPr>
              <w:t xml:space="preserve">WP-0001 (documentation revision) published and WP-0002 (RLS verification) completed with written confirmation.</w:t>
            </w:r>
          </w:p>
        </w:tc>
        <w:tc>
          <w:tcPr>
            <w:shd w:fill="EFF3F7" w:val="clear"/>
            <w:tcMar>
              <w:top w:type="dxa" w:w="60"/>
              <w:left w:type="dxa" w:w="80"/>
              <w:bottom w:type="dxa" w:w="60"/>
              <w:right w:type="dxa" w:w="80"/>
            </w:tcMar>
          </w:tcPr>
          <w:p>
            <w:r>
              <w:rPr>
                <w:b w:val="false"/>
                <w:bCs w:val="false"/>
                <w:sz w:val="17"/>
                <w:szCs w:val="17"/>
              </w:rPr>
              <w:t xml:space="preserve">NOT MET — both pending</w:t>
            </w:r>
          </w:p>
        </w:tc>
      </w:tr>
      <w:tr>
        <w:tc>
          <w:tcPr>
            <w:tcMar>
              <w:top w:type="dxa" w:w="60"/>
              <w:left w:type="dxa" w:w="80"/>
              <w:bottom w:type="dxa" w:w="60"/>
              <w:right w:type="dxa" w:w="80"/>
            </w:tcMar>
          </w:tcPr>
          <w:p>
            <w:r>
              <w:rPr>
                <w:b w:val="false"/>
                <w:bCs w:val="false"/>
                <w:sz w:val="17"/>
                <w:szCs w:val="17"/>
              </w:rPr>
              <w:t xml:space="preserve">L5</w:t>
            </w:r>
          </w:p>
        </w:tc>
        <w:tc>
          <w:tcPr>
            <w:tcMar>
              <w:top w:type="dxa" w:w="60"/>
              <w:left w:type="dxa" w:w="80"/>
              <w:bottom w:type="dxa" w:w="60"/>
              <w:right w:type="dxa" w:w="80"/>
            </w:tcMar>
          </w:tcPr>
          <w:p>
            <w:r>
              <w:rPr>
                <w:b w:val="false"/>
                <w:bCs w:val="false"/>
                <w:sz w:val="17"/>
                <w:szCs w:val="17"/>
              </w:rPr>
              <w:t xml:space="preserve">Architecture Certified</w:t>
            </w:r>
          </w:p>
        </w:tc>
        <w:tc>
          <w:tcPr>
            <w:tcMar>
              <w:top w:type="dxa" w:w="60"/>
              <w:left w:type="dxa" w:w="80"/>
              <w:bottom w:type="dxa" w:w="60"/>
              <w:right w:type="dxa" w:w="80"/>
            </w:tcMar>
          </w:tcPr>
          <w:p>
            <w:r>
              <w:rPr>
                <w:b w:val="false"/>
                <w:bCs w:val="false"/>
                <w:sz w:val="17"/>
                <w:szCs w:val="17"/>
              </w:rPr>
              <w:t xml:space="preserve">L4 plus a closed-loop re-assessment (a Phase A.1-style realization audit re-run against the revised architecture) confirming no new drift.</w:t>
            </w:r>
          </w:p>
        </w:tc>
        <w:tc>
          <w:tcPr>
            <w:tcMar>
              <w:top w:type="dxa" w:w="60"/>
              <w:left w:type="dxa" w:w="80"/>
              <w:bottom w:type="dxa" w:w="60"/>
              <w:right w:type="dxa" w:w="80"/>
            </w:tcMar>
          </w:tcPr>
          <w:p>
            <w:r>
              <w:rPr>
                <w:b w:val="false"/>
                <w:bCs w:val="false"/>
                <w:sz w:val="17"/>
                <w:szCs w:val="17"/>
              </w:rPr>
              <w:t xml:space="preserve">NOT MET — pending L4 and the Phase A.2 §9 'Future' roadmap item</w:t>
            </w:r>
          </w:p>
        </w:tc>
      </w:tr>
    </w:tbl>
    <w:p>
      <w:r>
        <w:br w:type="page"/>
      </w:r>
    </w:p>
    <w:p>
      <w:pPr>
        <w:pStyle w:val="Heading1"/>
        <w:spacing w:after="120" w:before="300"/>
      </w:pPr>
      <w:r>
        <w:t xml:space="preserve">12. Enterprise Architecture Maturity Baseline</w:t>
      </w:r>
    </w:p>
    <w:p>
      <w:pPr>
        <w:spacing w:after="120"/>
      </w:pPr>
      <w:r>
        <w:rPr>
          <w:sz w:val="20"/>
          <w:szCs w:val="20"/>
        </w:rPr>
        <w:t xml:space="preserve">Scale: Initial → Managed → Defined → Quantitatively Managed → Optimizing. Ratings below combine Phase A.1 §15 and Phase A.2 §10 findings; none are re-derived independently of that evidence.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2A44" w:val="clear"/>
            <w:tcMar>
              <w:top w:type="dxa" w:w="60"/>
              <w:left w:type="dxa" w:w="80"/>
              <w:bottom w:type="dxa" w:w="60"/>
              <w:right w:type="dxa" w:w="80"/>
            </w:tcMar>
          </w:tcPr>
          <w:p>
            <w:r>
              <w:rPr>
                <w:b/>
                <w:bCs/>
                <w:color w:val="FFFFFF"/>
                <w:sz w:val="17"/>
                <w:szCs w:val="17"/>
              </w:rPr>
              <w:t xml:space="preserve">Dimension</w:t>
            </w:r>
          </w:p>
        </w:tc>
        <w:tc>
          <w:tcPr>
            <w:shd w:fill="1F2A44" w:val="clear"/>
            <w:tcMar>
              <w:top w:type="dxa" w:w="60"/>
              <w:left w:type="dxa" w:w="80"/>
              <w:bottom w:type="dxa" w:w="60"/>
              <w:right w:type="dxa" w:w="80"/>
            </w:tcMar>
          </w:tcPr>
          <w:p>
            <w:r>
              <w:rPr>
                <w:b/>
                <w:bCs/>
                <w:color w:val="FFFFFF"/>
                <w:sz w:val="17"/>
                <w:szCs w:val="17"/>
              </w:rPr>
              <w:t xml:space="preserve">Maturity Level</w:t>
            </w:r>
          </w:p>
        </w:tc>
        <w:tc>
          <w:tcPr>
            <w:shd w:fill="1F2A44" w:val="clear"/>
            <w:tcMar>
              <w:top w:type="dxa" w:w="60"/>
              <w:left w:type="dxa" w:w="80"/>
              <w:bottom w:type="dxa" w:w="60"/>
              <w:right w:type="dxa" w:w="80"/>
            </w:tcMar>
          </w:tcPr>
          <w:p>
            <w:r>
              <w:rPr>
                <w:b/>
                <w:bCs/>
                <w:color w:val="FFFFFF"/>
                <w:sz w:val="17"/>
                <w:szCs w:val="17"/>
              </w:rPr>
              <w:t xml:space="preserve">Basis</w:t>
            </w:r>
          </w:p>
        </w:tc>
      </w:tr>
      <w:tr>
        <w:tc>
          <w:tcPr>
            <w:tcMar>
              <w:top w:type="dxa" w:w="60"/>
              <w:left w:type="dxa" w:w="80"/>
              <w:bottom w:type="dxa" w:w="60"/>
              <w:right w:type="dxa" w:w="80"/>
            </w:tcMar>
          </w:tcPr>
          <w:p>
            <w:r>
              <w:rPr>
                <w:b w:val="false"/>
                <w:bCs w:val="false"/>
                <w:sz w:val="17"/>
                <w:szCs w:val="17"/>
              </w:rPr>
              <w:t xml:space="preserve">Governance</w:t>
            </w:r>
          </w:p>
        </w:tc>
        <w:tc>
          <w:tcPr>
            <w:tcMar>
              <w:top w:type="dxa" w:w="60"/>
              <w:left w:type="dxa" w:w="80"/>
              <w:bottom w:type="dxa" w:w="60"/>
              <w:right w:type="dxa" w:w="80"/>
            </w:tcMar>
          </w:tcPr>
          <w:p>
            <w:r>
              <w:rPr>
                <w:b w:val="false"/>
                <w:bCs w:val="false"/>
                <w:sz w:val="17"/>
                <w:szCs w:val="17"/>
              </w:rPr>
              <w:t xml:space="preserve">Managed</w:t>
            </w:r>
          </w:p>
        </w:tc>
        <w:tc>
          <w:tcPr>
            <w:tcMar>
              <w:top w:type="dxa" w:w="60"/>
              <w:left w:type="dxa" w:w="80"/>
              <w:bottom w:type="dxa" w:w="60"/>
              <w:right w:type="dxa" w:w="80"/>
            </w:tcMar>
          </w:tcPr>
          <w:p>
            <w:r>
              <w:rPr>
                <w:b w:val="false"/>
                <w:bCs w:val="false"/>
                <w:sz w:val="17"/>
                <w:szCs w:val="17"/>
              </w:rPr>
              <w:t xml:space="preserve">A real ADR/disposition process now exists (Phase A.2), but is reactive — triggered by this engagement, not a standing practice (Phase A.2 §10, 45/100).</w:t>
            </w:r>
          </w:p>
        </w:tc>
      </w:tr>
      <w:tr>
        <w:tc>
          <w:tcPr>
            <w:shd w:fill="EFF3F7" w:val="clear"/>
            <w:tcMar>
              <w:top w:type="dxa" w:w="60"/>
              <w:left w:type="dxa" w:w="80"/>
              <w:bottom w:type="dxa" w:w="60"/>
              <w:right w:type="dxa" w:w="80"/>
            </w:tcMar>
          </w:tcPr>
          <w:p>
            <w:r>
              <w:rPr>
                <w:b w:val="false"/>
                <w:bCs w:val="false"/>
                <w:sz w:val="17"/>
                <w:szCs w:val="17"/>
              </w:rPr>
              <w:t xml:space="preserve">Traceability</w:t>
            </w:r>
          </w:p>
        </w:tc>
        <w:tc>
          <w:tcPr>
            <w:shd w:fill="EFF3F7" w:val="clear"/>
            <w:tcMar>
              <w:top w:type="dxa" w:w="60"/>
              <w:left w:type="dxa" w:w="80"/>
              <w:bottom w:type="dxa" w:w="60"/>
              <w:right w:type="dxa" w:w="80"/>
            </w:tcMar>
          </w:tcPr>
          <w:p>
            <w:r>
              <w:rPr>
                <w:b w:val="false"/>
                <w:bCs w:val="false"/>
                <w:sz w:val="17"/>
                <w:szCs w:val="17"/>
              </w:rPr>
              <w:t xml:space="preserve">Defined</w:t>
            </w:r>
          </w:p>
        </w:tc>
        <w:tc>
          <w:tcPr>
            <w:shd w:fill="EFF3F7" w:val="clear"/>
            <w:tcMar>
              <w:top w:type="dxa" w:w="60"/>
              <w:left w:type="dxa" w:w="80"/>
              <w:bottom w:type="dxa" w:w="60"/>
              <w:right w:type="dxa" w:w="80"/>
            </w:tcMar>
          </w:tcPr>
          <w:p>
            <w:r>
              <w:rPr>
                <w:b w:val="false"/>
                <w:bCs w:val="false"/>
                <w:sz w:val="17"/>
                <w:szCs w:val="17"/>
              </w:rPr>
              <w:t xml:space="preserve">Every ADR cites specific Phase A.1 evidence with file-level references (Phase A.2 §10, 70/100).</w:t>
            </w:r>
          </w:p>
        </w:tc>
      </w:tr>
      <w:tr>
        <w:tc>
          <w:tcPr>
            <w:tcMar>
              <w:top w:type="dxa" w:w="60"/>
              <w:left w:type="dxa" w:w="80"/>
              <w:bottom w:type="dxa" w:w="60"/>
              <w:right w:type="dxa" w:w="80"/>
            </w:tcMar>
          </w:tcPr>
          <w:p>
            <w:r>
              <w:rPr>
                <w:b w:val="false"/>
                <w:bCs w:val="false"/>
                <w:sz w:val="17"/>
                <w:szCs w:val="17"/>
              </w:rPr>
              <w:t xml:space="preserve">Architecture Quality</w:t>
            </w:r>
          </w:p>
        </w:tc>
        <w:tc>
          <w:tcPr>
            <w:tcMar>
              <w:top w:type="dxa" w:w="60"/>
              <w:left w:type="dxa" w:w="80"/>
              <w:bottom w:type="dxa" w:w="60"/>
              <w:right w:type="dxa" w:w="80"/>
            </w:tcMar>
          </w:tcPr>
          <w:p>
            <w:r>
              <w:rPr>
                <w:b w:val="false"/>
                <w:bCs w:val="false"/>
                <w:sz w:val="17"/>
                <w:szCs w:val="17"/>
              </w:rPr>
              <w:t xml:space="preserve">Managed</w:t>
            </w:r>
          </w:p>
        </w:tc>
        <w:tc>
          <w:tcPr>
            <w:tcMar>
              <w:top w:type="dxa" w:w="60"/>
              <w:left w:type="dxa" w:w="80"/>
              <w:bottom w:type="dxa" w:w="60"/>
              <w:right w:type="dxa" w:w="80"/>
            </w:tcMar>
          </w:tcPr>
          <w:p>
            <w:r>
              <w:rPr>
                <w:b w:val="false"/>
                <w:bCs w:val="false"/>
                <w:sz w:val="17"/>
                <w:szCs w:val="17"/>
              </w:rPr>
              <w:t xml:space="preserve">Consistent engineering conventions (UUID PKs, timestamptz, enums, constraints) applied across independently-built tables (Phase A.1 §15).</w:t>
            </w:r>
          </w:p>
        </w:tc>
      </w:tr>
      <w:tr>
        <w:tc>
          <w:tcPr>
            <w:shd w:fill="EFF3F7" w:val="clear"/>
            <w:tcMar>
              <w:top w:type="dxa" w:w="60"/>
              <w:left w:type="dxa" w:w="80"/>
              <w:bottom w:type="dxa" w:w="60"/>
              <w:right w:type="dxa" w:w="80"/>
            </w:tcMar>
          </w:tcPr>
          <w:p>
            <w:r>
              <w:rPr>
                <w:b w:val="false"/>
                <w:bCs w:val="false"/>
                <w:sz w:val="17"/>
                <w:szCs w:val="17"/>
              </w:rPr>
              <w:t xml:space="preserve">Implementation Alignment</w:t>
            </w:r>
          </w:p>
        </w:tc>
        <w:tc>
          <w:tcPr>
            <w:shd w:fill="EFF3F7" w:val="clear"/>
            <w:tcMar>
              <w:top w:type="dxa" w:w="60"/>
              <w:left w:type="dxa" w:w="80"/>
              <w:bottom w:type="dxa" w:w="60"/>
              <w:right w:type="dxa" w:w="80"/>
            </w:tcMar>
          </w:tcPr>
          <w:p>
            <w:r>
              <w:rPr>
                <w:b w:val="false"/>
                <w:bCs w:val="false"/>
                <w:sz w:val="17"/>
                <w:szCs w:val="17"/>
              </w:rPr>
              <w:t xml:space="preserve">Initial</w:t>
            </w:r>
          </w:p>
        </w:tc>
        <w:tc>
          <w:tcPr>
            <w:shd w:fill="EFF3F7" w:val="clear"/>
            <w:tcMar>
              <w:top w:type="dxa" w:w="60"/>
              <w:left w:type="dxa" w:w="80"/>
              <w:bottom w:type="dxa" w:w="60"/>
              <w:right w:type="dxa" w:w="80"/>
            </w:tcMar>
          </w:tcPr>
          <w:p>
            <w:r>
              <w:rPr>
                <w:b w:val="false"/>
                <w:bCs w:val="false"/>
                <w:sz w:val="17"/>
                <w:szCs w:val="17"/>
              </w:rPr>
              <w:t xml:space="preserve">No process exists to check that architecture documents match what gets built; this assessment is the first such check found (Phase A.1 §15).</w:t>
            </w:r>
          </w:p>
        </w:tc>
      </w:tr>
      <w:tr>
        <w:tc>
          <w:tcPr>
            <w:tcMar>
              <w:top w:type="dxa" w:w="60"/>
              <w:left w:type="dxa" w:w="80"/>
              <w:bottom w:type="dxa" w:w="60"/>
              <w:right w:type="dxa" w:w="80"/>
            </w:tcMar>
          </w:tcPr>
          <w:p>
            <w:r>
              <w:rPr>
                <w:b w:val="false"/>
                <w:bCs w:val="false"/>
                <w:sz w:val="17"/>
                <w:szCs w:val="17"/>
              </w:rPr>
              <w:t xml:space="preserve">Documentation</w:t>
            </w:r>
          </w:p>
        </w:tc>
        <w:tc>
          <w:tcPr>
            <w:tcMar>
              <w:top w:type="dxa" w:w="60"/>
              <w:left w:type="dxa" w:w="80"/>
              <w:bottom w:type="dxa" w:w="60"/>
              <w:right w:type="dxa" w:w="80"/>
            </w:tcMar>
          </w:tcPr>
          <w:p>
            <w:r>
              <w:rPr>
                <w:b w:val="false"/>
                <w:bCs w:val="false"/>
                <w:sz w:val="17"/>
                <w:szCs w:val="17"/>
              </w:rPr>
              <w:t xml:space="preserve">Initial</w:t>
            </w:r>
          </w:p>
        </w:tc>
        <w:tc>
          <w:tcPr>
            <w:tcMar>
              <w:top w:type="dxa" w:w="60"/>
              <w:left w:type="dxa" w:w="80"/>
              <w:bottom w:type="dxa" w:w="60"/>
              <w:right w:type="dxa" w:w="80"/>
            </w:tcMar>
          </w:tcPr>
          <w:p>
            <w:r>
              <w:rPr>
                <w:b w:val="false"/>
                <w:bCs w:val="false"/>
                <w:sz w:val="17"/>
                <w:szCs w:val="17"/>
              </w:rPr>
              <w:t xml:space="preserve">Rich documentation exists but is not synchronized with implementation; volume is not maturity (Phase A.1 §15; Phase A.2 §10, 30/100).</w:t>
            </w:r>
          </w:p>
        </w:tc>
      </w:tr>
      <w:tr>
        <w:tc>
          <w:tcPr>
            <w:shd w:fill="EFF3F7" w:val="clear"/>
            <w:tcMar>
              <w:top w:type="dxa" w:w="60"/>
              <w:left w:type="dxa" w:w="80"/>
              <w:bottom w:type="dxa" w:w="60"/>
              <w:right w:type="dxa" w:w="80"/>
            </w:tcMar>
          </w:tcPr>
          <w:p>
            <w:r>
              <w:rPr>
                <w:b w:val="false"/>
                <w:bCs w:val="false"/>
                <w:sz w:val="17"/>
                <w:szCs w:val="17"/>
              </w:rPr>
              <w:t xml:space="preserve">Technical Debt Management</w:t>
            </w:r>
          </w:p>
        </w:tc>
        <w:tc>
          <w:tcPr>
            <w:shd w:fill="EFF3F7" w:val="clear"/>
            <w:tcMar>
              <w:top w:type="dxa" w:w="60"/>
              <w:left w:type="dxa" w:w="80"/>
              <w:bottom w:type="dxa" w:w="60"/>
              <w:right w:type="dxa" w:w="80"/>
            </w:tcMar>
          </w:tcPr>
          <w:p>
            <w:r>
              <w:rPr>
                <w:b w:val="false"/>
                <w:bCs w:val="false"/>
                <w:sz w:val="17"/>
                <w:szCs w:val="17"/>
              </w:rPr>
              <w:t xml:space="preserve">Managed</w:t>
            </w:r>
          </w:p>
        </w:tc>
        <w:tc>
          <w:tcPr>
            <w:shd w:fill="EFF3F7" w:val="clear"/>
            <w:tcMar>
              <w:top w:type="dxa" w:w="60"/>
              <w:left w:type="dxa" w:w="80"/>
              <w:bottom w:type="dxa" w:w="60"/>
              <w:right w:type="dxa" w:w="80"/>
            </w:tcMar>
          </w:tcPr>
          <w:p>
            <w:r>
              <w:rPr>
                <w:b w:val="false"/>
                <w:bCs w:val="false"/>
                <w:sz w:val="17"/>
                <w:szCs w:val="17"/>
              </w:rPr>
              <w:t xml:space="preserve">Debt is now classified and disposition-assigned (Phase A.2 §8), but every owner field is unassigned — capping this below Defined.</w:t>
            </w:r>
          </w:p>
        </w:tc>
      </w:tr>
      <w:tr>
        <w:tc>
          <w:tcPr>
            <w:tcMar>
              <w:top w:type="dxa" w:w="60"/>
              <w:left w:type="dxa" w:w="80"/>
              <w:bottom w:type="dxa" w:w="60"/>
              <w:right w:type="dxa" w:w="80"/>
            </w:tcMar>
          </w:tcPr>
          <w:p>
            <w:r>
              <w:rPr>
                <w:b w:val="false"/>
                <w:bCs w:val="false"/>
                <w:sz w:val="17"/>
                <w:szCs w:val="17"/>
              </w:rPr>
              <w:t xml:space="preserve">Decision Management</w:t>
            </w:r>
          </w:p>
        </w:tc>
        <w:tc>
          <w:tcPr>
            <w:tcMar>
              <w:top w:type="dxa" w:w="60"/>
              <w:left w:type="dxa" w:w="80"/>
              <w:bottom w:type="dxa" w:w="60"/>
              <w:right w:type="dxa" w:w="80"/>
            </w:tcMar>
          </w:tcPr>
          <w:p>
            <w:r>
              <w:rPr>
                <w:b w:val="false"/>
                <w:bCs w:val="false"/>
                <w:sz w:val="17"/>
                <w:szCs w:val="17"/>
              </w:rPr>
              <w:t xml:space="preserve">Defined</w:t>
            </w:r>
          </w:p>
        </w:tc>
        <w:tc>
          <w:tcPr>
            <w:tcMar>
              <w:top w:type="dxa" w:w="60"/>
              <w:left w:type="dxa" w:w="80"/>
              <w:bottom w:type="dxa" w:w="60"/>
              <w:right w:type="dxa" w:w="80"/>
            </w:tcMar>
          </w:tcPr>
          <w:p>
            <w:r>
              <w:rPr>
                <w:b w:val="false"/>
                <w:bCs w:val="false"/>
                <w:sz w:val="17"/>
                <w:szCs w:val="17"/>
              </w:rPr>
              <w:t xml:space="preserve">A formal, repeatable disposition method (Business/Architectural/Technical Value, Risk, five-way disposition) was applied consistently across all seven gaps (Phase A.2 §2–3).</w:t>
            </w:r>
          </w:p>
        </w:tc>
      </w:tr>
      <w:tr>
        <w:tc>
          <w:tcPr>
            <w:shd w:fill="EFF3F7" w:val="clear"/>
            <w:tcMar>
              <w:top w:type="dxa" w:w="60"/>
              <w:left w:type="dxa" w:w="80"/>
              <w:bottom w:type="dxa" w:w="60"/>
              <w:right w:type="dxa" w:w="80"/>
            </w:tcMar>
          </w:tcPr>
          <w:p>
            <w:r>
              <w:rPr>
                <w:b w:val="false"/>
                <w:bCs w:val="false"/>
                <w:sz w:val="17"/>
                <w:szCs w:val="17"/>
              </w:rPr>
              <w:t xml:space="preserve">Delivery Readiness</w:t>
            </w:r>
          </w:p>
        </w:tc>
        <w:tc>
          <w:tcPr>
            <w:shd w:fill="EFF3F7" w:val="clear"/>
            <w:tcMar>
              <w:top w:type="dxa" w:w="60"/>
              <w:left w:type="dxa" w:w="80"/>
              <w:bottom w:type="dxa" w:w="60"/>
              <w:right w:type="dxa" w:w="80"/>
            </w:tcMar>
          </w:tcPr>
          <w:p>
            <w:r>
              <w:rPr>
                <w:b w:val="false"/>
                <w:bCs w:val="false"/>
                <w:sz w:val="17"/>
                <w:szCs w:val="17"/>
              </w:rPr>
              <w:t xml:space="preserve">Initial</w:t>
            </w:r>
          </w:p>
        </w:tc>
        <w:tc>
          <w:tcPr>
            <w:shd w:fill="EFF3F7" w:val="clear"/>
            <w:tcMar>
              <w:top w:type="dxa" w:w="60"/>
              <w:left w:type="dxa" w:w="80"/>
              <w:bottom w:type="dxa" w:w="60"/>
              <w:right w:type="dxa" w:w="80"/>
            </w:tcMar>
          </w:tcPr>
          <w:p>
            <w:r>
              <w:rPr>
                <w:b w:val="false"/>
                <w:bCs w:val="false"/>
                <w:sz w:val="17"/>
                <w:szCs w:val="17"/>
              </w:rPr>
              <w:t xml:space="preserve">No named owners exist to execute any decision, and neither WP-0001 nor WP-0002 has started (Phase A.2 §12).</w:t>
            </w:r>
          </w:p>
        </w:tc>
      </w:tr>
    </w:tbl>
    <w:p>
      <w:r>
        <w:br w:type="page"/>
      </w:r>
    </w:p>
    <w:p>
      <w:pPr>
        <w:pStyle w:val="Heading1"/>
        <w:spacing w:after="120" w:before="300"/>
      </w:pPr>
      <w:r>
        <w:t xml:space="preserve">13. Enterprise Implementation Baseline</w:t>
      </w:r>
    </w:p>
    <w:p>
      <w:pPr>
        <w:spacing w:after="120"/>
      </w:pPr>
      <w:r>
        <w:rPr>
          <w:sz w:val="20"/>
          <w:szCs w:val="20"/>
        </w:rPr>
        <w:t xml:space="preserve">Summary only — full detail is in Phase A.1, not duplicated here.</w:t>
      </w:r>
    </w:p>
    <w:p>
      <w:pPr>
        <w:pStyle w:val="Heading2"/>
        <w:spacing w:after="100" w:before="220"/>
      </w:pPr>
      <w:r>
        <w:t xml:space="preserve">Current State</w:t>
      </w:r>
    </w:p>
    <w:p>
      <w:pPr>
        <w:spacing w:after="120"/>
      </w:pPr>
      <w:r>
        <w:rPr>
          <w:sz w:val="20"/>
          <w:szCs w:val="20"/>
        </w:rPr>
        <w:t xml:space="preserve">An independently-engineered, single-schema (public) student-academic data model with sound physical-layer discipline (UUID PKs, timestamptz, RLS on core tables, enums, constraints) but structurally divergent from EEP-01 Phase A's named design at almost every point checked.</w:t>
      </w:r>
    </w:p>
    <w:p>
      <w:pPr>
        <w:pStyle w:val="Heading2"/>
        <w:spacing w:after="100" w:before="220"/>
      </w:pPr>
      <w:r>
        <w:t xml:space="preserve">Approved Target</w:t>
      </w:r>
    </w:p>
    <w:p>
      <w:pPr>
        <w:spacing w:after="120"/>
      </w:pPr>
      <w:r>
        <w:rPr>
          <w:sz w:val="20"/>
          <w:szCs w:val="20"/>
        </w:rPr>
        <w:t xml:space="preserve">The live schema, once formally documented via WP-0001, becomes the canonical target (EGD-0002). No database migration to Phase A's original design is planned or required.</w:t>
      </w:r>
    </w:p>
    <w:p>
      <w:pPr>
        <w:pStyle w:val="Heading2"/>
        <w:spacing w:after="100" w:before="220"/>
      </w:pPr>
      <w:r>
        <w:t xml:space="preserve">Approved Variances</w:t>
      </w:r>
    </w:p>
    <w:p>
      <w:pPr>
        <w:spacing w:after="120"/>
      </w:pPr>
      <w:r>
        <w:rPr>
          <w:sz w:val="20"/>
          <w:szCs w:val="20"/>
        </w:rPr>
        <w:t xml:space="preserve">Four (VAR-01–04, §6) — schema non-isolation, structural divergence, direct-FK taxonomy references, and absence of partitioning.</w:t>
      </w:r>
    </w:p>
    <w:p>
      <w:pPr>
        <w:pStyle w:val="Heading2"/>
        <w:spacing w:after="100" w:before="220"/>
      </w:pPr>
      <w:r>
        <w:t xml:space="preserve">Implementation Gaps</w:t>
      </w:r>
    </w:p>
    <w:p>
      <w:pPr>
        <w:spacing w:after="120"/>
      </w:pPr>
      <w:r>
        <w:rPr>
          <w:sz w:val="20"/>
          <w:szCs w:val="20"/>
        </w:rPr>
        <w:t xml:space="preserve">One open, unverified item: RLS coverage on activity/cognitive/signal-vector tables (AR-0007), closed by WP-0002. No other gap in this baseline is unresolved — all are dispositioned Deferred, Accepted, or Superseded with an explicit trigger.</w:t>
      </w:r>
    </w:p>
    <w:p>
      <w:pPr>
        <w:pStyle w:val="Heading2"/>
        <w:spacing w:after="100" w:before="220"/>
      </w:pPr>
      <w:r>
        <w:t xml:space="preserve">Future Work</w:t>
      </w:r>
    </w:p>
    <w:p>
      <w:pPr>
        <w:spacing w:after="120"/>
      </w:pPr>
      <w:r>
        <w:rPr>
          <w:sz w:val="20"/>
          <w:szCs w:val="20"/>
        </w:rPr>
        <w:t xml:space="preserve">Partitioning (AR-0004), qualification/selection separation (AR-0005), and the supersession model (AR-0006) — all trigger-gated, none scheduled to calendar.</w:t>
      </w:r>
    </w:p>
    <w:p>
      <w:r>
        <w:br w:type="page"/>
      </w:r>
    </w:p>
    <w:p>
      <w:pPr>
        <w:pStyle w:val="Heading1"/>
        <w:spacing w:after="120" w:before="300"/>
      </w:pPr>
      <w:r>
        <w:t xml:space="preserve">14. Executive Enterprise Baseline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2A44" w:val="clear"/>
            <w:tcMar>
              <w:top w:type="dxa" w:w="60"/>
              <w:left w:type="dxa" w:w="80"/>
              <w:bottom w:type="dxa" w:w="60"/>
              <w:right w:type="dxa" w:w="80"/>
            </w:tcMar>
          </w:tcPr>
          <w:p>
            <w:r>
              <w:rPr>
                <w:b/>
                <w:bCs/>
                <w:color w:val="FFFFFF"/>
                <w:sz w:val="17"/>
                <w:szCs w:val="17"/>
              </w:rPr>
              <w:t xml:space="preserve">Metric</w:t>
            </w:r>
          </w:p>
        </w:tc>
        <w:tc>
          <w:tcPr>
            <w:shd w:fill="1F2A44" w:val="clear"/>
            <w:tcMar>
              <w:top w:type="dxa" w:w="60"/>
              <w:left w:type="dxa" w:w="80"/>
              <w:bottom w:type="dxa" w:w="60"/>
              <w:right w:type="dxa" w:w="80"/>
            </w:tcMar>
          </w:tcPr>
          <w:p>
            <w:r>
              <w:rPr>
                <w:b/>
                <w:bCs/>
                <w:color w:val="FFFFFF"/>
                <w:sz w:val="17"/>
                <w:szCs w:val="17"/>
              </w:rPr>
              <w:t xml:space="preserve">Value</w:t>
            </w:r>
          </w:p>
        </w:tc>
      </w:tr>
      <w:tr>
        <w:tc>
          <w:tcPr>
            <w:tcMar>
              <w:top w:type="dxa" w:w="60"/>
              <w:left w:type="dxa" w:w="80"/>
              <w:bottom w:type="dxa" w:w="60"/>
              <w:right w:type="dxa" w:w="80"/>
            </w:tcMar>
          </w:tcPr>
          <w:p>
            <w:r>
              <w:rPr>
                <w:b w:val="false"/>
                <w:bCs w:val="false"/>
                <w:sz w:val="17"/>
                <w:szCs w:val="17"/>
              </w:rPr>
              <w:t xml:space="preserve">Architecture Requirements — Implemented / Conformant</w:t>
            </w:r>
          </w:p>
        </w:tc>
        <w:tc>
          <w:tcPr>
            <w:tcMar>
              <w:top w:type="dxa" w:w="60"/>
              <w:left w:type="dxa" w:w="80"/>
              <w:bottom w:type="dxa" w:w="60"/>
              <w:right w:type="dxa" w:w="80"/>
            </w:tcMar>
          </w:tcPr>
          <w:p>
            <w:r>
              <w:rPr>
                <w:b w:val="false"/>
                <w:bCs w:val="false"/>
                <w:sz w:val="17"/>
                <w:szCs w:val="17"/>
              </w:rPr>
              <w:t xml:space="preserve">3 of 10 (AR-0008, AR-0009, AR-0010)</w:t>
            </w:r>
          </w:p>
        </w:tc>
      </w:tr>
      <w:tr>
        <w:tc>
          <w:tcPr>
            <w:shd w:fill="EFF3F7" w:val="clear"/>
            <w:tcMar>
              <w:top w:type="dxa" w:w="60"/>
              <w:left w:type="dxa" w:w="80"/>
              <w:bottom w:type="dxa" w:w="60"/>
              <w:right w:type="dxa" w:w="80"/>
            </w:tcMar>
          </w:tcPr>
          <w:p>
            <w:r>
              <w:rPr>
                <w:b w:val="false"/>
                <w:bCs w:val="false"/>
                <w:sz w:val="17"/>
                <w:szCs w:val="17"/>
              </w:rPr>
              <w:t xml:space="preserve">Architecture Requirements — Accepted (conditionally or standing)</w:t>
            </w:r>
          </w:p>
        </w:tc>
        <w:tc>
          <w:tcPr>
            <w:shd w:fill="EFF3F7" w:val="clear"/>
            <w:tcMar>
              <w:top w:type="dxa" w:w="60"/>
              <w:left w:type="dxa" w:w="80"/>
              <w:bottom w:type="dxa" w:w="60"/>
              <w:right w:type="dxa" w:w="80"/>
            </w:tcMar>
          </w:tcPr>
          <w:p>
            <w:r>
              <w:rPr>
                <w:b w:val="false"/>
                <w:bCs w:val="false"/>
                <w:sz w:val="17"/>
                <w:szCs w:val="17"/>
              </w:rPr>
              <w:t xml:space="preserve">4 of 10 (AR-0003, AR-0008, AR-0009, AR-0010)</w:t>
            </w:r>
          </w:p>
        </w:tc>
      </w:tr>
      <w:tr>
        <w:tc>
          <w:tcPr>
            <w:tcMar>
              <w:top w:type="dxa" w:w="60"/>
              <w:left w:type="dxa" w:w="80"/>
              <w:bottom w:type="dxa" w:w="60"/>
              <w:right w:type="dxa" w:w="80"/>
            </w:tcMar>
          </w:tcPr>
          <w:p>
            <w:r>
              <w:rPr>
                <w:b w:val="false"/>
                <w:bCs w:val="false"/>
                <w:sz w:val="17"/>
                <w:szCs w:val="17"/>
              </w:rPr>
              <w:t xml:space="preserve">Architecture Requirements — Deferred</w:t>
            </w:r>
          </w:p>
        </w:tc>
        <w:tc>
          <w:tcPr>
            <w:tcMar>
              <w:top w:type="dxa" w:w="60"/>
              <w:left w:type="dxa" w:w="80"/>
              <w:bottom w:type="dxa" w:w="60"/>
              <w:right w:type="dxa" w:w="80"/>
            </w:tcMar>
          </w:tcPr>
          <w:p>
            <w:r>
              <w:rPr>
                <w:b w:val="false"/>
                <w:bCs w:val="false"/>
                <w:sz w:val="17"/>
                <w:szCs w:val="17"/>
              </w:rPr>
              <w:t xml:space="preserve">4 of 10 (AR-0001, AR-0004, AR-0005, AR-0006)</w:t>
            </w:r>
          </w:p>
        </w:tc>
      </w:tr>
      <w:tr>
        <w:tc>
          <w:tcPr>
            <w:shd w:fill="EFF3F7" w:val="clear"/>
            <w:tcMar>
              <w:top w:type="dxa" w:w="60"/>
              <w:left w:type="dxa" w:w="80"/>
              <w:bottom w:type="dxa" w:w="60"/>
              <w:right w:type="dxa" w:w="80"/>
            </w:tcMar>
          </w:tcPr>
          <w:p>
            <w:r>
              <w:rPr>
                <w:b w:val="false"/>
                <w:bCs w:val="false"/>
                <w:sz w:val="17"/>
                <w:szCs w:val="17"/>
              </w:rPr>
              <w:t xml:space="preserve">Architecture Requirements — Pending Realization</w:t>
            </w:r>
          </w:p>
        </w:tc>
        <w:tc>
          <w:tcPr>
            <w:shd w:fill="EFF3F7" w:val="clear"/>
            <w:tcMar>
              <w:top w:type="dxa" w:w="60"/>
              <w:left w:type="dxa" w:w="80"/>
              <w:bottom w:type="dxa" w:w="60"/>
              <w:right w:type="dxa" w:w="80"/>
            </w:tcMar>
          </w:tcPr>
          <w:p>
            <w:r>
              <w:rPr>
                <w:b w:val="false"/>
                <w:bCs w:val="false"/>
                <w:sz w:val="17"/>
                <w:szCs w:val="17"/>
              </w:rPr>
              <w:t xml:space="preserve">1 of 10 (AR-0007, in progress via WP-0002)</w:t>
            </w:r>
          </w:p>
        </w:tc>
      </w:tr>
      <w:tr>
        <w:tc>
          <w:tcPr>
            <w:tcMar>
              <w:top w:type="dxa" w:w="60"/>
              <w:left w:type="dxa" w:w="80"/>
              <w:bottom w:type="dxa" w:w="60"/>
              <w:right w:type="dxa" w:w="80"/>
            </w:tcMar>
          </w:tcPr>
          <w:p>
            <w:r>
              <w:rPr>
                <w:b w:val="false"/>
                <w:bCs w:val="false"/>
                <w:sz w:val="17"/>
                <w:szCs w:val="17"/>
              </w:rPr>
              <w:t xml:space="preserve">Architecture Risk</w:t>
            </w:r>
          </w:p>
        </w:tc>
        <w:tc>
          <w:tcPr>
            <w:tcMar>
              <w:top w:type="dxa" w:w="60"/>
              <w:left w:type="dxa" w:w="80"/>
              <w:bottom w:type="dxa" w:w="60"/>
              <w:right w:type="dxa" w:w="80"/>
            </w:tcMar>
          </w:tcPr>
          <w:p>
            <w:r>
              <w:rPr>
                <w:b w:val="false"/>
                <w:bCs w:val="false"/>
                <w:sz w:val="17"/>
                <w:szCs w:val="17"/>
              </w:rPr>
              <w:t xml:space="preserve">Documentation/maintainability risk rated High in Phase A.1 §13 — the dominant risk in this baseline, directly addressed by WP-0001</w:t>
            </w:r>
          </w:p>
        </w:tc>
      </w:tr>
      <w:tr>
        <w:tc>
          <w:tcPr>
            <w:shd w:fill="EFF3F7" w:val="clear"/>
            <w:tcMar>
              <w:top w:type="dxa" w:w="60"/>
              <w:left w:type="dxa" w:w="80"/>
              <w:bottom w:type="dxa" w:w="60"/>
              <w:right w:type="dxa" w:w="80"/>
            </w:tcMar>
          </w:tcPr>
          <w:p>
            <w:r>
              <w:rPr>
                <w:b w:val="false"/>
                <w:bCs w:val="false"/>
                <w:sz w:val="17"/>
                <w:szCs w:val="17"/>
              </w:rPr>
              <w:t xml:space="preserve">Technical Debt</w:t>
            </w:r>
          </w:p>
        </w:tc>
        <w:tc>
          <w:tcPr>
            <w:shd w:fill="EFF3F7" w:val="clear"/>
            <w:tcMar>
              <w:top w:type="dxa" w:w="60"/>
              <w:left w:type="dxa" w:w="80"/>
              <w:bottom w:type="dxa" w:w="60"/>
              <w:right w:type="dxa" w:w="80"/>
            </w:tcMar>
          </w:tcPr>
          <w:p>
            <w:r>
              <w:rPr>
                <w:b w:val="false"/>
                <w:bCs w:val="false"/>
                <w:sz w:val="17"/>
                <w:szCs w:val="17"/>
              </w:rPr>
              <w:t xml:space="preserve">1 Critical (until WP-0002 verified) / 1 Strategic / 1 Tactical / 1 Acceptable-conditional (Phase A.2 §8)</w:t>
            </w:r>
          </w:p>
        </w:tc>
      </w:tr>
      <w:tr>
        <w:tc>
          <w:tcPr>
            <w:tcMar>
              <w:top w:type="dxa" w:w="60"/>
              <w:left w:type="dxa" w:w="80"/>
              <w:bottom w:type="dxa" w:w="60"/>
              <w:right w:type="dxa" w:w="80"/>
            </w:tcMar>
          </w:tcPr>
          <w:p>
            <w:r>
              <w:rPr>
                <w:b w:val="false"/>
                <w:bCs w:val="false"/>
                <w:sz w:val="17"/>
                <w:szCs w:val="17"/>
              </w:rPr>
              <w:t xml:space="preserve">Work Package Readiness</w:t>
            </w:r>
          </w:p>
        </w:tc>
        <w:tc>
          <w:tcPr>
            <w:tcMar>
              <w:top w:type="dxa" w:w="60"/>
              <w:left w:type="dxa" w:w="80"/>
              <w:bottom w:type="dxa" w:w="60"/>
              <w:right w:type="dxa" w:w="80"/>
            </w:tcMar>
          </w:tcPr>
          <w:p>
            <w:r>
              <w:rPr>
                <w:b w:val="false"/>
                <w:bCs w:val="false"/>
                <w:sz w:val="17"/>
                <w:szCs w:val="17"/>
              </w:rPr>
              <w:t xml:space="preserve">6 defined (WP-0001–0006); 2 startable immediately (WP-0002, WP-0006) with no blocking dependency</w:t>
            </w:r>
          </w:p>
        </w:tc>
      </w:tr>
      <w:tr>
        <w:tc>
          <w:tcPr>
            <w:shd w:fill="EFF3F7" w:val="clear"/>
            <w:tcMar>
              <w:top w:type="dxa" w:w="60"/>
              <w:left w:type="dxa" w:w="80"/>
              <w:bottom w:type="dxa" w:w="60"/>
              <w:right w:type="dxa" w:w="80"/>
            </w:tcMar>
          </w:tcPr>
          <w:p>
            <w:r>
              <w:rPr>
                <w:b w:val="false"/>
                <w:bCs w:val="false"/>
                <w:sz w:val="17"/>
                <w:szCs w:val="17"/>
              </w:rPr>
              <w:t xml:space="preserve">Governance Status</w:t>
            </w:r>
          </w:p>
        </w:tc>
        <w:tc>
          <w:tcPr>
            <w:shd w:fill="EFF3F7" w:val="clear"/>
            <w:tcMar>
              <w:top w:type="dxa" w:w="60"/>
              <w:left w:type="dxa" w:w="80"/>
              <w:bottom w:type="dxa" w:w="60"/>
              <w:right w:type="dxa" w:w="80"/>
            </w:tcMar>
          </w:tcPr>
          <w:p>
            <w:r>
              <w:rPr>
                <w:b w:val="false"/>
                <w:bCs w:val="false"/>
                <w:sz w:val="17"/>
                <w:szCs w:val="17"/>
              </w:rPr>
              <w:t xml:space="preserve">Overall Enterprise Governance Score 48/100 (Phase A.2 §10) — framework established, execution not yet started</w:t>
            </w:r>
          </w:p>
        </w:tc>
      </w:tr>
      <w:tr>
        <w:tc>
          <w:tcPr>
            <w:tcMar>
              <w:top w:type="dxa" w:w="60"/>
              <w:left w:type="dxa" w:w="80"/>
              <w:bottom w:type="dxa" w:w="60"/>
              <w:right w:type="dxa" w:w="80"/>
            </w:tcMar>
          </w:tcPr>
          <w:p>
            <w:r>
              <w:rPr>
                <w:b w:val="false"/>
                <w:bCs w:val="false"/>
                <w:sz w:val="17"/>
                <w:szCs w:val="17"/>
              </w:rPr>
              <w:t xml:space="preserve">Implementation Readiness</w:t>
            </w:r>
          </w:p>
        </w:tc>
        <w:tc>
          <w:tcPr>
            <w:tcMar>
              <w:top w:type="dxa" w:w="60"/>
              <w:left w:type="dxa" w:w="80"/>
              <w:bottom w:type="dxa" w:w="60"/>
              <w:right w:type="dxa" w:w="80"/>
            </w:tcMar>
          </w:tcPr>
          <w:p>
            <w:r>
              <w:rPr>
                <w:b w:val="false"/>
                <w:bCs w:val="false"/>
                <w:sz w:val="17"/>
                <w:szCs w:val="17"/>
              </w:rPr>
              <w:t xml:space="preserve">Blocked on WP-0006 (ownership assignment) as the stated precondition for every other item being executable</w:t>
            </w:r>
          </w:p>
        </w:tc>
      </w:tr>
      <w:tr>
        <w:tc>
          <w:tcPr>
            <w:shd w:fill="EFF3F7" w:val="clear"/>
            <w:tcMar>
              <w:top w:type="dxa" w:w="60"/>
              <w:left w:type="dxa" w:w="80"/>
              <w:bottom w:type="dxa" w:w="60"/>
              <w:right w:type="dxa" w:w="80"/>
            </w:tcMar>
          </w:tcPr>
          <w:p>
            <w:r>
              <w:rPr>
                <w:b w:val="false"/>
                <w:bCs w:val="false"/>
                <w:sz w:val="17"/>
                <w:szCs w:val="17"/>
              </w:rPr>
              <w:t xml:space="preserve">Certification Readiness</w:t>
            </w:r>
          </w:p>
        </w:tc>
        <w:tc>
          <w:tcPr>
            <w:shd w:fill="EFF3F7" w:val="clear"/>
            <w:tcMar>
              <w:top w:type="dxa" w:w="60"/>
              <w:left w:type="dxa" w:w="80"/>
              <w:bottom w:type="dxa" w:w="60"/>
              <w:right w:type="dxa" w:w="80"/>
            </w:tcMar>
          </w:tcPr>
          <w:p>
            <w:r>
              <w:rPr>
                <w:b w:val="false"/>
                <w:bCs w:val="false"/>
                <w:sz w:val="17"/>
                <w:szCs w:val="17"/>
              </w:rPr>
              <w:t xml:space="preserve">L1–L3 met by this document; L4–L5 pending WP-0001 and WP-0002</w:t>
            </w:r>
          </w:p>
        </w:tc>
      </w:tr>
    </w:tbl>
    <w:p>
      <w:r>
        <w:br w:type="page"/>
      </w:r>
    </w:p>
    <w:p>
      <w:pPr>
        <w:pStyle w:val="Heading1"/>
        <w:spacing w:after="120" w:before="300"/>
      </w:pPr>
      <w:r>
        <w:t xml:space="preserve">15. ERP Phase Readiness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2A44" w:val="clear"/>
            <w:tcMar>
              <w:top w:type="dxa" w:w="60"/>
              <w:left w:type="dxa" w:w="80"/>
              <w:bottom w:type="dxa" w:w="60"/>
              <w:right w:type="dxa" w:w="80"/>
            </w:tcMar>
          </w:tcPr>
          <w:p>
            <w:r>
              <w:rPr>
                <w:b/>
                <w:bCs/>
                <w:color w:val="FFFFFF"/>
                <w:sz w:val="17"/>
                <w:szCs w:val="17"/>
              </w:rPr>
              <w:t xml:space="preserve">Dimension</w:t>
            </w:r>
          </w:p>
        </w:tc>
        <w:tc>
          <w:tcPr>
            <w:shd w:fill="1F2A44" w:val="clear"/>
            <w:tcMar>
              <w:top w:type="dxa" w:w="60"/>
              <w:left w:type="dxa" w:w="80"/>
              <w:bottom w:type="dxa" w:w="60"/>
              <w:right w:type="dxa" w:w="80"/>
            </w:tcMar>
          </w:tcPr>
          <w:p>
            <w:r>
              <w:rPr>
                <w:b/>
                <w:bCs/>
                <w:color w:val="FFFFFF"/>
                <w:sz w:val="17"/>
                <w:szCs w:val="17"/>
              </w:rPr>
              <w:t xml:space="preserve">Assessment</w:t>
            </w:r>
          </w:p>
        </w:tc>
      </w:tr>
      <w:tr>
        <w:tc>
          <w:tcPr>
            <w:tcMar>
              <w:top w:type="dxa" w:w="60"/>
              <w:left w:type="dxa" w:w="80"/>
              <w:bottom w:type="dxa" w:w="60"/>
              <w:right w:type="dxa" w:w="80"/>
            </w:tcMar>
          </w:tcPr>
          <w:p>
            <w:r>
              <w:rPr>
                <w:b w:val="false"/>
                <w:bCs w:val="false"/>
                <w:sz w:val="17"/>
                <w:szCs w:val="17"/>
              </w:rPr>
              <w:t xml:space="preserve">Architecture Baseline</w:t>
            </w:r>
          </w:p>
        </w:tc>
        <w:tc>
          <w:tcPr>
            <w:tcMar>
              <w:top w:type="dxa" w:w="60"/>
              <w:left w:type="dxa" w:w="80"/>
              <w:bottom w:type="dxa" w:w="60"/>
              <w:right w:type="dxa" w:w="80"/>
            </w:tcMar>
          </w:tcPr>
          <w:p>
            <w:r>
              <w:rPr>
                <w:b w:val="false"/>
                <w:bCs w:val="false"/>
                <w:sz w:val="17"/>
                <w:szCs w:val="17"/>
              </w:rPr>
              <w:t xml:space="preserve">Established (L1 met) — this document.</w:t>
            </w:r>
          </w:p>
        </w:tc>
      </w:tr>
      <w:tr>
        <w:tc>
          <w:tcPr>
            <w:shd w:fill="EFF3F7" w:val="clear"/>
            <w:tcMar>
              <w:top w:type="dxa" w:w="60"/>
              <w:left w:type="dxa" w:w="80"/>
              <w:bottom w:type="dxa" w:w="60"/>
              <w:right w:type="dxa" w:w="80"/>
            </w:tcMar>
          </w:tcPr>
          <w:p>
            <w:r>
              <w:rPr>
                <w:b w:val="false"/>
                <w:bCs w:val="false"/>
                <w:sz w:val="17"/>
                <w:szCs w:val="17"/>
              </w:rPr>
              <w:t xml:space="preserve">Governance</w:t>
            </w:r>
          </w:p>
        </w:tc>
        <w:tc>
          <w:tcPr>
            <w:shd w:fill="EFF3F7" w:val="clear"/>
            <w:tcMar>
              <w:top w:type="dxa" w:w="60"/>
              <w:left w:type="dxa" w:w="80"/>
              <w:bottom w:type="dxa" w:w="60"/>
              <w:right w:type="dxa" w:w="80"/>
            </w:tcMar>
          </w:tcPr>
          <w:p>
            <w:r>
              <w:rPr>
                <w:b w:val="false"/>
                <w:bCs w:val="false"/>
                <w:sz w:val="17"/>
                <w:szCs w:val="17"/>
              </w:rPr>
              <w:t xml:space="preserve">Complete (L2 met) — every requirement has a disposition.</w:t>
            </w:r>
          </w:p>
        </w:tc>
      </w:tr>
      <w:tr>
        <w:tc>
          <w:tcPr>
            <w:tcMar>
              <w:top w:type="dxa" w:w="60"/>
              <w:left w:type="dxa" w:w="80"/>
              <w:bottom w:type="dxa" w:w="60"/>
              <w:right w:type="dxa" w:w="80"/>
            </w:tcMar>
          </w:tcPr>
          <w:p>
            <w:r>
              <w:rPr>
                <w:b w:val="false"/>
                <w:bCs w:val="false"/>
                <w:sz w:val="17"/>
                <w:szCs w:val="17"/>
              </w:rPr>
              <w:t xml:space="preserve">Traceability</w:t>
            </w:r>
          </w:p>
        </w:tc>
        <w:tc>
          <w:tcPr>
            <w:tcMar>
              <w:top w:type="dxa" w:w="60"/>
              <w:left w:type="dxa" w:w="80"/>
              <w:bottom w:type="dxa" w:w="60"/>
              <w:right w:type="dxa" w:w="80"/>
            </w:tcMar>
          </w:tcPr>
          <w:p>
            <w:r>
              <w:rPr>
                <w:b w:val="false"/>
                <w:bCs w:val="false"/>
                <w:sz w:val="17"/>
                <w:szCs w:val="17"/>
              </w:rPr>
              <w:t xml:space="preserve">Complete (L3 met) — full matrix in §7.</w:t>
            </w:r>
          </w:p>
        </w:tc>
      </w:tr>
      <w:tr>
        <w:tc>
          <w:tcPr>
            <w:shd w:fill="EFF3F7" w:val="clear"/>
            <w:tcMar>
              <w:top w:type="dxa" w:w="60"/>
              <w:left w:type="dxa" w:w="80"/>
              <w:bottom w:type="dxa" w:w="60"/>
              <w:right w:type="dxa" w:w="80"/>
            </w:tcMar>
          </w:tcPr>
          <w:p>
            <w:r>
              <w:rPr>
                <w:b w:val="false"/>
                <w:bCs w:val="false"/>
                <w:sz w:val="17"/>
                <w:szCs w:val="17"/>
              </w:rPr>
              <w:t xml:space="preserve">Work Package Readiness</w:t>
            </w:r>
          </w:p>
        </w:tc>
        <w:tc>
          <w:tcPr>
            <w:shd w:fill="EFF3F7" w:val="clear"/>
            <w:tcMar>
              <w:top w:type="dxa" w:w="60"/>
              <w:left w:type="dxa" w:w="80"/>
              <w:bottom w:type="dxa" w:w="60"/>
              <w:right w:type="dxa" w:w="80"/>
            </w:tcMar>
          </w:tcPr>
          <w:p>
            <w:r>
              <w:rPr>
                <w:b w:val="false"/>
                <w:bCs w:val="false"/>
                <w:sz w:val="17"/>
                <w:szCs w:val="17"/>
              </w:rPr>
              <w:t xml:space="preserve">Defined; two of six startable immediately with no blocking dependency.</w:t>
            </w:r>
          </w:p>
        </w:tc>
      </w:tr>
      <w:tr>
        <w:tc>
          <w:tcPr>
            <w:tcMar>
              <w:top w:type="dxa" w:w="60"/>
              <w:left w:type="dxa" w:w="80"/>
              <w:bottom w:type="dxa" w:w="60"/>
              <w:right w:type="dxa" w:w="80"/>
            </w:tcMar>
          </w:tcPr>
          <w:p>
            <w:r>
              <w:rPr>
                <w:b w:val="false"/>
                <w:bCs w:val="false"/>
                <w:sz w:val="17"/>
                <w:szCs w:val="17"/>
              </w:rPr>
              <w:t xml:space="preserve">Repository Readiness</w:t>
            </w:r>
          </w:p>
        </w:tc>
        <w:tc>
          <w:tcPr>
            <w:tcMar>
              <w:top w:type="dxa" w:w="60"/>
              <w:left w:type="dxa" w:w="80"/>
              <w:bottom w:type="dxa" w:w="60"/>
              <w:right w:type="dxa" w:w="80"/>
            </w:tcMar>
          </w:tcPr>
          <w:p>
            <w:r>
              <w:rPr>
                <w:b w:val="false"/>
                <w:bCs w:val="false"/>
                <w:sz w:val="17"/>
                <w:szCs w:val="17"/>
              </w:rPr>
              <w:t xml:space="preserve">Sound independently of Phase A conformance — no integrity, engineering-quality blocker found.</w:t>
            </w:r>
          </w:p>
        </w:tc>
      </w:tr>
      <w:tr>
        <w:tc>
          <w:tcPr>
            <w:shd w:fill="EFF3F7" w:val="clear"/>
            <w:tcMar>
              <w:top w:type="dxa" w:w="60"/>
              <w:left w:type="dxa" w:w="80"/>
              <w:bottom w:type="dxa" w:w="60"/>
              <w:right w:type="dxa" w:w="80"/>
            </w:tcMar>
          </w:tcPr>
          <w:p>
            <w:r>
              <w:rPr>
                <w:b w:val="false"/>
                <w:bCs w:val="false"/>
                <w:sz w:val="17"/>
                <w:szCs w:val="17"/>
              </w:rPr>
              <w:t xml:space="preserve">Risk</w:t>
            </w:r>
          </w:p>
        </w:tc>
        <w:tc>
          <w:tcPr>
            <w:shd w:fill="EFF3F7" w:val="clear"/>
            <w:tcMar>
              <w:top w:type="dxa" w:w="60"/>
              <w:left w:type="dxa" w:w="80"/>
              <w:bottom w:type="dxa" w:w="60"/>
              <w:right w:type="dxa" w:w="80"/>
            </w:tcMar>
          </w:tcPr>
          <w:p>
            <w:r>
              <w:rPr>
                <w:b w:val="false"/>
                <w:bCs w:val="false"/>
                <w:sz w:val="17"/>
                <w:szCs w:val="17"/>
              </w:rPr>
              <w:t xml:space="preserve">One High-rated risk (documentation drift) with a low-cost remedy already scoped (WP-0001); one unverified security item with a low-cost remedy already scoped (WP-0002).</w:t>
            </w:r>
          </w:p>
        </w:tc>
      </w:tr>
      <w:tr>
        <w:tc>
          <w:tcPr>
            <w:tcMar>
              <w:top w:type="dxa" w:w="60"/>
              <w:left w:type="dxa" w:w="80"/>
              <w:bottom w:type="dxa" w:w="60"/>
              <w:right w:type="dxa" w:w="80"/>
            </w:tcMar>
          </w:tcPr>
          <w:p>
            <w:r>
              <w:rPr>
                <w:b w:val="false"/>
                <w:bCs w:val="false"/>
                <w:sz w:val="17"/>
                <w:szCs w:val="17"/>
              </w:rPr>
              <w:t xml:space="preserve">Decision Completeness</w:t>
            </w:r>
          </w:p>
        </w:tc>
        <w:tc>
          <w:tcPr>
            <w:tcMar>
              <w:top w:type="dxa" w:w="60"/>
              <w:left w:type="dxa" w:w="80"/>
              <w:bottom w:type="dxa" w:w="60"/>
              <w:right w:type="dxa" w:w="80"/>
            </w:tcMar>
          </w:tcPr>
          <w:p>
            <w:r>
              <w:rPr>
                <w:b w:val="false"/>
                <w:bCs w:val="false"/>
                <w:sz w:val="17"/>
                <w:szCs w:val="17"/>
              </w:rPr>
              <w:t xml:space="preserve">Complete — zero undispositioned gaps.</w:t>
            </w:r>
          </w:p>
        </w:tc>
      </w:tr>
      <w:tr>
        <w:tc>
          <w:tcPr>
            <w:shd w:fill="EFF3F7" w:val="clear"/>
            <w:tcMar>
              <w:top w:type="dxa" w:w="60"/>
              <w:left w:type="dxa" w:w="80"/>
              <w:bottom w:type="dxa" w:w="60"/>
              <w:right w:type="dxa" w:w="80"/>
            </w:tcMar>
          </w:tcPr>
          <w:p>
            <w:r>
              <w:rPr>
                <w:b w:val="false"/>
                <w:bCs w:val="false"/>
                <w:sz w:val="17"/>
                <w:szCs w:val="17"/>
              </w:rPr>
              <w:t xml:space="preserve">Certification Readiness</w:t>
            </w:r>
          </w:p>
        </w:tc>
        <w:tc>
          <w:tcPr>
            <w:shd w:fill="EFF3F7" w:val="clear"/>
            <w:tcMar>
              <w:top w:type="dxa" w:w="60"/>
              <w:left w:type="dxa" w:w="80"/>
              <w:bottom w:type="dxa" w:w="60"/>
              <w:right w:type="dxa" w:w="80"/>
            </w:tcMar>
          </w:tcPr>
          <w:p>
            <w:r>
              <w:rPr>
                <w:b w:val="false"/>
                <w:bCs w:val="false"/>
                <w:sz w:val="17"/>
                <w:szCs w:val="17"/>
              </w:rPr>
              <w:t xml:space="preserve">L1–L3 met; L4–L5 not yet met.</w:t>
            </w:r>
          </w:p>
        </w:tc>
      </w:tr>
    </w:tbl>
    <w:p>
      <w:pPr>
        <w:pStyle w:val="Heading2"/>
        <w:spacing w:after="100" w:before="220"/>
      </w:pPr>
      <w:r>
        <w:t xml:space="preserve">Recommendation: READY WITH CONDITIONS</w:t>
      </w:r>
    </w:p>
    <w:p>
      <w:pPr>
        <w:spacing w:after="120"/>
      </w:pPr>
      <w:r>
        <w:rPr>
          <w:sz w:val="20"/>
          <w:szCs w:val="20"/>
        </w:rPr>
        <w:t xml:space="preserve">ERP Phase B may begin. The architecture baseline, governance, and traceability preconditions are fully met. Two conditions should be satisfied early in Phase B rather than deferred, because Phase A.2 itself identifies them as the precondition for every other recommendation being executable:</w:t>
      </w:r>
    </w:p>
    <w:p>
      <w:pPr>
        <w:spacing w:after="120"/>
      </w:pPr>
      <w:r>
        <w:rPr>
          <w:b/>
          <w:bCs/>
          <w:sz w:val="20"/>
          <w:szCs w:val="20"/>
        </w:rPr>
        <w:t xml:space="preserve">1. Execute WP-0006 (assign named owners) — without this, Phase B inherits a governance framework that can produce good documents but has no mechanism to ensure any disposition is acted on.</w:t>
      </w:r>
    </w:p>
    <w:p>
      <w:pPr>
        <w:spacing w:after="120"/>
      </w:pPr>
      <w:r>
        <w:rPr>
          <w:b/>
          <w:bCs/>
          <w:sz w:val="20"/>
          <w:szCs w:val="20"/>
        </w:rPr>
        <w:t xml:space="preserve">2. Execute WP-0002 (verify RLS coverage) and WP-0001 (revise the EEP-01 Phase A document) in parallel — both are low-cost, high-leverage, and close this baseline's only High-rated risks.</w:t>
      </w:r>
    </w:p>
    <w:p>
      <w:pPr>
        <w:spacing w:after="120"/>
      </w:pPr>
      <w:r>
        <w:rPr>
          <w:sz w:val="20"/>
          <w:szCs w:val="20"/>
        </w:rPr>
        <w:t xml:space="preserve">Neither condition blocks the start of Phase B's own work; both should be tracked as Phase B's first two deliverables so that ERP-01's certification progresses from L3 to L4 concurrently with Phase B rather than being left permanently open.</w:t>
      </w:r>
    </w:p>
    <w:p>
      <w:r>
        <w:br w:type="page"/>
      </w:r>
    </w:p>
    <w:p>
      <w:pPr>
        <w:pStyle w:val="Heading1"/>
        <w:spacing w:after="120" w:before="300"/>
      </w:pPr>
      <w:r>
        <w:t xml:space="preserve">Deliverables Established By This Baseline</w:t>
      </w:r>
    </w:p>
    <w:p>
      <w:pPr>
        <w:pStyle w:val="ListParagraph"/>
        <w:numPr>
          <w:ilvl w:val="0"/>
          <w:numId w:val="1"/>
        </w:numPr>
        <w:spacing w:after="60"/>
      </w:pPr>
      <w:r>
        <w:t xml:space="preserve">Enterprise Architecture Principles Register (§2) — 9 principles</w:t>
      </w:r>
    </w:p>
    <w:p>
      <w:pPr>
        <w:pStyle w:val="ListParagraph"/>
        <w:numPr>
          <w:ilvl w:val="0"/>
          <w:numId w:val="1"/>
        </w:numPr>
        <w:spacing w:after="60"/>
      </w:pPr>
      <w:r>
        <w:t xml:space="preserve">Architecture Requirements Catalog (§3) — 10 requirements</w:t>
      </w:r>
    </w:p>
    <w:p>
      <w:pPr>
        <w:pStyle w:val="ListParagraph"/>
        <w:numPr>
          <w:ilvl w:val="0"/>
          <w:numId w:val="1"/>
        </w:numPr>
        <w:spacing w:after="60"/>
      </w:pPr>
      <w:r>
        <w:t xml:space="preserve">Governance Decision Register (§4) — 9 decisions</w:t>
      </w:r>
    </w:p>
    <w:p>
      <w:pPr>
        <w:pStyle w:val="ListParagraph"/>
        <w:numPr>
          <w:ilvl w:val="0"/>
          <w:numId w:val="1"/>
        </w:numPr>
        <w:spacing w:after="60"/>
      </w:pPr>
      <w:r>
        <w:t xml:space="preserve">Enterprise Resolution Register (§5) — 10 resolutions</w:t>
      </w:r>
    </w:p>
    <w:p>
      <w:pPr>
        <w:pStyle w:val="ListParagraph"/>
        <w:numPr>
          <w:ilvl w:val="0"/>
          <w:numId w:val="1"/>
        </w:numPr>
        <w:spacing w:after="60"/>
      </w:pPr>
      <w:r>
        <w:t xml:space="preserve">Enterprise Variance Register (§6) — 4 variances</w:t>
      </w:r>
    </w:p>
    <w:p>
      <w:pPr>
        <w:pStyle w:val="ListParagraph"/>
        <w:numPr>
          <w:ilvl w:val="0"/>
          <w:numId w:val="1"/>
        </w:numPr>
        <w:spacing w:after="60"/>
      </w:pPr>
      <w:r>
        <w:t xml:space="preserve">Architecture Traceability Matrix (§7)</w:t>
      </w:r>
    </w:p>
    <w:p>
      <w:pPr>
        <w:pStyle w:val="ListParagraph"/>
        <w:numPr>
          <w:ilvl w:val="0"/>
          <w:numId w:val="1"/>
        </w:numPr>
        <w:spacing w:after="60"/>
      </w:pPr>
      <w:r>
        <w:t xml:space="preserve">Enterprise Dependency Graph (§8)</w:t>
      </w:r>
    </w:p>
    <w:p>
      <w:pPr>
        <w:pStyle w:val="ListParagraph"/>
        <w:numPr>
          <w:ilvl w:val="0"/>
          <w:numId w:val="1"/>
        </w:numPr>
        <w:spacing w:after="60"/>
      </w:pPr>
      <w:r>
        <w:t xml:space="preserve">Work Package Catalog (§9) — 6 work packages</w:t>
      </w:r>
    </w:p>
    <w:p>
      <w:pPr>
        <w:pStyle w:val="ListParagraph"/>
        <w:numPr>
          <w:ilvl w:val="0"/>
          <w:numId w:val="1"/>
        </w:numPr>
        <w:spacing w:after="60"/>
      </w:pPr>
      <w:r>
        <w:t xml:space="preserve">Enterprise KPI Catalog (§10) — 10 KPIs</w:t>
      </w:r>
    </w:p>
    <w:p>
      <w:pPr>
        <w:pStyle w:val="ListParagraph"/>
        <w:numPr>
          <w:ilvl w:val="0"/>
          <w:numId w:val="1"/>
        </w:numPr>
        <w:spacing w:after="60"/>
      </w:pPr>
      <w:r>
        <w:t xml:space="preserve">Certification Framework (§11) — 5 levels, L1–L3 met</w:t>
      </w:r>
    </w:p>
    <w:p>
      <w:pPr>
        <w:pStyle w:val="ListParagraph"/>
        <w:numPr>
          <w:ilvl w:val="0"/>
          <w:numId w:val="1"/>
        </w:numPr>
        <w:spacing w:after="60"/>
      </w:pPr>
      <w:r>
        <w:t xml:space="preserve">Enterprise Maturity Baseline (§12)</w:t>
      </w:r>
    </w:p>
    <w:p>
      <w:pPr>
        <w:pStyle w:val="ListParagraph"/>
        <w:numPr>
          <w:ilvl w:val="0"/>
          <w:numId w:val="1"/>
        </w:numPr>
        <w:spacing w:after="60"/>
      </w:pPr>
      <w:r>
        <w:t xml:space="preserve">Enterprise Baseline Dashboard (§14)</w:t>
      </w:r>
    </w:p>
    <w:p>
      <w:pPr>
        <w:pStyle w:val="ListParagraph"/>
        <w:numPr>
          <w:ilvl w:val="0"/>
          <w:numId w:val="1"/>
        </w:numPr>
        <w:spacing w:after="60"/>
      </w:pPr>
      <w:r>
        <w:t xml:space="preserve">ERP Phase Readiness Assessment (§15) — Ready with Conditions</w:t>
      </w:r>
    </w:p>
    <w:p>
      <w:pPr>
        <w:pStyle w:val="Heading1"/>
        <w:spacing w:after="120" w:before="300"/>
      </w:pPr>
      <w:r>
        <w:t xml:space="preserve">Important Constraints Honored</w:t>
      </w:r>
    </w:p>
    <w:p>
      <w:pPr>
        <w:pStyle w:val="ListParagraph"/>
        <w:numPr>
          <w:ilvl w:val="0"/>
          <w:numId w:val="1"/>
        </w:numPr>
        <w:spacing w:after="60"/>
      </w:pPr>
      <w:r>
        <w:t xml:space="preserve">No re-audit of the repository was performed; every finding above traces to Phase A.1 or Phase A.2.</w:t>
      </w:r>
    </w:p>
    <w:p>
      <w:pPr>
        <w:pStyle w:val="ListParagraph"/>
        <w:numPr>
          <w:ilvl w:val="0"/>
          <w:numId w:val="1"/>
        </w:numPr>
        <w:spacing w:after="60"/>
      </w:pPr>
      <w:r>
        <w:t xml:space="preserve">No approved architecture was redesigned; EGD-0002's supersession was already decided in Phase A.2 and is only executed, not re-litigated, here.</w:t>
      </w:r>
    </w:p>
    <w:p>
      <w:pPr>
        <w:pStyle w:val="ListParagraph"/>
        <w:numPr>
          <w:ilvl w:val="0"/>
          <w:numId w:val="1"/>
        </w:numPr>
        <w:spacing w:after="60"/>
      </w:pPr>
      <w:r>
        <w:t xml:space="preserve">All identifiers (AP, AR, EGD, ER, VAR, WP, KPI) are treated as permanent and reusable by every remaining ERP-01 phase.</w:t>
      </w:r>
    </w:p>
    <w:p>
      <w:pPr>
        <w:pStyle w:val="ListParagraph"/>
        <w:numPr>
          <w:ilvl w:val="0"/>
          <w:numId w:val="1"/>
        </w:numPr>
        <w:spacing w:after="60"/>
      </w:pPr>
      <w:r>
        <w:t xml:space="preserve">The single unresolved governance gap — universally unassigned ownership (AP-009 / Phase A.2 §12) — is carried forward as WP-0006 rather than silently absorbed into another work package, since Phase A.2 itself named it as the precondition for everything else being executable.</w:t>
      </w:r>
    </w:p>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2026-07-08T11:39:06.489Z</dcterms:created>
  <dcterms:modified xsi:type="dcterms:W3CDTF">2026-07-08T11:39:06.503Z</dcterms:modified>
</cp:coreProperties>
</file>

<file path=docProps/custom.xml><?xml version="1.0" encoding="utf-8"?>
<Properties xmlns="http://schemas.openxmlformats.org/officeDocument/2006/custom-properties" xmlns:vt="http://schemas.openxmlformats.org/officeDocument/2006/docPropsVTypes"/>
</file>