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A44"/>
          <w:sz w:val="44"/>
          <w:szCs w:val="44"/>
        </w:rPr>
        <w:t xml:space="preserve">ERP-01 — Phase B</w:t>
      </w:r>
    </w:p>
    <w:p>
      <w:pPr>
        <w:spacing w:after="80"/>
      </w:pPr>
      <w:r>
        <w:rPr>
          <w:b/>
          <w:bCs/>
          <w:color w:val="2E5C8A"/>
          <w:sz w:val="30"/>
          <w:szCs w:val="30"/>
        </w:rPr>
        <w:t xml:space="preserve">Enterprise Architecture Realization Roadmap &amp; Portfolio Plan</w:t>
      </w:r>
    </w:p>
    <w:p>
      <w:pPr>
        <w:spacing w:after="160"/>
      </w:pPr>
      <w:r>
        <w:rPr>
          <w:i/>
          <w:iCs/>
          <w:sz w:val="22"/>
          <w:szCs w:val="22"/>
        </w:rPr>
        <w:t xml:space="preserve">HireRise Career Intelligence Platform</w:t>
      </w:r>
    </w:p>
    <w:p>
      <w:pPr>
        <w:spacing w:after="120"/>
      </w:pPr>
      <w:r>
        <w:rPr>
          <w:sz w:val="20"/>
          <w:szCs w:val="20"/>
        </w:rPr>
        <w:t xml:space="preserve">Version 1.0 | Status: DRAFT FOR REVIEW</w:t>
      </w:r>
    </w:p>
    <w:p>
      <w:pPr>
        <w:spacing w:after="120"/>
      </w:pPr>
      <w:r>
        <w:rPr>
          <w:sz w:val="20"/>
          <w:szCs w:val="20"/>
        </w:rPr>
        <w:t xml:space="preserve">Authoritative input: ERP-01 Phase A.3 — Enterprise Architecture Baseline &amp; Resolution Repository. No repository re-inspection or re-governance was performed for this phase.</w:t>
      </w:r>
    </w:p>
    <w:p>
      <w:pPr>
        <w:pStyle w:val="Heading1"/>
        <w:spacing w:after="120" w:before="300"/>
      </w:pPr>
      <w:r>
        <w:t xml:space="preserve">A Note on Scope and Evidence</w:t>
      </w:r>
    </w:p>
    <w:p>
      <w:pPr>
        <w:spacing w:after="120"/>
      </w:pPr>
      <w:r>
        <w:rPr>
          <w:sz w:val="20"/>
          <w:szCs w:val="20"/>
        </w:rPr>
        <w:t xml:space="preserve">This roadmap plans the realization of exactly what Phase A.3 established: 10 Architecture Requirements (AR-0001–0010), 9 Governance Decisions (EGD-0001–0009), and 6 Work Packages (WP-0001–0006), all in a single domain — the student-academic physical data model. The Phase B template anticipates eight active delivery portfolios across data, security, AI, business capability, knowledge, integration, operations, and governance. Only two of those eight currently contain evidenced work: Enterprise Data Platform and Governance &amp; Quality. The remaining six are established below as structural placeholders — named, numbered, ready to receive work — but carrying zero work packages, because no Phase A.1-style realization assessment has yet been performed in AI, integration, business-capability, knowledge, or operations domains. Populating them with invented work here would violate this program's own AP-002 (repository evidence governs), AP-006 (no undispositioned findings), and AP-007 (no undocumented variance) principles established in Phase A.3. Waves, milestones, and KPIs below are scaled the same way: real where evidence exists, explicitly marked empty where it doesn't.</w:t>
      </w:r>
    </w:p>
    <w:p>
      <w:pPr>
        <w:spacing w:after="120"/>
      </w:pPr>
      <w:r>
        <w:rPr>
          <w:sz w:val="20"/>
          <w:szCs w:val="20"/>
        </w:rPr>
        <w:t xml:space="preserve">Per Phase A.3's own recommendation, this roadmap treats WP-0006 (assign named owners) as the precondition for every other item in this plan being executable, not one work package among six.</w:t>
      </w:r>
    </w:p>
    <w:p>
      <w:r>
        <w:br w:type="page"/>
      </w:r>
    </w:p>
    <w:p>
      <w:pPr>
        <w:pStyle w:val="Heading1"/>
        <w:spacing w:after="120" w:before="300"/>
      </w:pPr>
      <w:r>
        <w:t xml:space="preserve">1. Executive Portfolio Summary</w:t>
      </w:r>
    </w:p>
    <w:p>
      <w:pPr>
        <w:pStyle w:val="Heading2"/>
        <w:spacing w:after="100" w:before="220"/>
      </w:pPr>
      <w:r>
        <w:t xml:space="preserve">Current Realization Status</w:t>
      </w:r>
    </w:p>
    <w:p>
      <w:pPr>
        <w:spacing w:after="120"/>
      </w:pPr>
      <w:r>
        <w:rPr>
          <w:sz w:val="20"/>
          <w:szCs w:val="20"/>
        </w:rPr>
        <w:t xml:space="preserve">Architecture Conformance: 35/100 (KPI-01 baseline). Overall Enterprise Governance: 48/100 (KPI-03). Certification: Levels L1–L3 met, L4–L5 pending. 3 of 10 ARs are conformant standing standards (AR-0008, AR-0009, AR-0010); 1 AR (AR-0007) is pending active verification; 4 ARs are governed Deferred with monitorable triggers; 1 AR is Accepted-conditional. Zero ARs are undispositioned.</w:t>
      </w:r>
    </w:p>
    <w:p>
      <w:pPr>
        <w:pStyle w:val="Heading2"/>
        <w:spacing w:after="100" w:before="220"/>
      </w:pPr>
      <w:r>
        <w:t xml:space="preserve">Strategic Objectives</w:t>
      </w:r>
    </w:p>
    <w:p>
      <w:pPr>
        <w:pStyle w:val="ListParagraph"/>
        <w:numPr>
          <w:ilvl w:val="0"/>
          <w:numId w:val="1"/>
        </w:numPr>
        <w:spacing w:after="60"/>
      </w:pPr>
      <w:r>
        <w:t xml:space="preserve">Close the two open, immediately-actionable items from the baseline: RLS verification (AR-0007) and documentation supersession (AR-0002).</w:t>
      </w:r>
    </w:p>
    <w:p>
      <w:pPr>
        <w:pStyle w:val="ListParagraph"/>
        <w:numPr>
          <w:ilvl w:val="0"/>
          <w:numId w:val="1"/>
        </w:numPr>
        <w:spacing w:after="60"/>
      </w:pPr>
      <w:r>
        <w:t xml:space="preserve">Resolve the single cross-cutting governance blocker — unassigned ownership — before treating any other item as in-flight.</w:t>
      </w:r>
    </w:p>
    <w:p>
      <w:pPr>
        <w:pStyle w:val="ListParagraph"/>
        <w:numPr>
          <w:ilvl w:val="0"/>
          <w:numId w:val="1"/>
        </w:numPr>
        <w:spacing w:after="60"/>
      </w:pPr>
      <w:r>
        <w:t xml:space="preserve">Advance certification from L3 (Implementation Traceable) to L4 (Implementation Verified) within this realization cycle.</w:t>
      </w:r>
    </w:p>
    <w:p>
      <w:pPr>
        <w:pStyle w:val="ListParagraph"/>
        <w:numPr>
          <w:ilvl w:val="0"/>
          <w:numId w:val="1"/>
        </w:numPr>
        <w:spacing w:after="60"/>
      </w:pPr>
      <w:r>
        <w:t xml:space="preserve">Preserve the four correctly-deferred items (schema isolation, partitioning, qualification separation, supersession model) as monitored, not neglected.</w:t>
      </w:r>
    </w:p>
    <w:p>
      <w:pPr>
        <w:pStyle w:val="Heading2"/>
        <w:spacing w:after="100" w:before="220"/>
      </w:pPr>
      <w:r>
        <w:t xml:space="preserve">Delivery Philosophy</w:t>
      </w:r>
    </w:p>
    <w:p>
      <w:pPr>
        <w:spacing w:after="120"/>
      </w:pPr>
      <w:r>
        <w:rPr>
          <w:sz w:val="20"/>
          <w:szCs w:val="20"/>
        </w:rPr>
        <w:t xml:space="preserve">Incremental and trigger-gated, matching the team's own demonstrated pattern (e.g., partitioning chi_scores only once volume actually justified it — Phase A.2, ADR-004). No large-scale schema rewrite is planned or justified by current evidence.</w:t>
      </w:r>
    </w:p>
    <w:p>
      <w:pPr>
        <w:pStyle w:val="Heading2"/>
        <w:spacing w:after="100" w:before="220"/>
      </w:pPr>
      <w:r>
        <w:t xml:space="preserve">Portfolio Priorities</w:t>
      </w:r>
    </w:p>
    <w:p>
      <w:pPr>
        <w:spacing w:after="120"/>
      </w:pPr>
      <w:r>
        <w:rPr>
          <w:sz w:val="20"/>
          <w:szCs w:val="20"/>
        </w:rPr>
        <w:t xml:space="preserve">100% of currently-evidenced work sits in Portfolio 1 (Enterprise Data Platform) and Portfolio 8 (Governance &amp; Quality). All other portfolios are open but empty pending future assessments (see §3).</w:t>
      </w:r>
    </w:p>
    <w:p>
      <w:pPr>
        <w:pStyle w:val="Heading2"/>
        <w:spacing w:after="100" w:before="220"/>
      </w:pPr>
      <w:r>
        <w:t xml:space="preserve">Key Risks</w:t>
      </w:r>
    </w:p>
    <w:p>
      <w:pPr>
        <w:pStyle w:val="ListParagraph"/>
        <w:numPr>
          <w:ilvl w:val="0"/>
          <w:numId w:val="1"/>
        </w:numPr>
        <w:spacing w:after="60"/>
      </w:pPr>
      <w:r>
        <w:t xml:space="preserve">Documentation/maintainability risk — rated High in Phase A.1 §13, the dominant risk in the baseline, remedied by WP-0001.</w:t>
      </w:r>
    </w:p>
    <w:p>
      <w:pPr>
        <w:pStyle w:val="ListParagraph"/>
        <w:numPr>
          <w:ilvl w:val="0"/>
          <w:numId w:val="1"/>
        </w:numPr>
        <w:spacing w:after="60"/>
      </w:pPr>
      <w:r>
        <w:t xml:space="preserve">Unverified RLS coverage — rated Critical-until-verified in Phase A.2 §8, remedied by WP-0002.</w:t>
      </w:r>
    </w:p>
    <w:p>
      <w:pPr>
        <w:pStyle w:val="ListParagraph"/>
        <w:numPr>
          <w:ilvl w:val="0"/>
          <w:numId w:val="1"/>
        </w:numPr>
        <w:spacing w:after="60"/>
      </w:pPr>
      <w:r>
        <w:t xml:space="preserve">Universally unassigned ownership — the precondition risk; without WP-0006, every mitigation above stalls indefinitely.</w:t>
      </w:r>
    </w:p>
    <w:p>
      <w:pPr>
        <w:pStyle w:val="Heading2"/>
        <w:spacing w:after="100" w:before="220"/>
      </w:pPr>
      <w:r>
        <w:t xml:space="preserve">Critical Success Factors</w:t>
      </w:r>
    </w:p>
    <w:p>
      <w:pPr>
        <w:spacing w:after="120"/>
      </w:pPr>
      <w:r>
        <w:rPr>
          <w:sz w:val="20"/>
          <w:szCs w:val="20"/>
        </w:rPr>
        <w:t xml:space="preserve">WP-0006 executed first and fast (organizational, not technical — no engineering dependency). WP-0002 and WP-0001 executed in parallel immediately after. Everything else in this roadmap is sequenced around those three.</w:t>
      </w:r>
    </w:p>
    <w:p>
      <w:r>
        <w:br w:type="page"/>
      </w:r>
    </w:p>
    <w:p>
      <w:pPr>
        <w:pStyle w:val="Heading1"/>
        <w:spacing w:after="120" w:before="300"/>
      </w:pPr>
      <w:r>
        <w:t xml:space="preserve">2. Enterprise Realization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Strategy Element</w:t>
            </w:r>
          </w:p>
        </w:tc>
        <w:tc>
          <w:tcPr>
            <w:shd w:fill="1F2A44" w:val="clear"/>
            <w:tcMar>
              <w:top w:type="dxa" w:w="60"/>
              <w:left w:type="dxa" w:w="80"/>
              <w:bottom w:type="dxa" w:w="60"/>
              <w:right w:type="dxa" w:w="80"/>
            </w:tcMar>
          </w:tcPr>
          <w:p>
            <w:r>
              <w:rPr>
                <w:b/>
                <w:bCs/>
                <w:color w:val="FFFFFF"/>
                <w:sz w:val="17"/>
                <w:szCs w:val="17"/>
              </w:rPr>
              <w:t xml:space="preserve">Application in This Roadmap</w:t>
            </w:r>
          </w:p>
        </w:tc>
      </w:tr>
      <w:tr>
        <w:tc>
          <w:tcPr>
            <w:tcMar>
              <w:top w:type="dxa" w:w="60"/>
              <w:left w:type="dxa" w:w="80"/>
              <w:bottom w:type="dxa" w:w="60"/>
              <w:right w:type="dxa" w:w="80"/>
            </w:tcMar>
          </w:tcPr>
          <w:p>
            <w:r>
              <w:rPr>
                <w:b w:val="false"/>
                <w:bCs w:val="false"/>
                <w:sz w:val="17"/>
                <w:szCs w:val="17"/>
              </w:rPr>
              <w:t xml:space="preserve">Incremental realization</w:t>
            </w:r>
          </w:p>
        </w:tc>
        <w:tc>
          <w:tcPr>
            <w:tcMar>
              <w:top w:type="dxa" w:w="60"/>
              <w:left w:type="dxa" w:w="80"/>
              <w:bottom w:type="dxa" w:w="60"/>
              <w:right w:type="dxa" w:w="80"/>
            </w:tcMar>
          </w:tcPr>
          <w:p>
            <w:r>
              <w:rPr>
                <w:b w:val="false"/>
                <w:bCs w:val="false"/>
                <w:sz w:val="17"/>
                <w:szCs w:val="17"/>
              </w:rPr>
              <w:t xml:space="preserve">Six work packages, none a rewrite; each closes one AR without disturbing conformant standards (AR-0008–0010).</w:t>
            </w:r>
          </w:p>
        </w:tc>
      </w:tr>
      <w:tr>
        <w:tc>
          <w:tcPr>
            <w:shd w:fill="EFF3F7" w:val="clear"/>
            <w:tcMar>
              <w:top w:type="dxa" w:w="60"/>
              <w:left w:type="dxa" w:w="80"/>
              <w:bottom w:type="dxa" w:w="60"/>
              <w:right w:type="dxa" w:w="80"/>
            </w:tcMar>
          </w:tcPr>
          <w:p>
            <w:r>
              <w:rPr>
                <w:b w:val="false"/>
                <w:bCs w:val="false"/>
                <w:sz w:val="17"/>
                <w:szCs w:val="17"/>
              </w:rPr>
              <w:t xml:space="preserve">Domain-driven delivery</w:t>
            </w:r>
          </w:p>
        </w:tc>
        <w:tc>
          <w:tcPr>
            <w:shd w:fill="EFF3F7" w:val="clear"/>
            <w:tcMar>
              <w:top w:type="dxa" w:w="60"/>
              <w:left w:type="dxa" w:w="80"/>
              <w:bottom w:type="dxa" w:w="60"/>
              <w:right w:type="dxa" w:w="80"/>
            </w:tcMar>
          </w:tcPr>
          <w:p>
            <w:r>
              <w:rPr>
                <w:b w:val="false"/>
                <w:bCs w:val="false"/>
                <w:sz w:val="17"/>
                <w:szCs w:val="17"/>
              </w:rPr>
              <w:t xml:space="preserve">All current WPs sit in the student-academic physical-data-model domain; other domains (AI, integration, etc.) are out of scope until their own realization assessment exists.</w:t>
            </w:r>
          </w:p>
        </w:tc>
      </w:tr>
      <w:tr>
        <w:tc>
          <w:tcPr>
            <w:tcMar>
              <w:top w:type="dxa" w:w="60"/>
              <w:left w:type="dxa" w:w="80"/>
              <w:bottom w:type="dxa" w:w="60"/>
              <w:right w:type="dxa" w:w="80"/>
            </w:tcMar>
          </w:tcPr>
          <w:p>
            <w:r>
              <w:rPr>
                <w:b w:val="false"/>
                <w:bCs w:val="false"/>
                <w:sz w:val="17"/>
                <w:szCs w:val="17"/>
              </w:rPr>
              <w:t xml:space="preserve">Capability-driven realization</w:t>
            </w:r>
          </w:p>
        </w:tc>
        <w:tc>
          <w:tcPr>
            <w:tcMar>
              <w:top w:type="dxa" w:w="60"/>
              <w:left w:type="dxa" w:w="80"/>
              <w:bottom w:type="dxa" w:w="60"/>
              <w:right w:type="dxa" w:w="80"/>
            </w:tcMar>
          </w:tcPr>
          <w:p>
            <w:r>
              <w:rPr>
                <w:b w:val="false"/>
                <w:bCs w:val="false"/>
                <w:sz w:val="17"/>
                <w:szCs w:val="17"/>
              </w:rPr>
              <w:t xml:space="preserve">Sequencing favors closing open unknowns (RLS) and restoring trustworthy documentation before any structural change.</w:t>
            </w:r>
          </w:p>
        </w:tc>
      </w:tr>
      <w:tr>
        <w:tc>
          <w:tcPr>
            <w:shd w:fill="EFF3F7" w:val="clear"/>
            <w:tcMar>
              <w:top w:type="dxa" w:w="60"/>
              <w:left w:type="dxa" w:w="80"/>
              <w:bottom w:type="dxa" w:w="60"/>
              <w:right w:type="dxa" w:w="80"/>
            </w:tcMar>
          </w:tcPr>
          <w:p>
            <w:r>
              <w:rPr>
                <w:b w:val="false"/>
                <w:bCs w:val="false"/>
                <w:sz w:val="17"/>
                <w:szCs w:val="17"/>
              </w:rPr>
              <w:t xml:space="preserve">Risk-first implementation</w:t>
            </w:r>
          </w:p>
        </w:tc>
        <w:tc>
          <w:tcPr>
            <w:shd w:fill="EFF3F7" w:val="clear"/>
            <w:tcMar>
              <w:top w:type="dxa" w:w="60"/>
              <w:left w:type="dxa" w:w="80"/>
              <w:bottom w:type="dxa" w:w="60"/>
              <w:right w:type="dxa" w:w="80"/>
            </w:tcMar>
          </w:tcPr>
          <w:p>
            <w:r>
              <w:rPr>
                <w:b w:val="false"/>
                <w:bCs w:val="false"/>
                <w:sz w:val="17"/>
                <w:szCs w:val="17"/>
              </w:rPr>
              <w:t xml:space="preserve">WP-0002 (Critical-until-verified security gap) and WP-0006 (blocking governance gap) are Wave 1, ahead of lower-risk items.</w:t>
            </w:r>
          </w:p>
        </w:tc>
      </w:tr>
      <w:tr>
        <w:tc>
          <w:tcPr>
            <w:tcMar>
              <w:top w:type="dxa" w:w="60"/>
              <w:left w:type="dxa" w:w="80"/>
              <w:bottom w:type="dxa" w:w="60"/>
              <w:right w:type="dxa" w:w="80"/>
            </w:tcMar>
          </w:tcPr>
          <w:p>
            <w:r>
              <w:rPr>
                <w:b w:val="false"/>
                <w:bCs w:val="false"/>
                <w:sz w:val="17"/>
                <w:szCs w:val="17"/>
              </w:rPr>
              <w:t xml:space="preserve">Governance-first execution</w:t>
            </w:r>
          </w:p>
        </w:tc>
        <w:tc>
          <w:tcPr>
            <w:tcMar>
              <w:top w:type="dxa" w:w="60"/>
              <w:left w:type="dxa" w:w="80"/>
              <w:bottom w:type="dxa" w:w="60"/>
              <w:right w:type="dxa" w:w="80"/>
            </w:tcMar>
          </w:tcPr>
          <w:p>
            <w:r>
              <w:rPr>
                <w:b w:val="false"/>
                <w:bCs w:val="false"/>
                <w:sz w:val="17"/>
                <w:szCs w:val="17"/>
              </w:rPr>
              <w:t xml:space="preserve">No WP proceeds without its EGD already dispositioned in Phase A.3 — true for all six; none require new governance.</w:t>
            </w:r>
          </w:p>
        </w:tc>
      </w:tr>
      <w:tr>
        <w:tc>
          <w:tcPr>
            <w:shd w:fill="EFF3F7" w:val="clear"/>
            <w:tcMar>
              <w:top w:type="dxa" w:w="60"/>
              <w:left w:type="dxa" w:w="80"/>
              <w:bottom w:type="dxa" w:w="60"/>
              <w:right w:type="dxa" w:w="80"/>
            </w:tcMar>
          </w:tcPr>
          <w:p>
            <w:r>
              <w:rPr>
                <w:b w:val="false"/>
                <w:bCs w:val="false"/>
                <w:sz w:val="17"/>
                <w:szCs w:val="17"/>
              </w:rPr>
              <w:t xml:space="preserve">Continuous architecture conformance</w:t>
            </w:r>
          </w:p>
        </w:tc>
        <w:tc>
          <w:tcPr>
            <w:shd w:fill="EFF3F7" w:val="clear"/>
            <w:tcMar>
              <w:top w:type="dxa" w:w="60"/>
              <w:left w:type="dxa" w:w="80"/>
              <w:bottom w:type="dxa" w:w="60"/>
              <w:right w:type="dxa" w:w="80"/>
            </w:tcMar>
          </w:tcPr>
          <w:p>
            <w:r>
              <w:rPr>
                <w:b w:val="false"/>
                <w:bCs w:val="false"/>
                <w:sz w:val="17"/>
                <w:szCs w:val="17"/>
              </w:rPr>
              <w:t xml:space="preserve">KPI-01/KPI-07 re-measured at each milestone, not only at phase boundaries.</w:t>
            </w:r>
          </w:p>
        </w:tc>
      </w:tr>
      <w:tr>
        <w:tc>
          <w:tcPr>
            <w:tcMar>
              <w:top w:type="dxa" w:w="60"/>
              <w:left w:type="dxa" w:w="80"/>
              <w:bottom w:type="dxa" w:w="60"/>
              <w:right w:type="dxa" w:w="80"/>
            </w:tcMar>
          </w:tcPr>
          <w:p>
            <w:r>
              <w:rPr>
                <w:b w:val="false"/>
                <w:bCs w:val="false"/>
                <w:sz w:val="17"/>
                <w:szCs w:val="17"/>
              </w:rPr>
              <w:t xml:space="preserve">Continuous verification</w:t>
            </w:r>
          </w:p>
        </w:tc>
        <w:tc>
          <w:tcPr>
            <w:tcMar>
              <w:top w:type="dxa" w:w="60"/>
              <w:left w:type="dxa" w:w="80"/>
              <w:bottom w:type="dxa" w:w="60"/>
              <w:right w:type="dxa" w:w="80"/>
            </w:tcMar>
          </w:tcPr>
          <w:p>
            <w:r>
              <w:rPr>
                <w:b w:val="false"/>
                <w:bCs w:val="false"/>
                <w:sz w:val="17"/>
                <w:szCs w:val="17"/>
              </w:rPr>
              <w:t xml:space="preserve">WP-0002's method (written RLS confirmation with query evidence) is the template for verifying every future Realize-class decision.</w:t>
            </w:r>
          </w:p>
        </w:tc>
      </w:tr>
    </w:tbl>
    <w:p>
      <w:r>
        <w:br w:type="page"/>
      </w:r>
    </w:p>
    <w:p>
      <w:pPr>
        <w:pStyle w:val="Heading1"/>
        <w:spacing w:after="120" w:before="300"/>
      </w:pPr>
      <w:r>
        <w:t xml:space="preserve">3. Enterprise Portfolio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w:t>
            </w:r>
          </w:p>
        </w:tc>
        <w:tc>
          <w:tcPr>
            <w:shd w:fill="1F2A44" w:val="clear"/>
            <w:tcMar>
              <w:top w:type="dxa" w:w="60"/>
              <w:left w:type="dxa" w:w="80"/>
              <w:bottom w:type="dxa" w:w="60"/>
              <w:right w:type="dxa" w:w="80"/>
            </w:tcMar>
          </w:tcPr>
          <w:p>
            <w:r>
              <w:rPr>
                <w:b/>
                <w:bCs/>
                <w:color w:val="FFFFFF"/>
                <w:sz w:val="17"/>
                <w:szCs w:val="17"/>
              </w:rPr>
              <w:t xml:space="preserve">Portfolio</w:t>
            </w:r>
          </w:p>
        </w:tc>
        <w:tc>
          <w:tcPr>
            <w:shd w:fill="1F2A44" w:val="clear"/>
            <w:tcMar>
              <w:top w:type="dxa" w:w="60"/>
              <w:left w:type="dxa" w:w="80"/>
              <w:bottom w:type="dxa" w:w="60"/>
              <w:right w:type="dxa" w:w="80"/>
            </w:tcMar>
          </w:tcPr>
          <w:p>
            <w:r>
              <w:rPr>
                <w:b/>
                <w:bCs/>
                <w:color w:val="FFFFFF"/>
                <w:sz w:val="17"/>
                <w:szCs w:val="17"/>
              </w:rPr>
              <w:t xml:space="preserve">Work Packages</w:t>
            </w:r>
          </w:p>
        </w:tc>
        <w:tc>
          <w:tcPr>
            <w:shd w:fill="1F2A44" w:val="clear"/>
            <w:tcMar>
              <w:top w:type="dxa" w:w="60"/>
              <w:left w:type="dxa" w:w="80"/>
              <w:bottom w:type="dxa" w:w="60"/>
              <w:right w:type="dxa" w:w="80"/>
            </w:tcMar>
          </w:tcPr>
          <w:p>
            <w:r>
              <w:rPr>
                <w:b/>
                <w:bCs/>
                <w:color w:val="FFFFFF"/>
                <w:sz w:val="17"/>
                <w:szCs w:val="17"/>
              </w:rPr>
              <w:t xml:space="preserve">Status</w:t>
            </w:r>
          </w:p>
        </w:tc>
      </w:tr>
      <w:tr>
        <w:tc>
          <w:tcPr>
            <w:tcMar>
              <w:top w:type="dxa" w:w="60"/>
              <w:left w:type="dxa" w:w="80"/>
              <w:bottom w:type="dxa" w:w="60"/>
              <w:right w:type="dxa" w:w="80"/>
            </w:tcMar>
          </w:tcPr>
          <w:p>
            <w:r>
              <w:rPr>
                <w:b w:val="false"/>
                <w:bCs w:val="false"/>
                <w:sz w:val="17"/>
                <w:szCs w:val="17"/>
              </w:rPr>
              <w:t xml:space="preserve">1</w:t>
            </w:r>
          </w:p>
        </w:tc>
        <w:tc>
          <w:tcPr>
            <w:tcMar>
              <w:top w:type="dxa" w:w="60"/>
              <w:left w:type="dxa" w:w="80"/>
              <w:bottom w:type="dxa" w:w="60"/>
              <w:right w:type="dxa" w:w="80"/>
            </w:tcMar>
          </w:tcPr>
          <w:p>
            <w:r>
              <w:rPr>
                <w:b w:val="false"/>
                <w:bCs w:val="false"/>
                <w:sz w:val="17"/>
                <w:szCs w:val="17"/>
              </w:rPr>
              <w:t xml:space="preserve">Enterprise Data Platform</w:t>
            </w:r>
          </w:p>
        </w:tc>
        <w:tc>
          <w:tcPr>
            <w:tcMar>
              <w:top w:type="dxa" w:w="60"/>
              <w:left w:type="dxa" w:w="80"/>
              <w:bottom w:type="dxa" w:w="60"/>
              <w:right w:type="dxa" w:w="80"/>
            </w:tcMar>
          </w:tcPr>
          <w:p>
            <w:r>
              <w:rPr>
                <w:b w:val="false"/>
                <w:bCs w:val="false"/>
                <w:sz w:val="17"/>
                <w:szCs w:val="17"/>
              </w:rPr>
              <w:t xml:space="preserve">WP-0001, WP-0003, WP-0004, WP-0005</w:t>
            </w:r>
          </w:p>
        </w:tc>
        <w:tc>
          <w:tcPr>
            <w:tcMar>
              <w:top w:type="dxa" w:w="60"/>
              <w:left w:type="dxa" w:w="80"/>
              <w:bottom w:type="dxa" w:w="60"/>
              <w:right w:type="dxa" w:w="80"/>
            </w:tcMar>
          </w:tcPr>
          <w:p>
            <w:r>
              <w:rPr>
                <w:b w:val="false"/>
                <w:bCs w:val="false"/>
                <w:sz w:val="17"/>
                <w:szCs w:val="17"/>
              </w:rPr>
              <w:t xml:space="preserve">Active — 4 evidenced WPs</w:t>
            </w:r>
          </w:p>
        </w:tc>
      </w:tr>
      <w:tr>
        <w:tc>
          <w:tcPr>
            <w:shd w:fill="EFF3F7" w:val="clear"/>
            <w:tcMar>
              <w:top w:type="dxa" w:w="60"/>
              <w:left w:type="dxa" w:w="80"/>
              <w:bottom w:type="dxa" w:w="60"/>
              <w:right w:type="dxa" w:w="80"/>
            </w:tcMar>
          </w:tcPr>
          <w:p>
            <w:r>
              <w:rPr>
                <w:b w:val="false"/>
                <w:bCs w:val="false"/>
                <w:sz w:val="17"/>
                <w:szCs w:val="17"/>
              </w:rPr>
              <w:t xml:space="preserve">2</w:t>
            </w:r>
          </w:p>
        </w:tc>
        <w:tc>
          <w:tcPr>
            <w:shd w:fill="EFF3F7" w:val="clear"/>
            <w:tcMar>
              <w:top w:type="dxa" w:w="60"/>
              <w:left w:type="dxa" w:w="80"/>
              <w:bottom w:type="dxa" w:w="60"/>
              <w:right w:type="dxa" w:w="80"/>
            </w:tcMar>
          </w:tcPr>
          <w:p>
            <w:r>
              <w:rPr>
                <w:b w:val="false"/>
                <w:bCs w:val="false"/>
                <w:sz w:val="17"/>
                <w:szCs w:val="17"/>
              </w:rPr>
              <w:t xml:space="preserve">Enterprise Security</w:t>
            </w:r>
          </w:p>
        </w:tc>
        <w:tc>
          <w:tcPr>
            <w:shd w:fill="EFF3F7" w:val="clear"/>
            <w:tcMar>
              <w:top w:type="dxa" w:w="60"/>
              <w:left w:type="dxa" w:w="80"/>
              <w:bottom w:type="dxa" w:w="60"/>
              <w:right w:type="dxa" w:w="80"/>
            </w:tcMar>
          </w:tcPr>
          <w:p>
            <w:r>
              <w:rPr>
                <w:b w:val="false"/>
                <w:bCs w:val="false"/>
                <w:sz w:val="17"/>
                <w:szCs w:val="17"/>
              </w:rPr>
              <w:t xml:space="preserve">WP-0002</w:t>
            </w:r>
          </w:p>
        </w:tc>
        <w:tc>
          <w:tcPr>
            <w:shd w:fill="EFF3F7" w:val="clear"/>
            <w:tcMar>
              <w:top w:type="dxa" w:w="60"/>
              <w:left w:type="dxa" w:w="80"/>
              <w:bottom w:type="dxa" w:w="60"/>
              <w:right w:type="dxa" w:w="80"/>
            </w:tcMar>
          </w:tcPr>
          <w:p>
            <w:r>
              <w:rPr>
                <w:b w:val="false"/>
                <w:bCs w:val="false"/>
                <w:sz w:val="17"/>
                <w:szCs w:val="17"/>
              </w:rPr>
              <w:t xml:space="preserve">Active — 1 evidenced WP</w:t>
            </w:r>
          </w:p>
        </w:tc>
      </w:tr>
      <w:tr>
        <w:tc>
          <w:tcPr>
            <w:tcMar>
              <w:top w:type="dxa" w:w="60"/>
              <w:left w:type="dxa" w:w="80"/>
              <w:bottom w:type="dxa" w:w="60"/>
              <w:right w:type="dxa" w:w="80"/>
            </w:tcMar>
          </w:tcPr>
          <w:p>
            <w:r>
              <w:rPr>
                <w:b w:val="false"/>
                <w:bCs w:val="false"/>
                <w:sz w:val="17"/>
                <w:szCs w:val="17"/>
              </w:rPr>
              <w:t xml:space="preserve">3</w:t>
            </w:r>
          </w:p>
        </w:tc>
        <w:tc>
          <w:tcPr>
            <w:tcMar>
              <w:top w:type="dxa" w:w="60"/>
              <w:left w:type="dxa" w:w="80"/>
              <w:bottom w:type="dxa" w:w="60"/>
              <w:right w:type="dxa" w:w="80"/>
            </w:tcMar>
          </w:tcPr>
          <w:p>
            <w:r>
              <w:rPr>
                <w:b w:val="false"/>
                <w:bCs w:val="false"/>
                <w:sz w:val="17"/>
                <w:szCs w:val="17"/>
              </w:rPr>
              <w:t xml:space="preserve">Enterprise AI</w:t>
            </w:r>
          </w:p>
        </w:tc>
        <w:tc>
          <w:tcPr>
            <w:tcMar>
              <w:top w:type="dxa" w:w="60"/>
              <w:left w:type="dxa" w:w="80"/>
              <w:bottom w:type="dxa" w:w="60"/>
              <w:right w:type="dxa" w:w="80"/>
            </w:tcMar>
          </w:tcPr>
          <w:p>
            <w:r>
              <w:rPr>
                <w:b w:val="false"/>
                <w:bCs w:val="false"/>
                <w:sz w:val="17"/>
                <w:szCs w:val="17"/>
              </w:rPr>
              <w:t xml:space="preserve">None</w:t>
            </w:r>
          </w:p>
        </w:tc>
        <w:tc>
          <w:tcPr>
            <w:tcMar>
              <w:top w:type="dxa" w:w="60"/>
              <w:left w:type="dxa" w:w="80"/>
              <w:bottom w:type="dxa" w:w="60"/>
              <w:right w:type="dxa" w:w="80"/>
            </w:tcMar>
          </w:tcPr>
          <w:p>
            <w:r>
              <w:rPr>
                <w:b w:val="false"/>
                <w:bCs w:val="false"/>
                <w:sz w:val="17"/>
                <w:szCs w:val="17"/>
              </w:rPr>
              <w:t xml:space="preserve">Open, empty — no AI-domain realization assessment exists yet</w:t>
            </w:r>
          </w:p>
        </w:tc>
      </w:tr>
      <w:tr>
        <w:tc>
          <w:tcPr>
            <w:shd w:fill="EFF3F7" w:val="clear"/>
            <w:tcMar>
              <w:top w:type="dxa" w:w="60"/>
              <w:left w:type="dxa" w:w="80"/>
              <w:bottom w:type="dxa" w:w="60"/>
              <w:right w:type="dxa" w:w="80"/>
            </w:tcMar>
          </w:tcPr>
          <w:p>
            <w:r>
              <w:rPr>
                <w:b w:val="false"/>
                <w:bCs w:val="false"/>
                <w:sz w:val="17"/>
                <w:szCs w:val="17"/>
              </w:rPr>
              <w:t xml:space="preserve">4</w:t>
            </w:r>
          </w:p>
        </w:tc>
        <w:tc>
          <w:tcPr>
            <w:shd w:fill="EFF3F7" w:val="clear"/>
            <w:tcMar>
              <w:top w:type="dxa" w:w="60"/>
              <w:left w:type="dxa" w:w="80"/>
              <w:bottom w:type="dxa" w:w="60"/>
              <w:right w:type="dxa" w:w="80"/>
            </w:tcMar>
          </w:tcPr>
          <w:p>
            <w:r>
              <w:rPr>
                <w:b w:val="false"/>
                <w:bCs w:val="false"/>
                <w:sz w:val="17"/>
                <w:szCs w:val="17"/>
              </w:rPr>
              <w:t xml:space="preserve">Business Capabilities</w:t>
            </w:r>
          </w:p>
        </w:tc>
        <w:tc>
          <w:tcPr>
            <w:shd w:fill="EFF3F7" w:val="clear"/>
            <w:tcMar>
              <w:top w:type="dxa" w:w="60"/>
              <w:left w:type="dxa" w:w="80"/>
              <w:bottom w:type="dxa" w:w="60"/>
              <w:right w:type="dxa" w:w="80"/>
            </w:tcMar>
          </w:tcPr>
          <w:p>
            <w:r>
              <w:rPr>
                <w:b w:val="false"/>
                <w:bCs w:val="false"/>
                <w:sz w:val="17"/>
                <w:szCs w:val="17"/>
              </w:rPr>
              <w:t xml:space="preserve">None</w:t>
            </w:r>
          </w:p>
        </w:tc>
        <w:tc>
          <w:tcPr>
            <w:shd w:fill="EFF3F7" w:val="clear"/>
            <w:tcMar>
              <w:top w:type="dxa" w:w="60"/>
              <w:left w:type="dxa" w:w="80"/>
              <w:bottom w:type="dxa" w:w="60"/>
              <w:right w:type="dxa" w:w="80"/>
            </w:tcMar>
          </w:tcPr>
          <w:p>
            <w:r>
              <w:rPr>
                <w:b w:val="false"/>
                <w:bCs w:val="false"/>
                <w:sz w:val="17"/>
                <w:szCs w:val="17"/>
              </w:rPr>
              <w:t xml:space="preserve">Open, empty — no business-capability realization assessment exists yet</w:t>
            </w:r>
          </w:p>
        </w:tc>
      </w:tr>
      <w:tr>
        <w:tc>
          <w:tcPr>
            <w:tcMar>
              <w:top w:type="dxa" w:w="60"/>
              <w:left w:type="dxa" w:w="80"/>
              <w:bottom w:type="dxa" w:w="60"/>
              <w:right w:type="dxa" w:w="80"/>
            </w:tcMar>
          </w:tcPr>
          <w:p>
            <w:r>
              <w:rPr>
                <w:b w:val="false"/>
                <w:bCs w:val="false"/>
                <w:sz w:val="17"/>
                <w:szCs w:val="17"/>
              </w:rPr>
              <w:t xml:space="preserve">5</w:t>
            </w:r>
          </w:p>
        </w:tc>
        <w:tc>
          <w:tcPr>
            <w:tcMar>
              <w:top w:type="dxa" w:w="60"/>
              <w:left w:type="dxa" w:w="80"/>
              <w:bottom w:type="dxa" w:w="60"/>
              <w:right w:type="dxa" w:w="80"/>
            </w:tcMar>
          </w:tcPr>
          <w:p>
            <w:r>
              <w:rPr>
                <w:b w:val="false"/>
                <w:bCs w:val="false"/>
                <w:sz w:val="17"/>
                <w:szCs w:val="17"/>
              </w:rPr>
              <w:t xml:space="preserve">Knowledge Platform</w:t>
            </w:r>
          </w:p>
        </w:tc>
        <w:tc>
          <w:tcPr>
            <w:tcMar>
              <w:top w:type="dxa" w:w="60"/>
              <w:left w:type="dxa" w:w="80"/>
              <w:bottom w:type="dxa" w:w="60"/>
              <w:right w:type="dxa" w:w="80"/>
            </w:tcMar>
          </w:tcPr>
          <w:p>
            <w:r>
              <w:rPr>
                <w:b w:val="false"/>
                <w:bCs w:val="false"/>
                <w:sz w:val="17"/>
                <w:szCs w:val="17"/>
              </w:rPr>
              <w:t xml:space="preserve">None</w:t>
            </w:r>
          </w:p>
        </w:tc>
        <w:tc>
          <w:tcPr>
            <w:tcMar>
              <w:top w:type="dxa" w:w="60"/>
              <w:left w:type="dxa" w:w="80"/>
              <w:bottom w:type="dxa" w:w="60"/>
              <w:right w:type="dxa" w:w="80"/>
            </w:tcMar>
          </w:tcPr>
          <w:p>
            <w:r>
              <w:rPr>
                <w:b w:val="false"/>
                <w:bCs w:val="false"/>
                <w:sz w:val="17"/>
                <w:szCs w:val="17"/>
              </w:rPr>
              <w:t xml:space="preserve">Open, empty — no knowledge-platform realization assessment exists yet</w:t>
            </w:r>
          </w:p>
        </w:tc>
      </w:tr>
      <w:tr>
        <w:tc>
          <w:tcPr>
            <w:shd w:fill="EFF3F7" w:val="clear"/>
            <w:tcMar>
              <w:top w:type="dxa" w:w="60"/>
              <w:left w:type="dxa" w:w="80"/>
              <w:bottom w:type="dxa" w:w="60"/>
              <w:right w:type="dxa" w:w="80"/>
            </w:tcMar>
          </w:tcPr>
          <w:p>
            <w:r>
              <w:rPr>
                <w:b w:val="false"/>
                <w:bCs w:val="false"/>
                <w:sz w:val="17"/>
                <w:szCs w:val="17"/>
              </w:rPr>
              <w:t xml:space="preserve">6</w:t>
            </w:r>
          </w:p>
        </w:tc>
        <w:tc>
          <w:tcPr>
            <w:shd w:fill="EFF3F7" w:val="clear"/>
            <w:tcMar>
              <w:top w:type="dxa" w:w="60"/>
              <w:left w:type="dxa" w:w="80"/>
              <w:bottom w:type="dxa" w:w="60"/>
              <w:right w:type="dxa" w:w="80"/>
            </w:tcMar>
          </w:tcPr>
          <w:p>
            <w:r>
              <w:rPr>
                <w:b w:val="false"/>
                <w:bCs w:val="false"/>
                <w:sz w:val="17"/>
                <w:szCs w:val="17"/>
              </w:rPr>
              <w:t xml:space="preserve">Integration Platform</w:t>
            </w:r>
          </w:p>
        </w:tc>
        <w:tc>
          <w:tcPr>
            <w:shd w:fill="EFF3F7" w:val="clear"/>
            <w:tcMar>
              <w:top w:type="dxa" w:w="60"/>
              <w:left w:type="dxa" w:w="80"/>
              <w:bottom w:type="dxa" w:w="60"/>
              <w:right w:type="dxa" w:w="80"/>
            </w:tcMar>
          </w:tcPr>
          <w:p>
            <w:r>
              <w:rPr>
                <w:b w:val="false"/>
                <w:bCs w:val="false"/>
                <w:sz w:val="17"/>
                <w:szCs w:val="17"/>
              </w:rPr>
              <w:t xml:space="preserve">None</w:t>
            </w:r>
          </w:p>
        </w:tc>
        <w:tc>
          <w:tcPr>
            <w:shd w:fill="EFF3F7" w:val="clear"/>
            <w:tcMar>
              <w:top w:type="dxa" w:w="60"/>
              <w:left w:type="dxa" w:w="80"/>
              <w:bottom w:type="dxa" w:w="60"/>
              <w:right w:type="dxa" w:w="80"/>
            </w:tcMar>
          </w:tcPr>
          <w:p>
            <w:r>
              <w:rPr>
                <w:b w:val="false"/>
                <w:bCs w:val="false"/>
                <w:sz w:val="17"/>
                <w:szCs w:val="17"/>
              </w:rPr>
              <w:t xml:space="preserve">Open, empty — no integration realization assessment exists yet</w:t>
            </w:r>
          </w:p>
        </w:tc>
      </w:tr>
      <w:tr>
        <w:tc>
          <w:tcPr>
            <w:tcMar>
              <w:top w:type="dxa" w:w="60"/>
              <w:left w:type="dxa" w:w="80"/>
              <w:bottom w:type="dxa" w:w="60"/>
              <w:right w:type="dxa" w:w="80"/>
            </w:tcMar>
          </w:tcPr>
          <w:p>
            <w:r>
              <w:rPr>
                <w:b w:val="false"/>
                <w:bCs w:val="false"/>
                <w:sz w:val="17"/>
                <w:szCs w:val="17"/>
              </w:rPr>
              <w:t xml:space="preserve">7</w:t>
            </w:r>
          </w:p>
        </w:tc>
        <w:tc>
          <w:tcPr>
            <w:tcMar>
              <w:top w:type="dxa" w:w="60"/>
              <w:left w:type="dxa" w:w="80"/>
              <w:bottom w:type="dxa" w:w="60"/>
              <w:right w:type="dxa" w:w="80"/>
            </w:tcMar>
          </w:tcPr>
          <w:p>
            <w:r>
              <w:rPr>
                <w:b w:val="false"/>
                <w:bCs w:val="false"/>
                <w:sz w:val="17"/>
                <w:szCs w:val="17"/>
              </w:rPr>
              <w:t xml:space="preserve">Operations &amp; Observability</w:t>
            </w:r>
          </w:p>
        </w:tc>
        <w:tc>
          <w:tcPr>
            <w:tcMar>
              <w:top w:type="dxa" w:w="60"/>
              <w:left w:type="dxa" w:w="80"/>
              <w:bottom w:type="dxa" w:w="60"/>
              <w:right w:type="dxa" w:w="80"/>
            </w:tcMar>
          </w:tcPr>
          <w:p>
            <w:r>
              <w:rPr>
                <w:b w:val="false"/>
                <w:bCs w:val="false"/>
                <w:sz w:val="17"/>
                <w:szCs w:val="17"/>
              </w:rPr>
              <w:t xml:space="preserve">None</w:t>
            </w:r>
          </w:p>
        </w:tc>
        <w:tc>
          <w:tcPr>
            <w:tcMar>
              <w:top w:type="dxa" w:w="60"/>
              <w:left w:type="dxa" w:w="80"/>
              <w:bottom w:type="dxa" w:w="60"/>
              <w:right w:type="dxa" w:w="80"/>
            </w:tcMar>
          </w:tcPr>
          <w:p>
            <w:r>
              <w:rPr>
                <w:b w:val="false"/>
                <w:bCs w:val="false"/>
                <w:sz w:val="17"/>
                <w:szCs w:val="17"/>
              </w:rPr>
              <w:t xml:space="preserve">Open, empty — no operations realization assessment exists yet</w:t>
            </w:r>
          </w:p>
        </w:tc>
      </w:tr>
      <w:tr>
        <w:tc>
          <w:tcPr>
            <w:shd w:fill="EFF3F7" w:val="clear"/>
            <w:tcMar>
              <w:top w:type="dxa" w:w="60"/>
              <w:left w:type="dxa" w:w="80"/>
              <w:bottom w:type="dxa" w:w="60"/>
              <w:right w:type="dxa" w:w="80"/>
            </w:tcMar>
          </w:tcPr>
          <w:p>
            <w:r>
              <w:rPr>
                <w:b w:val="false"/>
                <w:bCs w:val="false"/>
                <w:sz w:val="17"/>
                <w:szCs w:val="17"/>
              </w:rPr>
              <w:t xml:space="preserve">8</w:t>
            </w:r>
          </w:p>
        </w:tc>
        <w:tc>
          <w:tcPr>
            <w:shd w:fill="EFF3F7" w:val="clear"/>
            <w:tcMar>
              <w:top w:type="dxa" w:w="60"/>
              <w:left w:type="dxa" w:w="80"/>
              <w:bottom w:type="dxa" w:w="60"/>
              <w:right w:type="dxa" w:w="80"/>
            </w:tcMar>
          </w:tcPr>
          <w:p>
            <w:r>
              <w:rPr>
                <w:b w:val="false"/>
                <w:bCs w:val="false"/>
                <w:sz w:val="17"/>
                <w:szCs w:val="17"/>
              </w:rPr>
              <w:t xml:space="preserve">Governance &amp; Quality</w:t>
            </w:r>
          </w:p>
        </w:tc>
        <w:tc>
          <w:tcPr>
            <w:shd w:fill="EFF3F7" w:val="clear"/>
            <w:tcMar>
              <w:top w:type="dxa" w:w="60"/>
              <w:left w:type="dxa" w:w="80"/>
              <w:bottom w:type="dxa" w:w="60"/>
              <w:right w:type="dxa" w:w="80"/>
            </w:tcMar>
          </w:tcPr>
          <w:p>
            <w:r>
              <w:rPr>
                <w:b w:val="false"/>
                <w:bCs w:val="false"/>
                <w:sz w:val="17"/>
                <w:szCs w:val="17"/>
              </w:rPr>
              <w:t xml:space="preserve">WP-0006</w:t>
            </w:r>
          </w:p>
        </w:tc>
        <w:tc>
          <w:tcPr>
            <w:shd w:fill="EFF3F7" w:val="clear"/>
            <w:tcMar>
              <w:top w:type="dxa" w:w="60"/>
              <w:left w:type="dxa" w:w="80"/>
              <w:bottom w:type="dxa" w:w="60"/>
              <w:right w:type="dxa" w:w="80"/>
            </w:tcMar>
          </w:tcPr>
          <w:p>
            <w:r>
              <w:rPr>
                <w:b w:val="false"/>
                <w:bCs w:val="false"/>
                <w:sz w:val="17"/>
                <w:szCs w:val="17"/>
              </w:rPr>
              <w:t xml:space="preserve">Active — 1 evidenced WP, treated as the portfolio's own precondition</w:t>
            </w:r>
          </w:p>
        </w:tc>
      </w:tr>
    </w:tbl>
    <w:p>
      <w:pPr>
        <w:spacing w:after="120"/>
      </w:pPr>
      <w:r>
        <w:rPr>
          <w:sz w:val="20"/>
          <w:szCs w:val="20"/>
        </w:rPr>
        <w:t xml:space="preserve">Portfolios 3–7 remain in the enterprise structure so future ERP phases can populate them without renumbering — consistent with Phase A.3's permanent-ID policy — but no work is scheduled against them until a corresponding Phase A.1-style assessment produces AR/EGD evidence in that domain.</w:t>
      </w:r>
    </w:p>
    <w:p>
      <w:r>
        <w:br w:type="page"/>
      </w:r>
    </w:p>
    <w:p>
      <w:pPr>
        <w:pStyle w:val="Heading1"/>
        <w:spacing w:after="120" w:before="300"/>
      </w:pPr>
      <w:r>
        <w:t xml:space="preserve">4. Work Package Portfolio</w:t>
      </w:r>
    </w:p>
    <w:p>
      <w:pPr>
        <w:spacing w:after="120"/>
      </w:pPr>
      <w:r>
        <w:rPr>
          <w:sz w:val="20"/>
          <w:szCs w:val="20"/>
        </w:rPr>
        <w:t xml:space="preserve">All six work packages from Phase A.3 §9, mapped to portfolio with full delivery attributes.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WP</w:t>
            </w:r>
          </w:p>
        </w:tc>
        <w:tc>
          <w:tcPr>
            <w:shd w:fill="1F2A44" w:val="clear"/>
            <w:tcMar>
              <w:top w:type="dxa" w:w="60"/>
              <w:left w:type="dxa" w:w="80"/>
              <w:bottom w:type="dxa" w:w="60"/>
              <w:right w:type="dxa" w:w="80"/>
            </w:tcMar>
          </w:tcPr>
          <w:p>
            <w:r>
              <w:rPr>
                <w:b/>
                <w:bCs/>
                <w:color w:val="FFFFFF"/>
                <w:sz w:val="17"/>
                <w:szCs w:val="17"/>
              </w:rPr>
              <w:t xml:space="preserve">Portfolio</w:t>
            </w:r>
          </w:p>
        </w:tc>
        <w:tc>
          <w:tcPr>
            <w:shd w:fill="1F2A44" w:val="clear"/>
            <w:tcMar>
              <w:top w:type="dxa" w:w="60"/>
              <w:left w:type="dxa" w:w="80"/>
              <w:bottom w:type="dxa" w:w="60"/>
              <w:right w:type="dxa" w:w="80"/>
            </w:tcMar>
          </w:tcPr>
          <w:p>
            <w:r>
              <w:rPr>
                <w:b/>
                <w:bCs/>
                <w:color w:val="FFFFFF"/>
                <w:sz w:val="17"/>
                <w:szCs w:val="17"/>
              </w:rPr>
              <w:t xml:space="preserve">AR / EGD</w:t>
            </w:r>
          </w:p>
        </w:tc>
        <w:tc>
          <w:tcPr>
            <w:shd w:fill="1F2A44" w:val="clear"/>
            <w:tcMar>
              <w:top w:type="dxa" w:w="60"/>
              <w:left w:type="dxa" w:w="80"/>
              <w:bottom w:type="dxa" w:w="60"/>
              <w:right w:type="dxa" w:w="80"/>
            </w:tcMar>
          </w:tcPr>
          <w:p>
            <w:r>
              <w:rPr>
                <w:b/>
                <w:bCs/>
                <w:color w:val="FFFFFF"/>
                <w:sz w:val="17"/>
                <w:szCs w:val="17"/>
              </w:rPr>
              <w:t xml:space="preserve">Dependencies</w:t>
            </w:r>
          </w:p>
        </w:tc>
        <w:tc>
          <w:tcPr>
            <w:shd w:fill="1F2A44" w:val="clear"/>
            <w:tcMar>
              <w:top w:type="dxa" w:w="60"/>
              <w:left w:type="dxa" w:w="80"/>
              <w:bottom w:type="dxa" w:w="60"/>
              <w:right w:type="dxa" w:w="80"/>
            </w:tcMar>
          </w:tcPr>
          <w:p>
            <w:r>
              <w:rPr>
                <w:b/>
                <w:bCs/>
                <w:color w:val="FFFFFF"/>
                <w:sz w:val="17"/>
                <w:szCs w:val="17"/>
              </w:rPr>
              <w:t xml:space="preserve">Effort</w:t>
            </w:r>
          </w:p>
        </w:tc>
        <w:tc>
          <w:tcPr>
            <w:shd w:fill="1F2A44" w:val="clear"/>
            <w:tcMar>
              <w:top w:type="dxa" w:w="60"/>
              <w:left w:type="dxa" w:w="80"/>
              <w:bottom w:type="dxa" w:w="60"/>
              <w:right w:type="dxa" w:w="80"/>
            </w:tcMar>
          </w:tcPr>
          <w:p>
            <w:r>
              <w:rPr>
                <w:b/>
                <w:bCs/>
                <w:color w:val="FFFFFF"/>
                <w:sz w:val="17"/>
                <w:szCs w:val="17"/>
              </w:rPr>
              <w:t xml:space="preserve">Complexity</w:t>
            </w:r>
          </w:p>
        </w:tc>
        <w:tc>
          <w:tcPr>
            <w:shd w:fill="1F2A44" w:val="clear"/>
            <w:tcMar>
              <w:top w:type="dxa" w:w="60"/>
              <w:left w:type="dxa" w:w="80"/>
              <w:bottom w:type="dxa" w:w="60"/>
              <w:right w:type="dxa" w:w="80"/>
            </w:tcMar>
          </w:tcPr>
          <w:p>
            <w:r>
              <w:rPr>
                <w:b/>
                <w:bCs/>
                <w:color w:val="FFFFFF"/>
                <w:sz w:val="17"/>
                <w:szCs w:val="17"/>
              </w:rPr>
              <w:t xml:space="preserve">Business Value</w:t>
            </w:r>
          </w:p>
        </w:tc>
        <w:tc>
          <w:tcPr>
            <w:shd w:fill="1F2A44" w:val="clear"/>
            <w:tcMar>
              <w:top w:type="dxa" w:w="60"/>
              <w:left w:type="dxa" w:w="80"/>
              <w:bottom w:type="dxa" w:w="60"/>
              <w:right w:type="dxa" w:w="80"/>
            </w:tcMar>
          </w:tcPr>
          <w:p>
            <w:r>
              <w:rPr>
                <w:b/>
                <w:bCs/>
                <w:color w:val="FFFFFF"/>
                <w:sz w:val="17"/>
                <w:szCs w:val="17"/>
              </w:rPr>
              <w:t xml:space="preserve">Risk</w:t>
            </w:r>
          </w:p>
        </w:tc>
        <w:tc>
          <w:tcPr>
            <w:shd w:fill="1F2A44" w:val="clear"/>
            <w:tcMar>
              <w:top w:type="dxa" w:w="60"/>
              <w:left w:type="dxa" w:w="80"/>
              <w:bottom w:type="dxa" w:w="60"/>
              <w:right w:type="dxa" w:w="80"/>
            </w:tcMar>
          </w:tcPr>
          <w:p>
            <w:r>
              <w:rPr>
                <w:b/>
                <w:bCs/>
                <w:color w:val="FFFFFF"/>
                <w:sz w:val="17"/>
                <w:szCs w:val="17"/>
              </w:rPr>
              <w:t xml:space="preserve">Target Milestone</w:t>
            </w:r>
          </w:p>
        </w:tc>
      </w:tr>
      <w:tr>
        <w:tc>
          <w:tcPr>
            <w:tcMar>
              <w:top w:type="dxa" w:w="60"/>
              <w:left w:type="dxa" w:w="80"/>
              <w:bottom w:type="dxa" w:w="60"/>
              <w:right w:type="dxa" w:w="80"/>
            </w:tcMar>
          </w:tcPr>
          <w:p>
            <w:r>
              <w:rPr>
                <w:b w:val="false"/>
                <w:bCs w:val="false"/>
                <w:sz w:val="17"/>
                <w:szCs w:val="17"/>
              </w:rPr>
              <w:t xml:space="preserve">WP-0001</w:t>
            </w:r>
          </w:p>
        </w:tc>
        <w:tc>
          <w:tcPr>
            <w:tcMar>
              <w:top w:type="dxa" w:w="60"/>
              <w:left w:type="dxa" w:w="80"/>
              <w:bottom w:type="dxa" w:w="60"/>
              <w:right w:type="dxa" w:w="80"/>
            </w:tcMar>
          </w:tcPr>
          <w:p>
            <w:r>
              <w:rPr>
                <w:b w:val="false"/>
                <w:bCs w:val="false"/>
                <w:sz w:val="17"/>
                <w:szCs w:val="17"/>
              </w:rPr>
              <w:t xml:space="preserve">1 — Data Platform</w:t>
            </w:r>
          </w:p>
        </w:tc>
        <w:tc>
          <w:tcPr>
            <w:tcMar>
              <w:top w:type="dxa" w:w="60"/>
              <w:left w:type="dxa" w:w="80"/>
              <w:bottom w:type="dxa" w:w="60"/>
              <w:right w:type="dxa" w:w="80"/>
            </w:tcMar>
          </w:tcPr>
          <w:p>
            <w:r>
              <w:rPr>
                <w:b w:val="false"/>
                <w:bCs w:val="false"/>
                <w:sz w:val="17"/>
                <w:szCs w:val="17"/>
              </w:rPr>
              <w:t xml:space="preserve">AR-0002 / EGD-0002</w:t>
            </w:r>
          </w:p>
        </w:tc>
        <w:tc>
          <w:tcPr>
            <w:tcMar>
              <w:top w:type="dxa" w:w="60"/>
              <w:left w:type="dxa" w:w="80"/>
              <w:bottom w:type="dxa" w:w="60"/>
              <w:right w:type="dxa" w:w="80"/>
            </w:tcMar>
          </w:tcPr>
          <w:p>
            <w:r>
              <w:rPr>
                <w:b w:val="false"/>
                <w:bCs w:val="false"/>
                <w:sz w:val="17"/>
                <w:szCs w:val="17"/>
              </w:rPr>
              <w:t xml:space="preserve">Benefits from WP-0006 (owner assigned first)</w:t>
            </w:r>
          </w:p>
        </w:tc>
        <w:tc>
          <w:tcPr>
            <w:tcMar>
              <w:top w:type="dxa" w:w="60"/>
              <w:left w:type="dxa" w:w="80"/>
              <w:bottom w:type="dxa" w:w="60"/>
              <w:right w:type="dxa" w:w="80"/>
            </w:tcMar>
          </w:tcPr>
          <w:p>
            <w:r>
              <w:rPr>
                <w:b w:val="false"/>
                <w:bCs w:val="false"/>
                <w:sz w:val="17"/>
                <w:szCs w:val="17"/>
              </w:rPr>
              <w:t xml:space="preserve">1 session (doc)</w:t>
            </w:r>
          </w:p>
        </w:tc>
        <w:tc>
          <w:tcPr>
            <w:tcMar>
              <w:top w:type="dxa" w:w="60"/>
              <w:left w:type="dxa" w:w="80"/>
              <w:bottom w:type="dxa" w:w="60"/>
              <w:right w:type="dxa" w:w="80"/>
            </w:tcMar>
          </w:tcPr>
          <w:p>
            <w:r>
              <w:rPr>
                <w:b w:val="false"/>
                <w:bCs w:val="false"/>
                <w:sz w:val="17"/>
                <w:szCs w:val="17"/>
              </w:rPr>
              <w:t xml:space="preserve">Low</w:t>
            </w:r>
          </w:p>
        </w:tc>
        <w:tc>
          <w:tcPr>
            <w:tcMar>
              <w:top w:type="dxa" w:w="60"/>
              <w:left w:type="dxa" w:w="80"/>
              <w:bottom w:type="dxa" w:w="60"/>
              <w:right w:type="dxa" w:w="80"/>
            </w:tcMar>
          </w:tcPr>
          <w:p>
            <w:r>
              <w:rPr>
                <w:b w:val="false"/>
                <w:bCs w:val="false"/>
                <w:sz w:val="17"/>
                <w:szCs w:val="17"/>
              </w:rPr>
              <w:t xml:space="preserve">High — resolves top-rated baseline risk</w:t>
            </w:r>
          </w:p>
        </w:tc>
        <w:tc>
          <w:tcPr>
            <w:tcMar>
              <w:top w:type="dxa" w:w="60"/>
              <w:left w:type="dxa" w:w="80"/>
              <w:bottom w:type="dxa" w:w="60"/>
              <w:right w:type="dxa" w:w="80"/>
            </w:tcMar>
          </w:tcPr>
          <w:p>
            <w:r>
              <w:rPr>
                <w:b w:val="false"/>
                <w:bCs w:val="false"/>
                <w:sz w:val="17"/>
                <w:szCs w:val="17"/>
              </w:rPr>
              <w:t xml:space="preserve">Low</w:t>
            </w:r>
          </w:p>
        </w:tc>
        <w:tc>
          <w:tcPr>
            <w:tcMar>
              <w:top w:type="dxa" w:w="60"/>
              <w:left w:type="dxa" w:w="80"/>
              <w:bottom w:type="dxa" w:w="60"/>
              <w:right w:type="dxa" w:w="80"/>
            </w:tcMar>
          </w:tcPr>
          <w:p>
            <w:r>
              <w:rPr>
                <w:b w:val="false"/>
                <w:bCs w:val="false"/>
                <w:sz w:val="17"/>
                <w:szCs w:val="17"/>
              </w:rPr>
              <w:t xml:space="preserve">Data Platform Ready</w:t>
            </w:r>
          </w:p>
        </w:tc>
      </w:tr>
      <w:tr>
        <w:tc>
          <w:tcPr>
            <w:shd w:fill="EFF3F7" w:val="clear"/>
            <w:tcMar>
              <w:top w:type="dxa" w:w="60"/>
              <w:left w:type="dxa" w:w="80"/>
              <w:bottom w:type="dxa" w:w="60"/>
              <w:right w:type="dxa" w:w="80"/>
            </w:tcMar>
          </w:tcPr>
          <w:p>
            <w:r>
              <w:rPr>
                <w:b w:val="false"/>
                <w:bCs w:val="false"/>
                <w:sz w:val="17"/>
                <w:szCs w:val="17"/>
              </w:rPr>
              <w:t xml:space="preserve">WP-0002</w:t>
            </w:r>
          </w:p>
        </w:tc>
        <w:tc>
          <w:tcPr>
            <w:shd w:fill="EFF3F7" w:val="clear"/>
            <w:tcMar>
              <w:top w:type="dxa" w:w="60"/>
              <w:left w:type="dxa" w:w="80"/>
              <w:bottom w:type="dxa" w:w="60"/>
              <w:right w:type="dxa" w:w="80"/>
            </w:tcMar>
          </w:tcPr>
          <w:p>
            <w:r>
              <w:rPr>
                <w:b w:val="false"/>
                <w:bCs w:val="false"/>
                <w:sz w:val="17"/>
                <w:szCs w:val="17"/>
              </w:rPr>
              <w:t xml:space="preserve">2 — Security</w:t>
            </w:r>
          </w:p>
        </w:tc>
        <w:tc>
          <w:tcPr>
            <w:shd w:fill="EFF3F7" w:val="clear"/>
            <w:tcMar>
              <w:top w:type="dxa" w:w="60"/>
              <w:left w:type="dxa" w:w="80"/>
              <w:bottom w:type="dxa" w:w="60"/>
              <w:right w:type="dxa" w:w="80"/>
            </w:tcMar>
          </w:tcPr>
          <w:p>
            <w:r>
              <w:rPr>
                <w:b w:val="false"/>
                <w:bCs w:val="false"/>
                <w:sz w:val="17"/>
                <w:szCs w:val="17"/>
              </w:rPr>
              <w:t xml:space="preserve">AR-0007 / EGD-0007</w:t>
            </w:r>
          </w:p>
        </w:tc>
        <w:tc>
          <w:tcPr>
            <w:shd w:fill="EFF3F7" w:val="clear"/>
            <w:tcMar>
              <w:top w:type="dxa" w:w="60"/>
              <w:left w:type="dxa" w:w="80"/>
              <w:bottom w:type="dxa" w:w="60"/>
              <w:right w:type="dxa" w:w="80"/>
            </w:tcMar>
          </w:tcPr>
          <w:p>
            <w:r>
              <w:rPr>
                <w:b w:val="false"/>
                <w:bCs w:val="false"/>
                <w:sz w:val="17"/>
                <w:szCs w:val="17"/>
              </w:rPr>
              <w:t xml:space="preserve">None — startable immediately</w:t>
            </w:r>
          </w:p>
        </w:tc>
        <w:tc>
          <w:tcPr>
            <w:shd w:fill="EFF3F7" w:val="clear"/>
            <w:tcMar>
              <w:top w:type="dxa" w:w="60"/>
              <w:left w:type="dxa" w:w="80"/>
              <w:bottom w:type="dxa" w:w="60"/>
              <w:right w:type="dxa" w:w="80"/>
            </w:tcMar>
          </w:tcPr>
          <w:p>
            <w:r>
              <w:rPr>
                <w:b w:val="false"/>
                <w:bCs w:val="false"/>
                <w:sz w:val="17"/>
                <w:szCs w:val="17"/>
              </w:rPr>
              <w:t xml:space="preserve">1–2 days</w:t>
            </w:r>
          </w:p>
        </w:tc>
        <w:tc>
          <w:tcPr>
            <w:shd w:fill="EFF3F7" w:val="clear"/>
            <w:tcMar>
              <w:top w:type="dxa" w:w="60"/>
              <w:left w:type="dxa" w:w="80"/>
              <w:bottom w:type="dxa" w:w="60"/>
              <w:right w:type="dxa" w:w="80"/>
            </w:tcMar>
          </w:tcPr>
          <w:p>
            <w:r>
              <w:rPr>
                <w:b w:val="false"/>
                <w:bCs w:val="false"/>
                <w:sz w:val="17"/>
                <w:szCs w:val="17"/>
              </w:rPr>
              <w:t xml:space="preserve">Low</w:t>
            </w:r>
          </w:p>
        </w:tc>
        <w:tc>
          <w:tcPr>
            <w:shd w:fill="EFF3F7" w:val="clear"/>
            <w:tcMar>
              <w:top w:type="dxa" w:w="60"/>
              <w:left w:type="dxa" w:w="80"/>
              <w:bottom w:type="dxa" w:w="60"/>
              <w:right w:type="dxa" w:w="80"/>
            </w:tcMar>
          </w:tcPr>
          <w:p>
            <w:r>
              <w:rPr>
                <w:b w:val="false"/>
                <w:bCs w:val="false"/>
                <w:sz w:val="17"/>
                <w:szCs w:val="17"/>
              </w:rPr>
              <w:t xml:space="preserve">High — closes Critical-until-verified gap</w:t>
            </w:r>
          </w:p>
        </w:tc>
        <w:tc>
          <w:tcPr>
            <w:shd w:fill="EFF3F7" w:val="clear"/>
            <w:tcMar>
              <w:top w:type="dxa" w:w="60"/>
              <w:left w:type="dxa" w:w="80"/>
              <w:bottom w:type="dxa" w:w="60"/>
              <w:right w:type="dxa" w:w="80"/>
            </w:tcMar>
          </w:tcPr>
          <w:p>
            <w:r>
              <w:rPr>
                <w:b w:val="false"/>
                <w:bCs w:val="false"/>
                <w:sz w:val="17"/>
                <w:szCs w:val="17"/>
              </w:rPr>
              <w:t xml:space="preserve">High if gap confirmed</w:t>
            </w:r>
          </w:p>
        </w:tc>
        <w:tc>
          <w:tcPr>
            <w:shd w:fill="EFF3F7" w:val="clear"/>
            <w:tcMar>
              <w:top w:type="dxa" w:w="60"/>
              <w:left w:type="dxa" w:w="80"/>
              <w:bottom w:type="dxa" w:w="60"/>
              <w:right w:type="dxa" w:w="80"/>
            </w:tcMar>
          </w:tcPr>
          <w:p>
            <w:r>
              <w:rPr>
                <w:b w:val="false"/>
                <w:bCs w:val="false"/>
                <w:sz w:val="17"/>
                <w:szCs w:val="17"/>
              </w:rPr>
              <w:t xml:space="preserve">Critical Security Complete</w:t>
            </w:r>
          </w:p>
        </w:tc>
      </w:tr>
      <w:tr>
        <w:tc>
          <w:tcPr>
            <w:tcMar>
              <w:top w:type="dxa" w:w="60"/>
              <w:left w:type="dxa" w:w="80"/>
              <w:bottom w:type="dxa" w:w="60"/>
              <w:right w:type="dxa" w:w="80"/>
            </w:tcMar>
          </w:tcPr>
          <w:p>
            <w:r>
              <w:rPr>
                <w:b w:val="false"/>
                <w:bCs w:val="false"/>
                <w:sz w:val="17"/>
                <w:szCs w:val="17"/>
              </w:rPr>
              <w:t xml:space="preserve">WP-0003</w:t>
            </w:r>
          </w:p>
        </w:tc>
        <w:tc>
          <w:tcPr>
            <w:tcMar>
              <w:top w:type="dxa" w:w="60"/>
              <w:left w:type="dxa" w:w="80"/>
              <w:bottom w:type="dxa" w:w="60"/>
              <w:right w:type="dxa" w:w="80"/>
            </w:tcMar>
          </w:tcPr>
          <w:p>
            <w:r>
              <w:rPr>
                <w:b w:val="false"/>
                <w:bCs w:val="false"/>
                <w:sz w:val="17"/>
                <w:szCs w:val="17"/>
              </w:rPr>
              <w:t xml:space="preserve">1 — Data Platform</w:t>
            </w:r>
          </w:p>
        </w:tc>
        <w:tc>
          <w:tcPr>
            <w:tcMar>
              <w:top w:type="dxa" w:w="60"/>
              <w:left w:type="dxa" w:w="80"/>
              <w:bottom w:type="dxa" w:w="60"/>
              <w:right w:type="dxa" w:w="80"/>
            </w:tcMar>
          </w:tcPr>
          <w:p>
            <w:r>
              <w:rPr>
                <w:b w:val="false"/>
                <w:bCs w:val="false"/>
                <w:sz w:val="17"/>
                <w:szCs w:val="17"/>
              </w:rPr>
              <w:t xml:space="preserve">AR-0004 / EGD-0004</w:t>
            </w:r>
          </w:p>
        </w:tc>
        <w:tc>
          <w:tcPr>
            <w:tcMar>
              <w:top w:type="dxa" w:w="60"/>
              <w:left w:type="dxa" w:w="80"/>
              <w:bottom w:type="dxa" w:w="60"/>
              <w:right w:type="dxa" w:w="80"/>
            </w:tcMar>
          </w:tcPr>
          <w:p>
            <w:r>
              <w:rPr>
                <w:b w:val="false"/>
                <w:bCs w:val="false"/>
                <w:sz w:val="17"/>
                <w:szCs w:val="17"/>
              </w:rPr>
              <w:t xml:space="preserve">Requires row-count/growth data (external)</w:t>
            </w:r>
          </w:p>
        </w:tc>
        <w:tc>
          <w:tcPr>
            <w:tcMar>
              <w:top w:type="dxa" w:w="60"/>
              <w:left w:type="dxa" w:w="80"/>
              <w:bottom w:type="dxa" w:w="60"/>
              <w:right w:type="dxa" w:w="80"/>
            </w:tcMar>
          </w:tcPr>
          <w:p>
            <w:r>
              <w:rPr>
                <w:b w:val="false"/>
                <w:bCs w:val="false"/>
                <w:sz w:val="17"/>
                <w:szCs w:val="17"/>
              </w:rPr>
              <w:t xml:space="preserve">1 sprint (assessment)</w:t>
            </w:r>
          </w:p>
        </w:tc>
        <w:tc>
          <w:tcPr>
            <w:tcMar>
              <w:top w:type="dxa" w:w="60"/>
              <w:left w:type="dxa" w:w="80"/>
              <w:bottom w:type="dxa" w:w="60"/>
              <w:right w:type="dxa" w:w="80"/>
            </w:tcMar>
          </w:tcPr>
          <w:p>
            <w:r>
              <w:rPr>
                <w:b w:val="false"/>
                <w:bCs w:val="false"/>
                <w:sz w:val="17"/>
                <w:szCs w:val="17"/>
              </w:rPr>
              <w:t xml:space="preserve">Medium</w:t>
            </w:r>
          </w:p>
        </w:tc>
        <w:tc>
          <w:tcPr>
            <w:tcMar>
              <w:top w:type="dxa" w:w="60"/>
              <w:left w:type="dxa" w:w="80"/>
              <w:bottom w:type="dxa" w:w="60"/>
              <w:right w:type="dxa" w:w="80"/>
            </w:tcMar>
          </w:tcPr>
          <w:p>
            <w:r>
              <w:rPr>
                <w:b w:val="false"/>
                <w:bCs w:val="false"/>
                <w:sz w:val="17"/>
                <w:szCs w:val="17"/>
              </w:rPr>
              <w:t xml:space="preserve">Medium, time-sensitive</w:t>
            </w:r>
          </w:p>
        </w:tc>
        <w:tc>
          <w:tcPr>
            <w:tcMar>
              <w:top w:type="dxa" w:w="60"/>
              <w:left w:type="dxa" w:w="80"/>
              <w:bottom w:type="dxa" w:w="60"/>
              <w:right w:type="dxa" w:w="80"/>
            </w:tcMar>
          </w:tcPr>
          <w:p>
            <w:r>
              <w:rPr>
                <w:b w:val="false"/>
                <w:bCs w:val="false"/>
                <w:sz w:val="17"/>
                <w:szCs w:val="17"/>
              </w:rPr>
              <w:t xml:space="preserve">Medium, growing</w:t>
            </w:r>
          </w:p>
        </w:tc>
        <w:tc>
          <w:tcPr>
            <w:tcMar>
              <w:top w:type="dxa" w:w="60"/>
              <w:left w:type="dxa" w:w="80"/>
              <w:bottom w:type="dxa" w:w="60"/>
              <w:right w:type="dxa" w:w="80"/>
            </w:tcMar>
          </w:tcPr>
          <w:p>
            <w:r>
              <w:rPr>
                <w:b w:val="false"/>
                <w:bCs w:val="false"/>
                <w:sz w:val="17"/>
                <w:szCs w:val="17"/>
              </w:rPr>
              <w:t xml:space="preserve">Data Platform Ready</w:t>
            </w:r>
          </w:p>
        </w:tc>
      </w:tr>
      <w:tr>
        <w:tc>
          <w:tcPr>
            <w:shd w:fill="EFF3F7" w:val="clear"/>
            <w:tcMar>
              <w:top w:type="dxa" w:w="60"/>
              <w:left w:type="dxa" w:w="80"/>
              <w:bottom w:type="dxa" w:w="60"/>
              <w:right w:type="dxa" w:w="80"/>
            </w:tcMar>
          </w:tcPr>
          <w:p>
            <w:r>
              <w:rPr>
                <w:b w:val="false"/>
                <w:bCs w:val="false"/>
                <w:sz w:val="17"/>
                <w:szCs w:val="17"/>
              </w:rPr>
              <w:t xml:space="preserve">WP-0004</w:t>
            </w:r>
          </w:p>
        </w:tc>
        <w:tc>
          <w:tcPr>
            <w:shd w:fill="EFF3F7" w:val="clear"/>
            <w:tcMar>
              <w:top w:type="dxa" w:w="60"/>
              <w:left w:type="dxa" w:w="80"/>
              <w:bottom w:type="dxa" w:w="60"/>
              <w:right w:type="dxa" w:w="80"/>
            </w:tcMar>
          </w:tcPr>
          <w:p>
            <w:r>
              <w:rPr>
                <w:b w:val="false"/>
                <w:bCs w:val="false"/>
                <w:sz w:val="17"/>
                <w:szCs w:val="17"/>
              </w:rPr>
              <w:t xml:space="preserve">1 — Data Platform</w:t>
            </w:r>
          </w:p>
        </w:tc>
        <w:tc>
          <w:tcPr>
            <w:shd w:fill="EFF3F7" w:val="clear"/>
            <w:tcMar>
              <w:top w:type="dxa" w:w="60"/>
              <w:left w:type="dxa" w:w="80"/>
              <w:bottom w:type="dxa" w:w="60"/>
              <w:right w:type="dxa" w:w="80"/>
            </w:tcMar>
          </w:tcPr>
          <w:p>
            <w:r>
              <w:rPr>
                <w:b w:val="false"/>
                <w:bCs w:val="false"/>
                <w:sz w:val="17"/>
                <w:szCs w:val="17"/>
              </w:rPr>
              <w:t xml:space="preserve">AR-0003 / EGD-0003</w:t>
            </w:r>
          </w:p>
        </w:tc>
        <w:tc>
          <w:tcPr>
            <w:shd w:fill="EFF3F7" w:val="clear"/>
            <w:tcMar>
              <w:top w:type="dxa" w:w="60"/>
              <w:left w:type="dxa" w:w="80"/>
              <w:bottom w:type="dxa" w:w="60"/>
              <w:right w:type="dxa" w:w="80"/>
            </w:tcMar>
          </w:tcPr>
          <w:p>
            <w:r>
              <w:rPr>
                <w:b w:val="false"/>
                <w:bCs w:val="false"/>
                <w:sz w:val="17"/>
                <w:szCs w:val="17"/>
              </w:rPr>
              <w:t xml:space="preserve">Benefits from WP-0001 naming clarity</w:t>
            </w:r>
          </w:p>
        </w:tc>
        <w:tc>
          <w:tcPr>
            <w:shd w:fill="EFF3F7" w:val="clear"/>
            <w:tcMar>
              <w:top w:type="dxa" w:w="60"/>
              <w:left w:type="dxa" w:w="80"/>
              <w:bottom w:type="dxa" w:w="60"/>
              <w:right w:type="dxa" w:w="80"/>
            </w:tcMar>
          </w:tcPr>
          <w:p>
            <w:r>
              <w:rPr>
                <w:b w:val="false"/>
                <w:bCs w:val="false"/>
                <w:sz w:val="17"/>
                <w:szCs w:val="17"/>
              </w:rPr>
              <w:t xml:space="preserve">1 session (doc) to high if retrofit triggered</w:t>
            </w:r>
          </w:p>
        </w:tc>
        <w:tc>
          <w:tcPr>
            <w:shd w:fill="EFF3F7" w:val="clear"/>
            <w:tcMar>
              <w:top w:type="dxa" w:w="60"/>
              <w:left w:type="dxa" w:w="80"/>
              <w:bottom w:type="dxa" w:w="60"/>
              <w:right w:type="dxa" w:w="80"/>
            </w:tcMar>
          </w:tcPr>
          <w:p>
            <w:r>
              <w:rPr>
                <w:b w:val="false"/>
                <w:bCs w:val="false"/>
                <w:sz w:val="17"/>
                <w:szCs w:val="17"/>
              </w:rPr>
              <w:t xml:space="preserve">Low–High (conditional)</w:t>
            </w:r>
          </w:p>
        </w:tc>
        <w:tc>
          <w:tcPr>
            <w:shd w:fill="EFF3F7" w:val="clear"/>
            <w:tcMar>
              <w:top w:type="dxa" w:w="60"/>
              <w:left w:type="dxa" w:w="80"/>
              <w:bottom w:type="dxa" w:w="60"/>
              <w:right w:type="dxa" w:w="80"/>
            </w:tcMar>
          </w:tcPr>
          <w:p>
            <w:r>
              <w:rPr>
                <w:b w:val="false"/>
                <w:bCs w:val="false"/>
                <w:sz w:val="17"/>
                <w:szCs w:val="17"/>
              </w:rPr>
              <w:t xml:space="preserve">Medium</w:t>
            </w:r>
          </w:p>
        </w:tc>
        <w:tc>
          <w:tcPr>
            <w:shd w:fill="EFF3F7" w:val="clear"/>
            <w:tcMar>
              <w:top w:type="dxa" w:w="60"/>
              <w:left w:type="dxa" w:w="80"/>
              <w:bottom w:type="dxa" w:w="60"/>
              <w:right w:type="dxa" w:w="80"/>
            </w:tcMar>
          </w:tcPr>
          <w:p>
            <w:r>
              <w:rPr>
                <w:b w:val="false"/>
                <w:bCs w:val="false"/>
                <w:sz w:val="17"/>
                <w:szCs w:val="17"/>
              </w:rPr>
              <w:t xml:space="preserve">Medium latent</w:t>
            </w:r>
          </w:p>
        </w:tc>
        <w:tc>
          <w:tcPr>
            <w:shd w:fill="EFF3F7" w:val="clear"/>
            <w:tcMar>
              <w:top w:type="dxa" w:w="60"/>
              <w:left w:type="dxa" w:w="80"/>
              <w:bottom w:type="dxa" w:w="60"/>
              <w:right w:type="dxa" w:w="80"/>
            </w:tcMar>
          </w:tcPr>
          <w:p>
            <w:r>
              <w:rPr>
                <w:b w:val="false"/>
                <w:bCs w:val="false"/>
                <w:sz w:val="17"/>
                <w:szCs w:val="17"/>
              </w:rPr>
              <w:t xml:space="preserve">Data Platform Ready</w:t>
            </w:r>
          </w:p>
        </w:tc>
      </w:tr>
      <w:tr>
        <w:tc>
          <w:tcPr>
            <w:tcMar>
              <w:top w:type="dxa" w:w="60"/>
              <w:left w:type="dxa" w:w="80"/>
              <w:bottom w:type="dxa" w:w="60"/>
              <w:right w:type="dxa" w:w="80"/>
            </w:tcMar>
          </w:tcPr>
          <w:p>
            <w:r>
              <w:rPr>
                <w:b w:val="false"/>
                <w:bCs w:val="false"/>
                <w:sz w:val="17"/>
                <w:szCs w:val="17"/>
              </w:rPr>
              <w:t xml:space="preserve">WP-0005</w:t>
            </w:r>
          </w:p>
        </w:tc>
        <w:tc>
          <w:tcPr>
            <w:tcMar>
              <w:top w:type="dxa" w:w="60"/>
              <w:left w:type="dxa" w:w="80"/>
              <w:bottom w:type="dxa" w:w="60"/>
              <w:right w:type="dxa" w:w="80"/>
            </w:tcMar>
          </w:tcPr>
          <w:p>
            <w:r>
              <w:rPr>
                <w:b w:val="false"/>
                <w:bCs w:val="false"/>
                <w:sz w:val="17"/>
                <w:szCs w:val="17"/>
              </w:rPr>
              <w:t xml:space="preserve">1 — Data Platform</w:t>
            </w:r>
          </w:p>
        </w:tc>
        <w:tc>
          <w:tcPr>
            <w:tcMar>
              <w:top w:type="dxa" w:w="60"/>
              <w:left w:type="dxa" w:w="80"/>
              <w:bottom w:type="dxa" w:w="60"/>
              <w:right w:type="dxa" w:w="80"/>
            </w:tcMar>
          </w:tcPr>
          <w:p>
            <w:r>
              <w:rPr>
                <w:b w:val="false"/>
                <w:bCs w:val="false"/>
                <w:sz w:val="17"/>
                <w:szCs w:val="17"/>
              </w:rPr>
              <w:t xml:space="preserve">AR-0007 (extension)</w:t>
            </w:r>
          </w:p>
        </w:tc>
        <w:tc>
          <w:tcPr>
            <w:tcMar>
              <w:top w:type="dxa" w:w="60"/>
              <w:left w:type="dxa" w:w="80"/>
              <w:bottom w:type="dxa" w:w="60"/>
              <w:right w:type="dxa" w:w="80"/>
            </w:tcMar>
          </w:tcPr>
          <w:p>
            <w:r>
              <w:rPr>
                <w:b w:val="false"/>
                <w:bCs w:val="false"/>
                <w:sz w:val="17"/>
                <w:szCs w:val="17"/>
              </w:rPr>
              <w:t xml:space="preserve">Benefits from WP-0002 completion</w:t>
            </w:r>
          </w:p>
        </w:tc>
        <w:tc>
          <w:tcPr>
            <w:tcMar>
              <w:top w:type="dxa" w:w="60"/>
              <w:left w:type="dxa" w:w="80"/>
              <w:bottom w:type="dxa" w:w="60"/>
              <w:right w:type="dxa" w:w="80"/>
            </w:tcMar>
          </w:tcPr>
          <w:p>
            <w:r>
              <w:rPr>
                <w:b w:val="false"/>
                <w:bCs w:val="false"/>
                <w:sz w:val="17"/>
                <w:szCs w:val="17"/>
              </w:rPr>
              <w:t xml:space="preserve">2–3 days</w:t>
            </w:r>
          </w:p>
        </w:tc>
        <w:tc>
          <w:tcPr>
            <w:tcMar>
              <w:top w:type="dxa" w:w="60"/>
              <w:left w:type="dxa" w:w="80"/>
              <w:bottom w:type="dxa" w:w="60"/>
              <w:right w:type="dxa" w:w="80"/>
            </w:tcMar>
          </w:tcPr>
          <w:p>
            <w:r>
              <w:rPr>
                <w:b w:val="false"/>
                <w:bCs w:val="false"/>
                <w:sz w:val="17"/>
                <w:szCs w:val="17"/>
              </w:rPr>
              <w:t xml:space="preserve">Low–Medium</w:t>
            </w:r>
          </w:p>
        </w:tc>
        <w:tc>
          <w:tcPr>
            <w:tcMar>
              <w:top w:type="dxa" w:w="60"/>
              <w:left w:type="dxa" w:w="80"/>
              <w:bottom w:type="dxa" w:w="60"/>
              <w:right w:type="dxa" w:w="80"/>
            </w:tcMar>
          </w:tcPr>
          <w:p>
            <w:r>
              <w:rPr>
                <w:b w:val="false"/>
                <w:bCs w:val="false"/>
                <w:sz w:val="17"/>
                <w:szCs w:val="17"/>
              </w:rPr>
              <w:t xml:space="preserve">Medium</w:t>
            </w:r>
          </w:p>
        </w:tc>
        <w:tc>
          <w:tcPr>
            <w:tcMar>
              <w:top w:type="dxa" w:w="60"/>
              <w:left w:type="dxa" w:w="80"/>
              <w:bottom w:type="dxa" w:w="60"/>
              <w:right w:type="dxa" w:w="80"/>
            </w:tcMar>
          </w:tcPr>
          <w:p>
            <w:r>
              <w:rPr>
                <w:b w:val="false"/>
                <w:bCs w:val="false"/>
                <w:sz w:val="17"/>
                <w:szCs w:val="17"/>
              </w:rPr>
              <w:t xml:space="preserve">Low-Medium</w:t>
            </w:r>
          </w:p>
        </w:tc>
        <w:tc>
          <w:tcPr>
            <w:tcMar>
              <w:top w:type="dxa" w:w="60"/>
              <w:left w:type="dxa" w:w="80"/>
              <w:bottom w:type="dxa" w:w="60"/>
              <w:right w:type="dxa" w:w="80"/>
            </w:tcMar>
          </w:tcPr>
          <w:p>
            <w:r>
              <w:rPr>
                <w:b w:val="false"/>
                <w:bCs w:val="false"/>
                <w:sz w:val="17"/>
                <w:szCs w:val="17"/>
              </w:rPr>
              <w:t xml:space="preserve">Data Platform Ready</w:t>
            </w:r>
          </w:p>
        </w:tc>
      </w:tr>
      <w:tr>
        <w:tc>
          <w:tcPr>
            <w:shd w:fill="EFF3F7" w:val="clear"/>
            <w:tcMar>
              <w:top w:type="dxa" w:w="60"/>
              <w:left w:type="dxa" w:w="80"/>
              <w:bottom w:type="dxa" w:w="60"/>
              <w:right w:type="dxa" w:w="80"/>
            </w:tcMar>
          </w:tcPr>
          <w:p>
            <w:r>
              <w:rPr>
                <w:b w:val="false"/>
                <w:bCs w:val="false"/>
                <w:sz w:val="17"/>
                <w:szCs w:val="17"/>
              </w:rPr>
              <w:t xml:space="preserve">WP-0006</w:t>
            </w:r>
          </w:p>
        </w:tc>
        <w:tc>
          <w:tcPr>
            <w:shd w:fill="EFF3F7" w:val="clear"/>
            <w:tcMar>
              <w:top w:type="dxa" w:w="60"/>
              <w:left w:type="dxa" w:w="80"/>
              <w:bottom w:type="dxa" w:w="60"/>
              <w:right w:type="dxa" w:w="80"/>
            </w:tcMar>
          </w:tcPr>
          <w:p>
            <w:r>
              <w:rPr>
                <w:b w:val="false"/>
                <w:bCs w:val="false"/>
                <w:sz w:val="17"/>
                <w:szCs w:val="17"/>
              </w:rPr>
              <w:t xml:space="preserve">8 — Governance &amp; Quality</w:t>
            </w:r>
          </w:p>
        </w:tc>
        <w:tc>
          <w:tcPr>
            <w:shd w:fill="EFF3F7" w:val="clear"/>
            <w:tcMar>
              <w:top w:type="dxa" w:w="60"/>
              <w:left w:type="dxa" w:w="80"/>
              <w:bottom w:type="dxa" w:w="60"/>
              <w:right w:type="dxa" w:w="80"/>
            </w:tcMar>
          </w:tcPr>
          <w:p>
            <w:r>
              <w:rPr>
                <w:b w:val="false"/>
                <w:bCs w:val="false"/>
                <w:sz w:val="17"/>
                <w:szCs w:val="17"/>
              </w:rPr>
              <w:t xml:space="preserve">AP-009 / all EGDs</w:t>
            </w:r>
          </w:p>
        </w:tc>
        <w:tc>
          <w:tcPr>
            <w:shd w:fill="EFF3F7" w:val="clear"/>
            <w:tcMar>
              <w:top w:type="dxa" w:w="60"/>
              <w:left w:type="dxa" w:w="80"/>
              <w:bottom w:type="dxa" w:w="60"/>
              <w:right w:type="dxa" w:w="80"/>
            </w:tcMar>
          </w:tcPr>
          <w:p>
            <w:r>
              <w:rPr>
                <w:b w:val="false"/>
                <w:bCs w:val="false"/>
                <w:sz w:val="17"/>
                <w:szCs w:val="17"/>
              </w:rPr>
              <w:t xml:space="preserve">None — startable immediately</w:t>
            </w:r>
          </w:p>
        </w:tc>
        <w:tc>
          <w:tcPr>
            <w:shd w:fill="EFF3F7" w:val="clear"/>
            <w:tcMar>
              <w:top w:type="dxa" w:w="60"/>
              <w:left w:type="dxa" w:w="80"/>
              <w:bottom w:type="dxa" w:w="60"/>
              <w:right w:type="dxa" w:w="80"/>
            </w:tcMar>
          </w:tcPr>
          <w:p>
            <w:r>
              <w:rPr>
                <w:b w:val="false"/>
                <w:bCs w:val="false"/>
                <w:sz w:val="17"/>
                <w:szCs w:val="17"/>
              </w:rPr>
              <w:t xml:space="preserve">Organizational, days not sprints</w:t>
            </w:r>
          </w:p>
        </w:tc>
        <w:tc>
          <w:tcPr>
            <w:shd w:fill="EFF3F7" w:val="clear"/>
            <w:tcMar>
              <w:top w:type="dxa" w:w="60"/>
              <w:left w:type="dxa" w:w="80"/>
              <w:bottom w:type="dxa" w:w="60"/>
              <w:right w:type="dxa" w:w="80"/>
            </w:tcMar>
          </w:tcPr>
          <w:p>
            <w:r>
              <w:rPr>
                <w:b w:val="false"/>
                <w:bCs w:val="false"/>
                <w:sz w:val="17"/>
                <w:szCs w:val="17"/>
              </w:rPr>
              <w:t xml:space="preserve">Low</w:t>
            </w:r>
          </w:p>
        </w:tc>
        <w:tc>
          <w:tcPr>
            <w:shd w:fill="EFF3F7" w:val="clear"/>
            <w:tcMar>
              <w:top w:type="dxa" w:w="60"/>
              <w:left w:type="dxa" w:w="80"/>
              <w:bottom w:type="dxa" w:w="60"/>
              <w:right w:type="dxa" w:w="80"/>
            </w:tcMar>
          </w:tcPr>
          <w:p>
            <w:r>
              <w:rPr>
                <w:b w:val="false"/>
                <w:bCs w:val="false"/>
                <w:sz w:val="17"/>
                <w:szCs w:val="17"/>
              </w:rPr>
              <w:t xml:space="preserve">Critical — precondition for every other WP</w:t>
            </w:r>
          </w:p>
        </w:tc>
        <w:tc>
          <w:tcPr>
            <w:shd w:fill="EFF3F7" w:val="clear"/>
            <w:tcMar>
              <w:top w:type="dxa" w:w="60"/>
              <w:left w:type="dxa" w:w="80"/>
              <w:bottom w:type="dxa" w:w="60"/>
              <w:right w:type="dxa" w:w="80"/>
            </w:tcMar>
          </w:tcPr>
          <w:p>
            <w:r>
              <w:rPr>
                <w:b w:val="false"/>
                <w:bCs w:val="false"/>
                <w:sz w:val="17"/>
                <w:szCs w:val="17"/>
              </w:rPr>
              <w:t xml:space="preserve">N/A (blocking, not itself risky)</w:t>
            </w:r>
          </w:p>
        </w:tc>
        <w:tc>
          <w:tcPr>
            <w:shd w:fill="EFF3F7" w:val="clear"/>
            <w:tcMar>
              <w:top w:type="dxa" w:w="60"/>
              <w:left w:type="dxa" w:w="80"/>
              <w:bottom w:type="dxa" w:w="60"/>
              <w:right w:type="dxa" w:w="80"/>
            </w:tcMar>
          </w:tcPr>
          <w:p>
            <w:r>
              <w:rPr>
                <w:b w:val="false"/>
                <w:bCs w:val="false"/>
                <w:sz w:val="17"/>
                <w:szCs w:val="17"/>
              </w:rPr>
              <w:t xml:space="preserve">Governance Operational</w:t>
            </w:r>
          </w:p>
        </w:tc>
      </w:tr>
    </w:tbl>
    <w:p>
      <w:r>
        <w:br w:type="page"/>
      </w:r>
    </w:p>
    <w:p>
      <w:pPr>
        <w:pStyle w:val="Heading1"/>
        <w:spacing w:after="120" w:before="300"/>
      </w:pPr>
      <w:r>
        <w:t xml:space="preserve">5. Enterprise Release Strategy</w:t>
      </w:r>
    </w:p>
    <w:p>
      <w:pPr>
        <w:spacing w:after="120"/>
      </w:pPr>
      <w:r>
        <w:rPr>
          <w:sz w:val="20"/>
          <w:szCs w:val="20"/>
        </w:rPr>
        <w:t xml:space="preserve">Five waves are retained per the template. Waves 4–5 have no assigned work packages for the same evidence reason as Portfolios 3–7 (§3) — they are held open for future ERP phases, not populated with speculative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Wave</w:t>
            </w:r>
          </w:p>
        </w:tc>
        <w:tc>
          <w:tcPr>
            <w:shd w:fill="1F2A44" w:val="clear"/>
            <w:tcMar>
              <w:top w:type="dxa" w:w="60"/>
              <w:left w:type="dxa" w:w="80"/>
              <w:bottom w:type="dxa" w:w="60"/>
              <w:right w:type="dxa" w:w="80"/>
            </w:tcMar>
          </w:tcPr>
          <w:p>
            <w:r>
              <w:rPr>
                <w:b/>
                <w:bCs/>
                <w:color w:val="FFFFFF"/>
                <w:sz w:val="17"/>
                <w:szCs w:val="17"/>
              </w:rPr>
              <w:t xml:space="preserve">Theme</w:t>
            </w:r>
          </w:p>
        </w:tc>
        <w:tc>
          <w:tcPr>
            <w:shd w:fill="1F2A44" w:val="clear"/>
            <w:tcMar>
              <w:top w:type="dxa" w:w="60"/>
              <w:left w:type="dxa" w:w="80"/>
              <w:bottom w:type="dxa" w:w="60"/>
              <w:right w:type="dxa" w:w="80"/>
            </w:tcMar>
          </w:tcPr>
          <w:p>
            <w:r>
              <w:rPr>
                <w:b/>
                <w:bCs/>
                <w:color w:val="FFFFFF"/>
                <w:sz w:val="17"/>
                <w:szCs w:val="17"/>
              </w:rPr>
              <w:t xml:space="preserve">Assigned WPs</w:t>
            </w:r>
          </w:p>
        </w:tc>
        <w:tc>
          <w:tcPr>
            <w:shd w:fill="1F2A44" w:val="clear"/>
            <w:tcMar>
              <w:top w:type="dxa" w:w="60"/>
              <w:left w:type="dxa" w:w="80"/>
              <w:bottom w:type="dxa" w:w="60"/>
              <w:right w:type="dxa" w:w="80"/>
            </w:tcMar>
          </w:tcPr>
          <w:p>
            <w:r>
              <w:rPr>
                <w:b/>
                <w:bCs/>
                <w:color w:val="FFFFFF"/>
                <w:sz w:val="17"/>
                <w:szCs w:val="17"/>
              </w:rPr>
              <w:t xml:space="preserve">Basis for Sequencing</w:t>
            </w:r>
          </w:p>
        </w:tc>
      </w:tr>
      <w:tr>
        <w:tc>
          <w:tcPr>
            <w:tcMar>
              <w:top w:type="dxa" w:w="60"/>
              <w:left w:type="dxa" w:w="80"/>
              <w:bottom w:type="dxa" w:w="60"/>
              <w:right w:type="dxa" w:w="80"/>
            </w:tcMar>
          </w:tcPr>
          <w:p>
            <w:r>
              <w:rPr>
                <w:b w:val="false"/>
                <w:bCs w:val="false"/>
                <w:sz w:val="17"/>
                <w:szCs w:val="17"/>
              </w:rPr>
              <w:t xml:space="preserve">Wave 1</w:t>
            </w:r>
          </w:p>
        </w:tc>
        <w:tc>
          <w:tcPr>
            <w:tcMar>
              <w:top w:type="dxa" w:w="60"/>
              <w:left w:type="dxa" w:w="80"/>
              <w:bottom w:type="dxa" w:w="60"/>
              <w:right w:type="dxa" w:w="80"/>
            </w:tcMar>
          </w:tcPr>
          <w:p>
            <w:r>
              <w:rPr>
                <w:b w:val="false"/>
                <w:bCs w:val="false"/>
                <w:sz w:val="17"/>
                <w:szCs w:val="17"/>
              </w:rPr>
              <w:t xml:space="preserve">Critical Foundation</w:t>
            </w:r>
          </w:p>
        </w:tc>
        <w:tc>
          <w:tcPr>
            <w:tcMar>
              <w:top w:type="dxa" w:w="60"/>
              <w:left w:type="dxa" w:w="80"/>
              <w:bottom w:type="dxa" w:w="60"/>
              <w:right w:type="dxa" w:w="80"/>
            </w:tcMar>
          </w:tcPr>
          <w:p>
            <w:r>
              <w:rPr>
                <w:b w:val="false"/>
                <w:bCs w:val="false"/>
                <w:sz w:val="17"/>
                <w:szCs w:val="17"/>
              </w:rPr>
              <w:t xml:space="preserve">WP-0006, WP-0002</w:t>
            </w:r>
          </w:p>
        </w:tc>
        <w:tc>
          <w:tcPr>
            <w:tcMar>
              <w:top w:type="dxa" w:w="60"/>
              <w:left w:type="dxa" w:w="80"/>
              <w:bottom w:type="dxa" w:w="60"/>
              <w:right w:type="dxa" w:w="80"/>
            </w:tcMar>
          </w:tcPr>
          <w:p>
            <w:r>
              <w:rPr>
                <w:b w:val="false"/>
                <w:bCs w:val="false"/>
                <w:sz w:val="17"/>
                <w:szCs w:val="17"/>
              </w:rPr>
              <w:t xml:space="preserve">Both startable immediately, zero blocking dependency, address the baseline's Critical-rated items (blocking governance gap; unverified security gap).</w:t>
            </w:r>
          </w:p>
        </w:tc>
      </w:tr>
      <w:tr>
        <w:tc>
          <w:tcPr>
            <w:shd w:fill="EFF3F7" w:val="clear"/>
            <w:tcMar>
              <w:top w:type="dxa" w:w="60"/>
              <w:left w:type="dxa" w:w="80"/>
              <w:bottom w:type="dxa" w:w="60"/>
              <w:right w:type="dxa" w:w="80"/>
            </w:tcMar>
          </w:tcPr>
          <w:p>
            <w:r>
              <w:rPr>
                <w:b w:val="false"/>
                <w:bCs w:val="false"/>
                <w:sz w:val="17"/>
                <w:szCs w:val="17"/>
              </w:rPr>
              <w:t xml:space="preserve">Wave 2</w:t>
            </w:r>
          </w:p>
        </w:tc>
        <w:tc>
          <w:tcPr>
            <w:shd w:fill="EFF3F7" w:val="clear"/>
            <w:tcMar>
              <w:top w:type="dxa" w:w="60"/>
              <w:left w:type="dxa" w:w="80"/>
              <w:bottom w:type="dxa" w:w="60"/>
              <w:right w:type="dxa" w:w="80"/>
            </w:tcMar>
          </w:tcPr>
          <w:p>
            <w:r>
              <w:rPr>
                <w:b w:val="false"/>
                <w:bCs w:val="false"/>
                <w:sz w:val="17"/>
                <w:szCs w:val="17"/>
              </w:rPr>
              <w:t xml:space="preserve">Platform Stabilization</w:t>
            </w:r>
          </w:p>
        </w:tc>
        <w:tc>
          <w:tcPr>
            <w:shd w:fill="EFF3F7" w:val="clear"/>
            <w:tcMar>
              <w:top w:type="dxa" w:w="60"/>
              <w:left w:type="dxa" w:w="80"/>
              <w:bottom w:type="dxa" w:w="60"/>
              <w:right w:type="dxa" w:w="80"/>
            </w:tcMar>
          </w:tcPr>
          <w:p>
            <w:r>
              <w:rPr>
                <w:b w:val="false"/>
                <w:bCs w:val="false"/>
                <w:sz w:val="17"/>
                <w:szCs w:val="17"/>
              </w:rPr>
              <w:t xml:space="preserve">WP-0001, WP-0004, WP-0005</w:t>
            </w:r>
          </w:p>
        </w:tc>
        <w:tc>
          <w:tcPr>
            <w:shd w:fill="EFF3F7" w:val="clear"/>
            <w:tcMar>
              <w:top w:type="dxa" w:w="60"/>
              <w:left w:type="dxa" w:w="80"/>
              <w:bottom w:type="dxa" w:w="60"/>
              <w:right w:type="dxa" w:w="80"/>
            </w:tcMar>
          </w:tcPr>
          <w:p>
            <w:r>
              <w:rPr>
                <w:b w:val="false"/>
                <w:bCs w:val="false"/>
                <w:sz w:val="17"/>
                <w:szCs w:val="17"/>
              </w:rPr>
              <w:t xml:space="preserve">Sequenced after Wave 1 so the enterprise architecture owner (from WP-0006) is accountable for WP-0001, and WP-0005 can reuse WP-0002's verification work.</w:t>
            </w:r>
          </w:p>
        </w:tc>
      </w:tr>
      <w:tr>
        <w:tc>
          <w:tcPr>
            <w:tcMar>
              <w:top w:type="dxa" w:w="60"/>
              <w:left w:type="dxa" w:w="80"/>
              <w:bottom w:type="dxa" w:w="60"/>
              <w:right w:type="dxa" w:w="80"/>
            </w:tcMar>
          </w:tcPr>
          <w:p>
            <w:r>
              <w:rPr>
                <w:b w:val="false"/>
                <w:bCs w:val="false"/>
                <w:sz w:val="17"/>
                <w:szCs w:val="17"/>
              </w:rPr>
              <w:t xml:space="preserve">Wave 3</w:t>
            </w:r>
          </w:p>
        </w:tc>
        <w:tc>
          <w:tcPr>
            <w:tcMar>
              <w:top w:type="dxa" w:w="60"/>
              <w:left w:type="dxa" w:w="80"/>
              <w:bottom w:type="dxa" w:w="60"/>
              <w:right w:type="dxa" w:w="80"/>
            </w:tcMar>
          </w:tcPr>
          <w:p>
            <w:r>
              <w:rPr>
                <w:b w:val="false"/>
                <w:bCs w:val="false"/>
                <w:sz w:val="17"/>
                <w:szCs w:val="17"/>
              </w:rPr>
              <w:t xml:space="preserve">Trigger-Gated Assessment</w:t>
            </w:r>
          </w:p>
        </w:tc>
        <w:tc>
          <w:tcPr>
            <w:tcMar>
              <w:top w:type="dxa" w:w="60"/>
              <w:left w:type="dxa" w:w="80"/>
              <w:bottom w:type="dxa" w:w="60"/>
              <w:right w:type="dxa" w:w="80"/>
            </w:tcMar>
          </w:tcPr>
          <w:p>
            <w:r>
              <w:rPr>
                <w:b w:val="false"/>
                <w:bCs w:val="false"/>
                <w:sz w:val="17"/>
                <w:szCs w:val="17"/>
              </w:rPr>
              <w:t xml:space="preserve">WP-0003</w:t>
            </w:r>
          </w:p>
        </w:tc>
        <w:tc>
          <w:tcPr>
            <w:tcMar>
              <w:top w:type="dxa" w:w="60"/>
              <w:left w:type="dxa" w:w="80"/>
              <w:bottom w:type="dxa" w:w="60"/>
              <w:right w:type="dxa" w:w="80"/>
            </w:tcMar>
          </w:tcPr>
          <w:p>
            <w:r>
              <w:rPr>
                <w:b w:val="false"/>
                <w:bCs w:val="false"/>
                <w:sz w:val="17"/>
                <w:szCs w:val="17"/>
              </w:rPr>
              <w:t xml:space="preserve">Not calendar-gated — begins only once row-count/growth data justifies it (EGD-0004 trigger), consistent with Phase A.2's own 'not yet triggered' finding.</w:t>
            </w:r>
          </w:p>
        </w:tc>
      </w:tr>
      <w:tr>
        <w:tc>
          <w:tcPr>
            <w:shd w:fill="EFF3F7" w:val="clear"/>
            <w:tcMar>
              <w:top w:type="dxa" w:w="60"/>
              <w:left w:type="dxa" w:w="80"/>
              <w:bottom w:type="dxa" w:w="60"/>
              <w:right w:type="dxa" w:w="80"/>
            </w:tcMar>
          </w:tcPr>
          <w:p>
            <w:r>
              <w:rPr>
                <w:b w:val="false"/>
                <w:bCs w:val="false"/>
                <w:sz w:val="17"/>
                <w:szCs w:val="17"/>
              </w:rPr>
              <w:t xml:space="preserve">Wave 4</w:t>
            </w:r>
          </w:p>
        </w:tc>
        <w:tc>
          <w:tcPr>
            <w:shd w:fill="EFF3F7" w:val="clear"/>
            <w:tcMar>
              <w:top w:type="dxa" w:w="60"/>
              <w:left w:type="dxa" w:w="80"/>
              <w:bottom w:type="dxa" w:w="60"/>
              <w:right w:type="dxa" w:w="80"/>
            </w:tcMar>
          </w:tcPr>
          <w:p>
            <w:r>
              <w:rPr>
                <w:b w:val="false"/>
                <w:bCs w:val="false"/>
                <w:sz w:val="17"/>
                <w:szCs w:val="17"/>
              </w:rPr>
              <w:t xml:space="preserve">Business Intelligence / AI Intelligence</w:t>
            </w:r>
          </w:p>
        </w:tc>
        <w:tc>
          <w:tcPr>
            <w:shd w:fill="EFF3F7" w:val="clear"/>
            <w:tcMar>
              <w:top w:type="dxa" w:w="60"/>
              <w:left w:type="dxa" w:w="80"/>
              <w:bottom w:type="dxa" w:w="60"/>
              <w:right w:type="dxa" w:w="80"/>
            </w:tcMar>
          </w:tcPr>
          <w:p>
            <w:r>
              <w:rPr>
                <w:b w:val="false"/>
                <w:bCs w:val="false"/>
                <w:sz w:val="17"/>
                <w:szCs w:val="17"/>
              </w:rPr>
              <w:t xml:space="preserve">None assigned</w:t>
            </w:r>
          </w:p>
        </w:tc>
        <w:tc>
          <w:tcPr>
            <w:shd w:fill="EFF3F7" w:val="clear"/>
            <w:tcMar>
              <w:top w:type="dxa" w:w="60"/>
              <w:left w:type="dxa" w:w="80"/>
              <w:bottom w:type="dxa" w:w="60"/>
              <w:right w:type="dxa" w:w="80"/>
            </w:tcMar>
          </w:tcPr>
          <w:p>
            <w:r>
              <w:rPr>
                <w:b w:val="false"/>
                <w:bCs w:val="false"/>
                <w:sz w:val="17"/>
                <w:szCs w:val="17"/>
              </w:rPr>
              <w:t xml:space="preserve">No AR/EGD exists in this domain yet; populated only after a future realization assessment produces evidence.</w:t>
            </w:r>
          </w:p>
        </w:tc>
      </w:tr>
      <w:tr>
        <w:tc>
          <w:tcPr>
            <w:tcMar>
              <w:top w:type="dxa" w:w="60"/>
              <w:left w:type="dxa" w:w="80"/>
              <w:bottom w:type="dxa" w:w="60"/>
              <w:right w:type="dxa" w:w="80"/>
            </w:tcMar>
          </w:tcPr>
          <w:p>
            <w:r>
              <w:rPr>
                <w:b w:val="false"/>
                <w:bCs w:val="false"/>
                <w:sz w:val="17"/>
                <w:szCs w:val="17"/>
              </w:rPr>
              <w:t xml:space="preserve">Wave 5</w:t>
            </w:r>
          </w:p>
        </w:tc>
        <w:tc>
          <w:tcPr>
            <w:tcMar>
              <w:top w:type="dxa" w:w="60"/>
              <w:left w:type="dxa" w:w="80"/>
              <w:bottom w:type="dxa" w:w="60"/>
              <w:right w:type="dxa" w:w="80"/>
            </w:tcMar>
          </w:tcPr>
          <w:p>
            <w:r>
              <w:rPr>
                <w:b w:val="false"/>
                <w:bCs w:val="false"/>
                <w:sz w:val="17"/>
                <w:szCs w:val="17"/>
              </w:rPr>
              <w:t xml:space="preserve">Enterprise Optimization</w:t>
            </w:r>
          </w:p>
        </w:tc>
        <w:tc>
          <w:tcPr>
            <w:tcMar>
              <w:top w:type="dxa" w:w="60"/>
              <w:left w:type="dxa" w:w="80"/>
              <w:bottom w:type="dxa" w:w="60"/>
              <w:right w:type="dxa" w:w="80"/>
            </w:tcMar>
          </w:tcPr>
          <w:p>
            <w:r>
              <w:rPr>
                <w:b w:val="false"/>
                <w:bCs w:val="false"/>
                <w:sz w:val="17"/>
                <w:szCs w:val="17"/>
              </w:rPr>
              <w:t xml:space="preserve">None assigned</w:t>
            </w:r>
          </w:p>
        </w:tc>
        <w:tc>
          <w:tcPr>
            <w:tcMar>
              <w:top w:type="dxa" w:w="60"/>
              <w:left w:type="dxa" w:w="80"/>
              <w:bottom w:type="dxa" w:w="60"/>
              <w:right w:type="dxa" w:w="80"/>
            </w:tcMar>
          </w:tcPr>
          <w:p>
            <w:r>
              <w:rPr>
                <w:b w:val="false"/>
                <w:bCs w:val="false"/>
                <w:sz w:val="17"/>
                <w:szCs w:val="17"/>
              </w:rPr>
              <w:t xml:space="preserve">Same — held open, not populated speculatively.</w:t>
            </w:r>
          </w:p>
        </w:tc>
      </w:tr>
    </w:tbl>
    <w:p>
      <w:r>
        <w:br w:type="page"/>
      </w:r>
    </w:p>
    <w:p>
      <w:pPr>
        <w:pStyle w:val="Heading1"/>
        <w:spacing w:after="120" w:before="300"/>
      </w:pPr>
      <w:r>
        <w:t xml:space="preserve">6. Milestone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Milestone</w:t>
            </w:r>
          </w:p>
        </w:tc>
        <w:tc>
          <w:tcPr>
            <w:shd w:fill="1F2A44" w:val="clear"/>
            <w:tcMar>
              <w:top w:type="dxa" w:w="60"/>
              <w:left w:type="dxa" w:w="80"/>
              <w:bottom w:type="dxa" w:w="60"/>
              <w:right w:type="dxa" w:w="80"/>
            </w:tcMar>
          </w:tcPr>
          <w:p>
            <w:r>
              <w:rPr>
                <w:b/>
                <w:bCs/>
                <w:color w:val="FFFFFF"/>
                <w:sz w:val="17"/>
                <w:szCs w:val="17"/>
              </w:rPr>
              <w:t xml:space="preserve">Entry Criteria</w:t>
            </w:r>
          </w:p>
        </w:tc>
        <w:tc>
          <w:tcPr>
            <w:shd w:fill="1F2A44" w:val="clear"/>
            <w:tcMar>
              <w:top w:type="dxa" w:w="60"/>
              <w:left w:type="dxa" w:w="80"/>
              <w:bottom w:type="dxa" w:w="60"/>
              <w:right w:type="dxa" w:w="80"/>
            </w:tcMar>
          </w:tcPr>
          <w:p>
            <w:r>
              <w:rPr>
                <w:b/>
                <w:bCs/>
                <w:color w:val="FFFFFF"/>
                <w:sz w:val="17"/>
                <w:szCs w:val="17"/>
              </w:rPr>
              <w:t xml:space="preserve">Exit Criteria</w:t>
            </w:r>
          </w:p>
        </w:tc>
        <w:tc>
          <w:tcPr>
            <w:shd w:fill="1F2A44" w:val="clear"/>
            <w:tcMar>
              <w:top w:type="dxa" w:w="60"/>
              <w:left w:type="dxa" w:w="80"/>
              <w:bottom w:type="dxa" w:w="60"/>
              <w:right w:type="dxa" w:w="80"/>
            </w:tcMar>
          </w:tcPr>
          <w:p>
            <w:r>
              <w:rPr>
                <w:b/>
                <w:bCs/>
                <w:color w:val="FFFFFF"/>
                <w:sz w:val="17"/>
                <w:szCs w:val="17"/>
              </w:rPr>
              <w:t xml:space="preserve">Success Measure</w:t>
            </w:r>
          </w:p>
        </w:tc>
      </w:tr>
      <w:tr>
        <w:tc>
          <w:tcPr>
            <w:tcMar>
              <w:top w:type="dxa" w:w="60"/>
              <w:left w:type="dxa" w:w="80"/>
              <w:bottom w:type="dxa" w:w="60"/>
              <w:right w:type="dxa" w:w="80"/>
            </w:tcMar>
          </w:tcPr>
          <w:p>
            <w:r>
              <w:rPr>
                <w:b w:val="false"/>
                <w:bCs w:val="false"/>
                <w:sz w:val="17"/>
                <w:szCs w:val="17"/>
              </w:rPr>
              <w:t xml:space="preserve">Baseline Complete</w:t>
            </w:r>
          </w:p>
        </w:tc>
        <w:tc>
          <w:tcPr>
            <w:tcMar>
              <w:top w:type="dxa" w:w="60"/>
              <w:left w:type="dxa" w:w="80"/>
              <w:bottom w:type="dxa" w:w="60"/>
              <w:right w:type="dxa" w:w="80"/>
            </w:tcMar>
          </w:tcPr>
          <w:p>
            <w:r>
              <w:rPr>
                <w:b w:val="false"/>
                <w:bCs w:val="false"/>
                <w:sz w:val="17"/>
                <w:szCs w:val="17"/>
              </w:rPr>
              <w:t xml:space="preserve">Phase A.1–A.2 evidence exists.</w:t>
            </w:r>
          </w:p>
        </w:tc>
        <w:tc>
          <w:tcPr>
            <w:tcMar>
              <w:top w:type="dxa" w:w="60"/>
              <w:left w:type="dxa" w:w="80"/>
              <w:bottom w:type="dxa" w:w="60"/>
              <w:right w:type="dxa" w:w="80"/>
            </w:tcMar>
          </w:tcPr>
          <w:p>
            <w:r>
              <w:rPr>
                <w:b w:val="false"/>
                <w:bCs w:val="false"/>
                <w:sz w:val="17"/>
                <w:szCs w:val="17"/>
              </w:rPr>
              <w:t xml:space="preserve">Phase A.3 registers published and cross-referenced.</w:t>
            </w:r>
          </w:p>
        </w:tc>
        <w:tc>
          <w:tcPr>
            <w:tcMar>
              <w:top w:type="dxa" w:w="60"/>
              <w:left w:type="dxa" w:w="80"/>
              <w:bottom w:type="dxa" w:w="60"/>
              <w:right w:type="dxa" w:w="80"/>
            </w:tcMar>
          </w:tcPr>
          <w:p>
            <w:r>
              <w:rPr>
                <w:b w:val="false"/>
                <w:bCs w:val="false"/>
                <w:sz w:val="17"/>
                <w:szCs w:val="17"/>
              </w:rPr>
              <w:t xml:space="preserve">MET — this is Phase A.3's own deliverable.</w:t>
            </w:r>
          </w:p>
        </w:tc>
      </w:tr>
      <w:tr>
        <w:tc>
          <w:tcPr>
            <w:shd w:fill="EFF3F7" w:val="clear"/>
            <w:tcMar>
              <w:top w:type="dxa" w:w="60"/>
              <w:left w:type="dxa" w:w="80"/>
              <w:bottom w:type="dxa" w:w="60"/>
              <w:right w:type="dxa" w:w="80"/>
            </w:tcMar>
          </w:tcPr>
          <w:p>
            <w:r>
              <w:rPr>
                <w:b w:val="false"/>
                <w:bCs w:val="false"/>
                <w:sz w:val="17"/>
                <w:szCs w:val="17"/>
              </w:rPr>
              <w:t xml:space="preserve">Governance Operational</w:t>
            </w:r>
          </w:p>
        </w:tc>
        <w:tc>
          <w:tcPr>
            <w:shd w:fill="EFF3F7" w:val="clear"/>
            <w:tcMar>
              <w:top w:type="dxa" w:w="60"/>
              <w:left w:type="dxa" w:w="80"/>
              <w:bottom w:type="dxa" w:w="60"/>
              <w:right w:type="dxa" w:w="80"/>
            </w:tcMar>
          </w:tcPr>
          <w:p>
            <w:r>
              <w:rPr>
                <w:b w:val="false"/>
                <w:bCs w:val="false"/>
                <w:sz w:val="17"/>
                <w:szCs w:val="17"/>
              </w:rPr>
              <w:t xml:space="preserve">Baseline Complete.</w:t>
            </w:r>
          </w:p>
        </w:tc>
        <w:tc>
          <w:tcPr>
            <w:shd w:fill="EFF3F7" w:val="clear"/>
            <w:tcMar>
              <w:top w:type="dxa" w:w="60"/>
              <w:left w:type="dxa" w:w="80"/>
              <w:bottom w:type="dxa" w:w="60"/>
              <w:right w:type="dxa" w:w="80"/>
            </w:tcMar>
          </w:tcPr>
          <w:p>
            <w:r>
              <w:rPr>
                <w:b w:val="false"/>
                <w:bCs w:val="false"/>
                <w:sz w:val="17"/>
                <w:szCs w:val="17"/>
              </w:rPr>
              <w:t xml:space="preserve">WP-0006 executed — every EGD/WP has a named, accountable owner.</w:t>
            </w:r>
          </w:p>
        </w:tc>
        <w:tc>
          <w:tcPr>
            <w:shd w:fill="EFF3F7" w:val="clear"/>
            <w:tcMar>
              <w:top w:type="dxa" w:w="60"/>
              <w:left w:type="dxa" w:w="80"/>
              <w:bottom w:type="dxa" w:w="60"/>
              <w:right w:type="dxa" w:w="80"/>
            </w:tcMar>
          </w:tcPr>
          <w:p>
            <w:r>
              <w:rPr>
                <w:b w:val="false"/>
                <w:bCs w:val="false"/>
                <w:sz w:val="17"/>
                <w:szCs w:val="17"/>
              </w:rPr>
              <w:t xml:space="preserve">KPI-08 Ownership Assignment % = 100.</w:t>
            </w:r>
          </w:p>
        </w:tc>
      </w:tr>
      <w:tr>
        <w:tc>
          <w:tcPr>
            <w:tcMar>
              <w:top w:type="dxa" w:w="60"/>
              <w:left w:type="dxa" w:w="80"/>
              <w:bottom w:type="dxa" w:w="60"/>
              <w:right w:type="dxa" w:w="80"/>
            </w:tcMar>
          </w:tcPr>
          <w:p>
            <w:r>
              <w:rPr>
                <w:b w:val="false"/>
                <w:bCs w:val="false"/>
                <w:sz w:val="17"/>
                <w:szCs w:val="17"/>
              </w:rPr>
              <w:t xml:space="preserve">Critical Security Complete</w:t>
            </w:r>
          </w:p>
        </w:tc>
        <w:tc>
          <w:tcPr>
            <w:tcMar>
              <w:top w:type="dxa" w:w="60"/>
              <w:left w:type="dxa" w:w="80"/>
              <w:bottom w:type="dxa" w:w="60"/>
              <w:right w:type="dxa" w:w="80"/>
            </w:tcMar>
          </w:tcPr>
          <w:p>
            <w:r>
              <w:rPr>
                <w:b w:val="false"/>
                <w:bCs w:val="false"/>
                <w:sz w:val="17"/>
                <w:szCs w:val="17"/>
              </w:rPr>
              <w:t xml:space="preserve">Governance Operational (recommended, not strictly blocking).</w:t>
            </w:r>
          </w:p>
        </w:tc>
        <w:tc>
          <w:tcPr>
            <w:tcMar>
              <w:top w:type="dxa" w:w="60"/>
              <w:left w:type="dxa" w:w="80"/>
              <w:bottom w:type="dxa" w:w="60"/>
              <w:right w:type="dxa" w:w="80"/>
            </w:tcMar>
          </w:tcPr>
          <w:p>
            <w:r>
              <w:rPr>
                <w:b w:val="false"/>
                <w:bCs w:val="false"/>
                <w:sz w:val="17"/>
                <w:szCs w:val="17"/>
              </w:rPr>
              <w:t xml:space="preserve">WP-0002 executed — written RLS confirmation for every student-owned table.</w:t>
            </w:r>
          </w:p>
        </w:tc>
        <w:tc>
          <w:tcPr>
            <w:tcMar>
              <w:top w:type="dxa" w:w="60"/>
              <w:left w:type="dxa" w:w="80"/>
              <w:bottom w:type="dxa" w:w="60"/>
              <w:right w:type="dxa" w:w="80"/>
            </w:tcMar>
          </w:tcPr>
          <w:p>
            <w:r>
              <w:rPr>
                <w:b w:val="false"/>
                <w:bCs w:val="false"/>
                <w:sz w:val="17"/>
                <w:szCs w:val="17"/>
              </w:rPr>
              <w:t xml:space="preserve">KPI-06 RLS Coverage % = 100; AR-0007 → Certification L4.</w:t>
            </w:r>
          </w:p>
        </w:tc>
      </w:tr>
      <w:tr>
        <w:tc>
          <w:tcPr>
            <w:shd w:fill="EFF3F7" w:val="clear"/>
            <w:tcMar>
              <w:top w:type="dxa" w:w="60"/>
              <w:left w:type="dxa" w:w="80"/>
              <w:bottom w:type="dxa" w:w="60"/>
              <w:right w:type="dxa" w:w="80"/>
            </w:tcMar>
          </w:tcPr>
          <w:p>
            <w:r>
              <w:rPr>
                <w:b w:val="false"/>
                <w:bCs w:val="false"/>
                <w:sz w:val="17"/>
                <w:szCs w:val="17"/>
              </w:rPr>
              <w:t xml:space="preserve">Data Platform Ready</w:t>
            </w:r>
          </w:p>
        </w:tc>
        <w:tc>
          <w:tcPr>
            <w:shd w:fill="EFF3F7" w:val="clear"/>
            <w:tcMar>
              <w:top w:type="dxa" w:w="60"/>
              <w:left w:type="dxa" w:w="80"/>
              <w:bottom w:type="dxa" w:w="60"/>
              <w:right w:type="dxa" w:w="80"/>
            </w:tcMar>
          </w:tcPr>
          <w:p>
            <w:r>
              <w:rPr>
                <w:b w:val="false"/>
                <w:bCs w:val="false"/>
                <w:sz w:val="17"/>
                <w:szCs w:val="17"/>
              </w:rPr>
              <w:t xml:space="preserve">Governance Operational.</w:t>
            </w:r>
          </w:p>
        </w:tc>
        <w:tc>
          <w:tcPr>
            <w:shd w:fill="EFF3F7" w:val="clear"/>
            <w:tcMar>
              <w:top w:type="dxa" w:w="60"/>
              <w:left w:type="dxa" w:w="80"/>
              <w:bottom w:type="dxa" w:w="60"/>
              <w:right w:type="dxa" w:w="80"/>
            </w:tcMar>
          </w:tcPr>
          <w:p>
            <w:r>
              <w:rPr>
                <w:b w:val="false"/>
                <w:bCs w:val="false"/>
                <w:sz w:val="17"/>
                <w:szCs w:val="17"/>
              </w:rPr>
              <w:t xml:space="preserve">WP-0001, WP-0003 (if triggered), WP-0004, WP-0005 executed.</w:t>
            </w:r>
          </w:p>
        </w:tc>
        <w:tc>
          <w:tcPr>
            <w:shd w:fill="EFF3F7" w:val="clear"/>
            <w:tcMar>
              <w:top w:type="dxa" w:w="60"/>
              <w:left w:type="dxa" w:w="80"/>
              <w:bottom w:type="dxa" w:w="60"/>
              <w:right w:type="dxa" w:w="80"/>
            </w:tcMar>
          </w:tcPr>
          <w:p>
            <w:r>
              <w:rPr>
                <w:b w:val="false"/>
                <w:bCs w:val="false"/>
                <w:sz w:val="17"/>
                <w:szCs w:val="17"/>
              </w:rPr>
              <w:t xml:space="preserve">KPI-01 Architecture Conformance % ≥ 90; KPI-02 Documentation Accuracy % = 100.</w:t>
            </w:r>
          </w:p>
        </w:tc>
      </w:tr>
      <w:tr>
        <w:tc>
          <w:tcPr>
            <w:tcMar>
              <w:top w:type="dxa" w:w="60"/>
              <w:left w:type="dxa" w:w="80"/>
              <w:bottom w:type="dxa" w:w="60"/>
              <w:right w:type="dxa" w:w="80"/>
            </w:tcMar>
          </w:tcPr>
          <w:p>
            <w:r>
              <w:rPr>
                <w:b w:val="false"/>
                <w:bCs w:val="false"/>
                <w:sz w:val="17"/>
                <w:szCs w:val="17"/>
              </w:rPr>
              <w:t xml:space="preserve">Enterprise Integration Ready</w:t>
            </w:r>
          </w:p>
        </w:tc>
        <w:tc>
          <w:tcPr>
            <w:tcMar>
              <w:top w:type="dxa" w:w="60"/>
              <w:left w:type="dxa" w:w="80"/>
              <w:bottom w:type="dxa" w:w="60"/>
              <w:right w:type="dxa" w:w="80"/>
            </w:tcMar>
          </w:tcPr>
          <w:p>
            <w:r>
              <w:rPr>
                <w:b w:val="false"/>
                <w:bCs w:val="false"/>
                <w:sz w:val="17"/>
                <w:szCs w:val="17"/>
              </w:rPr>
              <w:t xml:space="preserve">A realization assessment exists for Portfolio 6 (Integration Platform).</w:t>
            </w:r>
          </w:p>
        </w:tc>
        <w:tc>
          <w:tcPr>
            <w:tcMar>
              <w:top w:type="dxa" w:w="60"/>
              <w:left w:type="dxa" w:w="80"/>
              <w:bottom w:type="dxa" w:w="60"/>
              <w:right w:type="dxa" w:w="80"/>
            </w:tcMar>
          </w:tcPr>
          <w:p>
            <w:r>
              <w:rPr>
                <w:b w:val="false"/>
                <w:bCs w:val="false"/>
                <w:sz w:val="17"/>
                <w:szCs w:val="17"/>
              </w:rPr>
              <w:t xml:space="preserve">Not yet applicable — no entry criteria met.</w:t>
            </w:r>
          </w:p>
        </w:tc>
        <w:tc>
          <w:tcPr>
            <w:tcMar>
              <w:top w:type="dxa" w:w="60"/>
              <w:left w:type="dxa" w:w="80"/>
              <w:bottom w:type="dxa" w:w="60"/>
              <w:right w:type="dxa" w:w="80"/>
            </w:tcMar>
          </w:tcPr>
          <w:p>
            <w:r>
              <w:rPr>
                <w:b w:val="false"/>
                <w:bCs w:val="false"/>
                <w:sz w:val="17"/>
                <w:szCs w:val="17"/>
              </w:rPr>
              <w:t xml:space="preserve">Not yet measurable.</w:t>
            </w:r>
          </w:p>
        </w:tc>
      </w:tr>
      <w:tr>
        <w:tc>
          <w:tcPr>
            <w:shd w:fill="EFF3F7" w:val="clear"/>
            <w:tcMar>
              <w:top w:type="dxa" w:w="60"/>
              <w:left w:type="dxa" w:w="80"/>
              <w:bottom w:type="dxa" w:w="60"/>
              <w:right w:type="dxa" w:w="80"/>
            </w:tcMar>
          </w:tcPr>
          <w:p>
            <w:r>
              <w:rPr>
                <w:b w:val="false"/>
                <w:bCs w:val="false"/>
                <w:sz w:val="17"/>
                <w:szCs w:val="17"/>
              </w:rPr>
              <w:t xml:space="preserve">AI Platform Ready</w:t>
            </w:r>
          </w:p>
        </w:tc>
        <w:tc>
          <w:tcPr>
            <w:shd w:fill="EFF3F7" w:val="clear"/>
            <w:tcMar>
              <w:top w:type="dxa" w:w="60"/>
              <w:left w:type="dxa" w:w="80"/>
              <w:bottom w:type="dxa" w:w="60"/>
              <w:right w:type="dxa" w:w="80"/>
            </w:tcMar>
          </w:tcPr>
          <w:p>
            <w:r>
              <w:rPr>
                <w:b w:val="false"/>
                <w:bCs w:val="false"/>
                <w:sz w:val="17"/>
                <w:szCs w:val="17"/>
              </w:rPr>
              <w:t xml:space="preserve">A realization assessment exists for Portfolio 3 (Enterprise AI).</w:t>
            </w:r>
          </w:p>
        </w:tc>
        <w:tc>
          <w:tcPr>
            <w:shd w:fill="EFF3F7" w:val="clear"/>
            <w:tcMar>
              <w:top w:type="dxa" w:w="60"/>
              <w:left w:type="dxa" w:w="80"/>
              <w:bottom w:type="dxa" w:w="60"/>
              <w:right w:type="dxa" w:w="80"/>
            </w:tcMar>
          </w:tcPr>
          <w:p>
            <w:r>
              <w:rPr>
                <w:b w:val="false"/>
                <w:bCs w:val="false"/>
                <w:sz w:val="17"/>
                <w:szCs w:val="17"/>
              </w:rPr>
              <w:t xml:space="preserve">Not yet applicable — no entry criteria met.</w:t>
            </w:r>
          </w:p>
        </w:tc>
        <w:tc>
          <w:tcPr>
            <w:shd w:fill="EFF3F7" w:val="clear"/>
            <w:tcMar>
              <w:top w:type="dxa" w:w="60"/>
              <w:left w:type="dxa" w:w="80"/>
              <w:bottom w:type="dxa" w:w="60"/>
              <w:right w:type="dxa" w:w="80"/>
            </w:tcMar>
          </w:tcPr>
          <w:p>
            <w:r>
              <w:rPr>
                <w:b w:val="false"/>
                <w:bCs w:val="false"/>
                <w:sz w:val="17"/>
                <w:szCs w:val="17"/>
              </w:rPr>
              <w:t xml:space="preserve">Not yet measurable.</w:t>
            </w:r>
          </w:p>
        </w:tc>
      </w:tr>
      <w:tr>
        <w:tc>
          <w:tcPr>
            <w:tcMar>
              <w:top w:type="dxa" w:w="60"/>
              <w:left w:type="dxa" w:w="80"/>
              <w:bottom w:type="dxa" w:w="60"/>
              <w:right w:type="dxa" w:w="80"/>
            </w:tcMar>
          </w:tcPr>
          <w:p>
            <w:r>
              <w:rPr>
                <w:b w:val="false"/>
                <w:bCs w:val="false"/>
                <w:sz w:val="17"/>
                <w:szCs w:val="17"/>
              </w:rPr>
              <w:t xml:space="preserve">Business Platform Ready</w:t>
            </w:r>
          </w:p>
        </w:tc>
        <w:tc>
          <w:tcPr>
            <w:tcMar>
              <w:top w:type="dxa" w:w="60"/>
              <w:left w:type="dxa" w:w="80"/>
              <w:bottom w:type="dxa" w:w="60"/>
              <w:right w:type="dxa" w:w="80"/>
            </w:tcMar>
          </w:tcPr>
          <w:p>
            <w:r>
              <w:rPr>
                <w:b w:val="false"/>
                <w:bCs w:val="false"/>
                <w:sz w:val="17"/>
                <w:szCs w:val="17"/>
              </w:rPr>
              <w:t xml:space="preserve">A realization assessment exists for Portfolio 4 (Business Capabilities).</w:t>
            </w:r>
          </w:p>
        </w:tc>
        <w:tc>
          <w:tcPr>
            <w:tcMar>
              <w:top w:type="dxa" w:w="60"/>
              <w:left w:type="dxa" w:w="80"/>
              <w:bottom w:type="dxa" w:w="60"/>
              <w:right w:type="dxa" w:w="80"/>
            </w:tcMar>
          </w:tcPr>
          <w:p>
            <w:r>
              <w:rPr>
                <w:b w:val="false"/>
                <w:bCs w:val="false"/>
                <w:sz w:val="17"/>
                <w:szCs w:val="17"/>
              </w:rPr>
              <w:t xml:space="preserve">Not yet applicable — no entry criteria met.</w:t>
            </w:r>
          </w:p>
        </w:tc>
        <w:tc>
          <w:tcPr>
            <w:tcMar>
              <w:top w:type="dxa" w:w="60"/>
              <w:left w:type="dxa" w:w="80"/>
              <w:bottom w:type="dxa" w:w="60"/>
              <w:right w:type="dxa" w:w="80"/>
            </w:tcMar>
          </w:tcPr>
          <w:p>
            <w:r>
              <w:rPr>
                <w:b w:val="false"/>
                <w:bCs w:val="false"/>
                <w:sz w:val="17"/>
                <w:szCs w:val="17"/>
              </w:rPr>
              <w:t xml:space="preserve">Not yet measurable.</w:t>
            </w:r>
          </w:p>
        </w:tc>
      </w:tr>
      <w:tr>
        <w:tc>
          <w:tcPr>
            <w:shd w:fill="EFF3F7" w:val="clear"/>
            <w:tcMar>
              <w:top w:type="dxa" w:w="60"/>
              <w:left w:type="dxa" w:w="80"/>
              <w:bottom w:type="dxa" w:w="60"/>
              <w:right w:type="dxa" w:w="80"/>
            </w:tcMar>
          </w:tcPr>
          <w:p>
            <w:r>
              <w:rPr>
                <w:b w:val="false"/>
                <w:bCs w:val="false"/>
                <w:sz w:val="17"/>
                <w:szCs w:val="17"/>
              </w:rPr>
              <w:t xml:space="preserve">Production Ready</w:t>
            </w:r>
          </w:p>
        </w:tc>
        <w:tc>
          <w:tcPr>
            <w:shd w:fill="EFF3F7" w:val="clear"/>
            <w:tcMar>
              <w:top w:type="dxa" w:w="60"/>
              <w:left w:type="dxa" w:w="80"/>
              <w:bottom w:type="dxa" w:w="60"/>
              <w:right w:type="dxa" w:w="80"/>
            </w:tcMar>
          </w:tcPr>
          <w:p>
            <w:r>
              <w:rPr>
                <w:b w:val="false"/>
                <w:bCs w:val="false"/>
                <w:sz w:val="17"/>
                <w:szCs w:val="17"/>
              </w:rPr>
              <w:t xml:space="preserve">Critical Security Complete + Data Platform Ready.</w:t>
            </w:r>
          </w:p>
        </w:tc>
        <w:tc>
          <w:tcPr>
            <w:shd w:fill="EFF3F7" w:val="clear"/>
            <w:tcMar>
              <w:top w:type="dxa" w:w="60"/>
              <w:left w:type="dxa" w:w="80"/>
              <w:bottom w:type="dxa" w:w="60"/>
              <w:right w:type="dxa" w:w="80"/>
            </w:tcMar>
          </w:tcPr>
          <w:p>
            <w:r>
              <w:rPr>
                <w:b w:val="false"/>
                <w:bCs w:val="false"/>
                <w:sz w:val="17"/>
                <w:szCs w:val="17"/>
              </w:rPr>
              <w:t xml:space="preserve">All Wave 1–3 WPs executed and verified.</w:t>
            </w:r>
          </w:p>
        </w:tc>
        <w:tc>
          <w:tcPr>
            <w:shd w:fill="EFF3F7" w:val="clear"/>
            <w:tcMar>
              <w:top w:type="dxa" w:w="60"/>
              <w:left w:type="dxa" w:w="80"/>
              <w:bottom w:type="dxa" w:w="60"/>
              <w:right w:type="dxa" w:w="80"/>
            </w:tcMar>
          </w:tcPr>
          <w:p>
            <w:r>
              <w:rPr>
                <w:b w:val="false"/>
                <w:bCs w:val="false"/>
                <w:sz w:val="17"/>
                <w:szCs w:val="17"/>
              </w:rPr>
              <w:t xml:space="preserve">Certification L4 met across all 10 ARs.</w:t>
            </w:r>
          </w:p>
        </w:tc>
      </w:tr>
      <w:tr>
        <w:tc>
          <w:tcPr>
            <w:tcMar>
              <w:top w:type="dxa" w:w="60"/>
              <w:left w:type="dxa" w:w="80"/>
              <w:bottom w:type="dxa" w:w="60"/>
              <w:right w:type="dxa" w:w="80"/>
            </w:tcMar>
          </w:tcPr>
          <w:p>
            <w:r>
              <w:rPr>
                <w:b w:val="false"/>
                <w:bCs w:val="false"/>
                <w:sz w:val="17"/>
                <w:szCs w:val="17"/>
              </w:rPr>
              <w:t xml:space="preserve">Enterprise Certified</w:t>
            </w:r>
          </w:p>
        </w:tc>
        <w:tc>
          <w:tcPr>
            <w:tcMar>
              <w:top w:type="dxa" w:w="60"/>
              <w:left w:type="dxa" w:w="80"/>
              <w:bottom w:type="dxa" w:w="60"/>
              <w:right w:type="dxa" w:w="80"/>
            </w:tcMar>
          </w:tcPr>
          <w:p>
            <w:r>
              <w:rPr>
                <w:b w:val="false"/>
                <w:bCs w:val="false"/>
                <w:sz w:val="17"/>
                <w:szCs w:val="17"/>
              </w:rPr>
              <w:t xml:space="preserve">Production Ready.</w:t>
            </w:r>
          </w:p>
        </w:tc>
        <w:tc>
          <w:tcPr>
            <w:tcMar>
              <w:top w:type="dxa" w:w="60"/>
              <w:left w:type="dxa" w:w="80"/>
              <w:bottom w:type="dxa" w:w="60"/>
              <w:right w:type="dxa" w:w="80"/>
            </w:tcMar>
          </w:tcPr>
          <w:p>
            <w:r>
              <w:rPr>
                <w:b w:val="false"/>
                <w:bCs w:val="false"/>
                <w:sz w:val="17"/>
                <w:szCs w:val="17"/>
              </w:rPr>
              <w:t xml:space="preserve">Closed-loop re-assessment (Phase A.1-style audit) confirms no new drift.</w:t>
            </w:r>
          </w:p>
        </w:tc>
        <w:tc>
          <w:tcPr>
            <w:tcMar>
              <w:top w:type="dxa" w:w="60"/>
              <w:left w:type="dxa" w:w="80"/>
              <w:bottom w:type="dxa" w:w="60"/>
              <w:right w:type="dxa" w:w="80"/>
            </w:tcMar>
          </w:tcPr>
          <w:p>
            <w:r>
              <w:rPr>
                <w:b w:val="false"/>
                <w:bCs w:val="false"/>
                <w:sz w:val="17"/>
                <w:szCs w:val="17"/>
              </w:rPr>
              <w:t xml:space="preserve">Certification L5 met (per Phase A.3 §11).</w:t>
            </w:r>
          </w:p>
        </w:tc>
      </w:tr>
    </w:tbl>
    <w:p>
      <w:r>
        <w:br w:type="page"/>
      </w:r>
    </w:p>
    <w:p>
      <w:pPr>
        <w:pStyle w:val="Heading1"/>
        <w:spacing w:after="120" w:before="300"/>
      </w:pPr>
      <w:r>
        <w:t xml:space="preserve">7. Critical Path Analysis</w:t>
      </w:r>
    </w:p>
    <w:p>
      <w:pPr>
        <w:pStyle w:val="Heading2"/>
        <w:spacing w:after="100" w:before="220"/>
      </w:pPr>
      <w:r>
        <w:t xml:space="preserve">Mandatory Sequencing</w:t>
      </w:r>
    </w:p>
    <w:p>
      <w:pPr>
        <w:spacing w:after="120"/>
      </w:pPr>
      <w:r>
        <w:rPr>
          <w:sz w:val="20"/>
          <w:szCs w:val="20"/>
        </w:rPr>
        <w:t xml:space="preserve">WP-0006 → WP-0001. Documentation revision (WP-0001) should be authored under a named, accountable enterprise architecture owner; Phase A.2 §12 treats unassigned ownership as the reason dispositions remain aspirational rather than executed.</w:t>
      </w:r>
    </w:p>
    <w:p>
      <w:pPr>
        <w:pStyle w:val="Heading2"/>
        <w:spacing w:after="100" w:before="220"/>
      </w:pPr>
      <w:r>
        <w:t xml:space="preserve">Blocking Dependencies</w:t>
      </w:r>
    </w:p>
    <w:p>
      <w:pPr>
        <w:pStyle w:val="ListParagraph"/>
        <w:numPr>
          <w:ilvl w:val="0"/>
          <w:numId w:val="1"/>
        </w:numPr>
        <w:spacing w:after="60"/>
      </w:pPr>
      <w:r>
        <w:t xml:space="preserve">WP-0003 is blocked on external row-count/growth data that has not yet been gathered — this is a data-availability blocker, not a work-package blocker.</w:t>
      </w:r>
    </w:p>
    <w:p>
      <w:pPr>
        <w:pStyle w:val="ListParagraph"/>
        <w:numPr>
          <w:ilvl w:val="0"/>
          <w:numId w:val="1"/>
        </w:numPr>
        <w:spacing w:after="60"/>
      </w:pPr>
      <w:r>
        <w:t xml:space="preserve">Portfolios 3–7 are blocked on the prerequisite realization assessments that would produce their AR/EGD evidence — no work-package-level blocker exists because no work packages exist yet.</w:t>
      </w:r>
    </w:p>
    <w:p>
      <w:pPr>
        <w:pStyle w:val="Heading2"/>
        <w:spacing w:after="100" w:before="220"/>
      </w:pPr>
      <w:r>
        <w:t xml:space="preserve">Parallel Execution Opportunities</w:t>
      </w:r>
    </w:p>
    <w:p>
      <w:pPr>
        <w:spacing w:after="120"/>
      </w:pPr>
      <w:r>
        <w:rPr>
          <w:sz w:val="20"/>
          <w:szCs w:val="20"/>
        </w:rPr>
        <w:t xml:space="preserve">WP-0002 and WP-0006 have no dependency on each other and no blocking dependency of their own — both can run fully in parallel starting immediately (Wave 1).</w:t>
      </w:r>
    </w:p>
    <w:p>
      <w:pPr>
        <w:pStyle w:val="Heading2"/>
        <w:spacing w:after="100" w:before="220"/>
      </w:pPr>
      <w:r>
        <w:t xml:space="preserve">Risk Bottlenecks</w:t>
      </w:r>
    </w:p>
    <w:p>
      <w:pPr>
        <w:spacing w:after="120"/>
      </w:pPr>
      <w:r>
        <w:rPr>
          <w:sz w:val="20"/>
          <w:szCs w:val="20"/>
        </w:rPr>
        <w:t xml:space="preserve">The single largest bottleneck in this roadmap is organizational, not technical: zero owners assigned across all nine governance decisions (KPI-08 = 0%). Every other risk in this plan (documentation drift, RLS gap, partitioning trigger) has a scoped, low-cost technical remedy already defined; none of those remedies has an accountable owner to execute it yet.</w:t>
      </w:r>
    </w:p>
    <w:p>
      <w:pPr>
        <w:pStyle w:val="Heading2"/>
        <w:spacing w:after="100" w:before="220"/>
      </w:pPr>
      <w:r>
        <w:t xml:space="preserve">Resource Bottlenecks</w:t>
      </w:r>
    </w:p>
    <w:p>
      <w:pPr>
        <w:spacing w:after="120"/>
      </w:pPr>
      <w:r>
        <w:rPr>
          <w:sz w:val="20"/>
          <w:szCs w:val="20"/>
        </w:rPr>
        <w:t xml:space="preserve">None identified at current scope. All Wave 1–2 work packages are low-complexity (documentation, verification, organizational assignment) and do not compete for specialized capacity. Wave 3 (WP-0003) may require dedicated data-engineering time once triggered, but this is not a current bottleneck since the trigger has not fired.</w:t>
      </w:r>
    </w:p>
    <w:p>
      <w:pPr>
        <w:pStyle w:val="Heading2"/>
        <w:spacing w:after="100" w:before="220"/>
      </w:pPr>
      <w:r>
        <w:t xml:space="preserve">Critical Path to Enterprise Realization</w:t>
      </w:r>
    </w:p>
    <w:p>
      <w:pPr>
        <w:spacing w:after="120"/>
      </w:pPr>
      <w:r>
        <w:rPr>
          <w:b/>
          <w:bCs/>
          <w:sz w:val="20"/>
          <w:szCs w:val="20"/>
        </w:rPr>
        <w:t xml:space="preserve">WP-0006 (owner assignment, days) → WP-0002 (RLS verification, 1–2 days, parallel) → WP-0001 (documentation revision, 1 session, under the newly-assigned owner) → WP-0004 / WP-0005 (parallel, low effort) → Production Ready milestone. WP-0003 and Portfolios 3–7 sit outside this critical path entirely, gated on external triggers or future assessments rather than on any item within it.</w:t>
      </w:r>
    </w:p>
    <w:p>
      <w:r>
        <w:br w:type="page"/>
      </w:r>
    </w:p>
    <w:p>
      <w:pPr>
        <w:pStyle w:val="Heading1"/>
        <w:spacing w:after="120" w:before="300"/>
      </w:pPr>
      <w:r>
        <w:t xml:space="preserve">8. Architecture Requirement Delivery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AR</w:t>
            </w:r>
          </w:p>
        </w:tc>
        <w:tc>
          <w:tcPr>
            <w:shd w:fill="1F2A44" w:val="clear"/>
            <w:tcMar>
              <w:top w:type="dxa" w:w="60"/>
              <w:left w:type="dxa" w:w="80"/>
              <w:bottom w:type="dxa" w:w="60"/>
              <w:right w:type="dxa" w:w="80"/>
            </w:tcMar>
          </w:tcPr>
          <w:p>
            <w:r>
              <w:rPr>
                <w:b/>
                <w:bCs/>
                <w:color w:val="FFFFFF"/>
                <w:sz w:val="17"/>
                <w:szCs w:val="17"/>
              </w:rPr>
              <w:t xml:space="preserve">EGD</w:t>
            </w:r>
          </w:p>
        </w:tc>
        <w:tc>
          <w:tcPr>
            <w:shd w:fill="1F2A44" w:val="clear"/>
            <w:tcMar>
              <w:top w:type="dxa" w:w="60"/>
              <w:left w:type="dxa" w:w="80"/>
              <w:bottom w:type="dxa" w:w="60"/>
              <w:right w:type="dxa" w:w="80"/>
            </w:tcMar>
          </w:tcPr>
          <w:p>
            <w:r>
              <w:rPr>
                <w:b/>
                <w:bCs/>
                <w:color w:val="FFFFFF"/>
                <w:sz w:val="17"/>
                <w:szCs w:val="17"/>
              </w:rPr>
              <w:t xml:space="preserve">WP</w:t>
            </w:r>
          </w:p>
        </w:tc>
        <w:tc>
          <w:tcPr>
            <w:shd w:fill="1F2A44" w:val="clear"/>
            <w:tcMar>
              <w:top w:type="dxa" w:w="60"/>
              <w:left w:type="dxa" w:w="80"/>
              <w:bottom w:type="dxa" w:w="60"/>
              <w:right w:type="dxa" w:w="80"/>
            </w:tcMar>
          </w:tcPr>
          <w:p>
            <w:r>
              <w:rPr>
                <w:b/>
                <w:bCs/>
                <w:color w:val="FFFFFF"/>
                <w:sz w:val="17"/>
                <w:szCs w:val="17"/>
              </w:rPr>
              <w:t xml:space="preserve">Portfolio</w:t>
            </w:r>
          </w:p>
        </w:tc>
        <w:tc>
          <w:tcPr>
            <w:shd w:fill="1F2A44" w:val="clear"/>
            <w:tcMar>
              <w:top w:type="dxa" w:w="60"/>
              <w:left w:type="dxa" w:w="80"/>
              <w:bottom w:type="dxa" w:w="60"/>
              <w:right w:type="dxa" w:w="80"/>
            </w:tcMar>
          </w:tcPr>
          <w:p>
            <w:r>
              <w:rPr>
                <w:b/>
                <w:bCs/>
                <w:color w:val="FFFFFF"/>
                <w:sz w:val="17"/>
                <w:szCs w:val="17"/>
              </w:rPr>
              <w:t xml:space="preserve">Wave</w:t>
            </w:r>
          </w:p>
        </w:tc>
        <w:tc>
          <w:tcPr>
            <w:shd w:fill="1F2A44" w:val="clear"/>
            <w:tcMar>
              <w:top w:type="dxa" w:w="60"/>
              <w:left w:type="dxa" w:w="80"/>
              <w:bottom w:type="dxa" w:w="60"/>
              <w:right w:type="dxa" w:w="80"/>
            </w:tcMar>
          </w:tcPr>
          <w:p>
            <w:r>
              <w:rPr>
                <w:b/>
                <w:bCs/>
                <w:color w:val="FFFFFF"/>
                <w:sz w:val="17"/>
                <w:szCs w:val="17"/>
              </w:rPr>
              <w:t xml:space="preserve">Milestone</w:t>
            </w:r>
          </w:p>
        </w:tc>
        <w:tc>
          <w:tcPr>
            <w:shd w:fill="1F2A44" w:val="clear"/>
            <w:tcMar>
              <w:top w:type="dxa" w:w="60"/>
              <w:left w:type="dxa" w:w="80"/>
              <w:bottom w:type="dxa" w:w="60"/>
              <w:right w:type="dxa" w:w="80"/>
            </w:tcMar>
          </w:tcPr>
          <w:p>
            <w:r>
              <w:rPr>
                <w:b/>
                <w:bCs/>
                <w:color w:val="FFFFFF"/>
                <w:sz w:val="17"/>
                <w:szCs w:val="17"/>
              </w:rPr>
              <w:t xml:space="preserve">Owner</w:t>
            </w:r>
          </w:p>
        </w:tc>
        <w:tc>
          <w:tcPr>
            <w:shd w:fill="1F2A44" w:val="clear"/>
            <w:tcMar>
              <w:top w:type="dxa" w:w="60"/>
              <w:left w:type="dxa" w:w="80"/>
              <w:bottom w:type="dxa" w:w="60"/>
              <w:right w:type="dxa" w:w="80"/>
            </w:tcMar>
          </w:tcPr>
          <w:p>
            <w:r>
              <w:rPr>
                <w:b/>
                <w:bCs/>
                <w:color w:val="FFFFFF"/>
                <w:sz w:val="17"/>
                <w:szCs w:val="17"/>
              </w:rPr>
              <w:t xml:space="preserve">Verification Method</w:t>
            </w:r>
          </w:p>
        </w:tc>
      </w:tr>
      <w:tr>
        <w:tc>
          <w:tcPr>
            <w:tcMar>
              <w:top w:type="dxa" w:w="60"/>
              <w:left w:type="dxa" w:w="80"/>
              <w:bottom w:type="dxa" w:w="60"/>
              <w:right w:type="dxa" w:w="80"/>
            </w:tcMar>
          </w:tcPr>
          <w:p>
            <w:r>
              <w:rPr>
                <w:b w:val="false"/>
                <w:bCs w:val="false"/>
                <w:sz w:val="17"/>
                <w:szCs w:val="17"/>
              </w:rPr>
              <w:t xml:space="preserve">AR-0001</w:t>
            </w:r>
          </w:p>
        </w:tc>
        <w:tc>
          <w:tcPr>
            <w:tcMar>
              <w:top w:type="dxa" w:w="60"/>
              <w:left w:type="dxa" w:w="80"/>
              <w:bottom w:type="dxa" w:w="60"/>
              <w:right w:type="dxa" w:w="80"/>
            </w:tcMar>
          </w:tcPr>
          <w:p>
            <w:r>
              <w:rPr>
                <w:b w:val="false"/>
                <w:bCs w:val="false"/>
                <w:sz w:val="17"/>
                <w:szCs w:val="17"/>
              </w:rPr>
              <w:t xml:space="preserve">EGD-0001</w:t>
            </w:r>
          </w:p>
        </w:tc>
        <w:tc>
          <w:tcPr>
            <w:tcMar>
              <w:top w:type="dxa" w:w="60"/>
              <w:left w:type="dxa" w:w="80"/>
              <w:bottom w:type="dxa" w:w="60"/>
              <w:right w:type="dxa" w:w="80"/>
            </w:tcMar>
          </w:tcPr>
          <w:p>
            <w:r>
              <w:rPr>
                <w:b w:val="false"/>
                <w:bCs w:val="false"/>
                <w:sz w:val="17"/>
                <w:szCs w:val="17"/>
              </w:rPr>
              <w:t xml:space="preserve">—</w:t>
            </w:r>
          </w:p>
        </w:tc>
        <w:tc>
          <w:tcPr>
            <w:tcMar>
              <w:top w:type="dxa" w:w="60"/>
              <w:left w:type="dxa" w:w="80"/>
              <w:bottom w:type="dxa" w:w="60"/>
              <w:right w:type="dxa" w:w="80"/>
            </w:tcMar>
          </w:tcPr>
          <w:p>
            <w:r>
              <w:rPr>
                <w:b w:val="false"/>
                <w:bCs w:val="false"/>
                <w:sz w:val="17"/>
                <w:szCs w:val="17"/>
              </w:rPr>
              <w:t xml:space="preserve">1</w:t>
            </w:r>
          </w:p>
        </w:tc>
        <w:tc>
          <w:tcPr>
            <w:tcMar>
              <w:top w:type="dxa" w:w="60"/>
              <w:left w:type="dxa" w:w="80"/>
              <w:bottom w:type="dxa" w:w="60"/>
              <w:right w:type="dxa" w:w="80"/>
            </w:tcMar>
          </w:tcPr>
          <w:p>
            <w:r>
              <w:rPr>
                <w:b w:val="false"/>
                <w:bCs w:val="false"/>
                <w:sz w:val="17"/>
                <w:szCs w:val="17"/>
              </w:rPr>
              <w:t xml:space="preserve">Trigger-gated (no wave)</w:t>
            </w:r>
          </w:p>
        </w:tc>
        <w:tc>
          <w:tcPr>
            <w:tcMar>
              <w:top w:type="dxa" w:w="60"/>
              <w:left w:type="dxa" w:w="80"/>
              <w:bottom w:type="dxa" w:w="60"/>
              <w:right w:type="dxa" w:w="80"/>
            </w:tcMar>
          </w:tcPr>
          <w:p>
            <w:r>
              <w:rPr>
                <w:b w:val="false"/>
                <w:bCs w:val="false"/>
                <w:sz w:val="17"/>
                <w:szCs w:val="17"/>
              </w:rPr>
              <w:t xml:space="preserve">N/A until triggered</w:t>
            </w:r>
          </w:p>
        </w:tc>
        <w:tc>
          <w:tcPr>
            <w:tcMar>
              <w:top w:type="dxa" w:w="60"/>
              <w:left w:type="dxa" w:w="80"/>
              <w:bottom w:type="dxa" w:w="60"/>
              <w:right w:type="dxa" w:w="80"/>
            </w:tcMar>
          </w:tcPr>
          <w:p>
            <w:r>
              <w:rPr>
                <w:b w:val="false"/>
                <w:bCs w:val="false"/>
                <w:sz w:val="17"/>
                <w:szCs w:val="17"/>
              </w:rPr>
              <w:t xml:space="preserve">Data/Platform engineering lead (WP-0006)</w:t>
            </w:r>
          </w:p>
        </w:tc>
        <w:tc>
          <w:tcPr>
            <w:tcMar>
              <w:top w:type="dxa" w:w="60"/>
              <w:left w:type="dxa" w:w="80"/>
              <w:bottom w:type="dxa" w:w="60"/>
              <w:right w:type="dxa" w:w="80"/>
            </w:tcMar>
          </w:tcPr>
          <w:p>
            <w:r>
              <w:rPr>
                <w:b w:val="false"/>
                <w:bCs w:val="false"/>
                <w:sz w:val="17"/>
                <w:szCs w:val="17"/>
              </w:rPr>
              <w:t xml:space="preserve">Quarterly public-schema table-count check</w:t>
            </w:r>
          </w:p>
        </w:tc>
      </w:tr>
      <w:tr>
        <w:tc>
          <w:tcPr>
            <w:shd w:fill="EFF3F7" w:val="clear"/>
            <w:tcMar>
              <w:top w:type="dxa" w:w="60"/>
              <w:left w:type="dxa" w:w="80"/>
              <w:bottom w:type="dxa" w:w="60"/>
              <w:right w:type="dxa" w:w="80"/>
            </w:tcMar>
          </w:tcPr>
          <w:p>
            <w:r>
              <w:rPr>
                <w:b w:val="false"/>
                <w:bCs w:val="false"/>
                <w:sz w:val="17"/>
                <w:szCs w:val="17"/>
              </w:rPr>
              <w:t xml:space="preserve">AR-0002</w:t>
            </w:r>
          </w:p>
        </w:tc>
        <w:tc>
          <w:tcPr>
            <w:shd w:fill="EFF3F7" w:val="clear"/>
            <w:tcMar>
              <w:top w:type="dxa" w:w="60"/>
              <w:left w:type="dxa" w:w="80"/>
              <w:bottom w:type="dxa" w:w="60"/>
              <w:right w:type="dxa" w:w="80"/>
            </w:tcMar>
          </w:tcPr>
          <w:p>
            <w:r>
              <w:rPr>
                <w:b w:val="false"/>
                <w:bCs w:val="false"/>
                <w:sz w:val="17"/>
                <w:szCs w:val="17"/>
              </w:rPr>
              <w:t xml:space="preserve">EGD-0002</w:t>
            </w:r>
          </w:p>
        </w:tc>
        <w:tc>
          <w:tcPr>
            <w:shd w:fill="EFF3F7" w:val="clear"/>
            <w:tcMar>
              <w:top w:type="dxa" w:w="60"/>
              <w:left w:type="dxa" w:w="80"/>
              <w:bottom w:type="dxa" w:w="60"/>
              <w:right w:type="dxa" w:w="80"/>
            </w:tcMar>
          </w:tcPr>
          <w:p>
            <w:r>
              <w:rPr>
                <w:b w:val="false"/>
                <w:bCs w:val="false"/>
                <w:sz w:val="17"/>
                <w:szCs w:val="17"/>
              </w:rPr>
              <w:t xml:space="preserve">WP-0001</w:t>
            </w:r>
          </w:p>
        </w:tc>
        <w:tc>
          <w:tcPr>
            <w:shd w:fill="EFF3F7" w:val="clear"/>
            <w:tcMar>
              <w:top w:type="dxa" w:w="60"/>
              <w:left w:type="dxa" w:w="80"/>
              <w:bottom w:type="dxa" w:w="60"/>
              <w:right w:type="dxa" w:w="80"/>
            </w:tcMar>
          </w:tcPr>
          <w:p>
            <w:r>
              <w:rPr>
                <w:b w:val="false"/>
                <w:bCs w:val="false"/>
                <w:sz w:val="17"/>
                <w:szCs w:val="17"/>
              </w:rPr>
              <w:t xml:space="preserve">1</w:t>
            </w:r>
          </w:p>
        </w:tc>
        <w:tc>
          <w:tcPr>
            <w:shd w:fill="EFF3F7" w:val="clear"/>
            <w:tcMar>
              <w:top w:type="dxa" w:w="60"/>
              <w:left w:type="dxa" w:w="80"/>
              <w:bottom w:type="dxa" w:w="60"/>
              <w:right w:type="dxa" w:w="80"/>
            </w:tcMar>
          </w:tcPr>
          <w:p>
            <w:r>
              <w:rPr>
                <w:b w:val="false"/>
                <w:bCs w:val="false"/>
                <w:sz w:val="17"/>
                <w:szCs w:val="17"/>
              </w:rPr>
              <w:t xml:space="preserve">Wave 2</w:t>
            </w:r>
          </w:p>
        </w:tc>
        <w:tc>
          <w:tcPr>
            <w:shd w:fill="EFF3F7" w:val="clear"/>
            <w:tcMar>
              <w:top w:type="dxa" w:w="60"/>
              <w:left w:type="dxa" w:w="80"/>
              <w:bottom w:type="dxa" w:w="60"/>
              <w:right w:type="dxa" w:w="80"/>
            </w:tcMar>
          </w:tcPr>
          <w:p>
            <w:r>
              <w:rPr>
                <w:b w:val="false"/>
                <w:bCs w:val="false"/>
                <w:sz w:val="17"/>
                <w:szCs w:val="17"/>
              </w:rPr>
              <w:t xml:space="preserve">Data Platform Ready</w:t>
            </w:r>
          </w:p>
        </w:tc>
        <w:tc>
          <w:tcPr>
            <w:shd w:fill="EFF3F7" w:val="clear"/>
            <w:tcMar>
              <w:top w:type="dxa" w:w="60"/>
              <w:left w:type="dxa" w:w="80"/>
              <w:bottom w:type="dxa" w:w="60"/>
              <w:right w:type="dxa" w:w="80"/>
            </w:tcMar>
          </w:tcPr>
          <w:p>
            <w:r>
              <w:rPr>
                <w:b w:val="false"/>
                <w:bCs w:val="false"/>
                <w:sz w:val="17"/>
                <w:szCs w:val="17"/>
              </w:rPr>
              <w:t xml:space="preserve">Enterprise architecture owner (WP-0006)</w:t>
            </w:r>
          </w:p>
        </w:tc>
        <w:tc>
          <w:tcPr>
            <w:shd w:fill="EFF3F7" w:val="clear"/>
            <w:tcMar>
              <w:top w:type="dxa" w:w="60"/>
              <w:left w:type="dxa" w:w="80"/>
              <w:bottom w:type="dxa" w:w="60"/>
              <w:right w:type="dxa" w:w="80"/>
            </w:tcMar>
          </w:tcPr>
          <w:p>
            <w:r>
              <w:rPr>
                <w:b w:val="false"/>
                <w:bCs w:val="false"/>
                <w:sz w:val="17"/>
                <w:szCs w:val="17"/>
              </w:rPr>
              <w:t xml:space="preserve">Table inventory diff vs. live schema, zero discrepancies</w:t>
            </w:r>
          </w:p>
        </w:tc>
      </w:tr>
      <w:tr>
        <w:tc>
          <w:tcPr>
            <w:tcMar>
              <w:top w:type="dxa" w:w="60"/>
              <w:left w:type="dxa" w:w="80"/>
              <w:bottom w:type="dxa" w:w="60"/>
              <w:right w:type="dxa" w:w="80"/>
            </w:tcMar>
          </w:tcPr>
          <w:p>
            <w:r>
              <w:rPr>
                <w:b w:val="false"/>
                <w:bCs w:val="false"/>
                <w:sz w:val="17"/>
                <w:szCs w:val="17"/>
              </w:rPr>
              <w:t xml:space="preserve">AR-0003</w:t>
            </w:r>
          </w:p>
        </w:tc>
        <w:tc>
          <w:tcPr>
            <w:tcMar>
              <w:top w:type="dxa" w:w="60"/>
              <w:left w:type="dxa" w:w="80"/>
              <w:bottom w:type="dxa" w:w="60"/>
              <w:right w:type="dxa" w:w="80"/>
            </w:tcMar>
          </w:tcPr>
          <w:p>
            <w:r>
              <w:rPr>
                <w:b w:val="false"/>
                <w:bCs w:val="false"/>
                <w:sz w:val="17"/>
                <w:szCs w:val="17"/>
              </w:rPr>
              <w:t xml:space="preserve">EGD-0003</w:t>
            </w:r>
          </w:p>
        </w:tc>
        <w:tc>
          <w:tcPr>
            <w:tcMar>
              <w:top w:type="dxa" w:w="60"/>
              <w:left w:type="dxa" w:w="80"/>
              <w:bottom w:type="dxa" w:w="60"/>
              <w:right w:type="dxa" w:w="80"/>
            </w:tcMar>
          </w:tcPr>
          <w:p>
            <w:r>
              <w:rPr>
                <w:b w:val="false"/>
                <w:bCs w:val="false"/>
                <w:sz w:val="17"/>
                <w:szCs w:val="17"/>
              </w:rPr>
              <w:t xml:space="preserve">WP-0004</w:t>
            </w:r>
          </w:p>
        </w:tc>
        <w:tc>
          <w:tcPr>
            <w:tcMar>
              <w:top w:type="dxa" w:w="60"/>
              <w:left w:type="dxa" w:w="80"/>
              <w:bottom w:type="dxa" w:w="60"/>
              <w:right w:type="dxa" w:w="80"/>
            </w:tcMar>
          </w:tcPr>
          <w:p>
            <w:r>
              <w:rPr>
                <w:b w:val="false"/>
                <w:bCs w:val="false"/>
                <w:sz w:val="17"/>
                <w:szCs w:val="17"/>
              </w:rPr>
              <w:t xml:space="preserve">1</w:t>
            </w:r>
          </w:p>
        </w:tc>
        <w:tc>
          <w:tcPr>
            <w:tcMar>
              <w:top w:type="dxa" w:w="60"/>
              <w:left w:type="dxa" w:w="80"/>
              <w:bottom w:type="dxa" w:w="60"/>
              <w:right w:type="dxa" w:w="80"/>
            </w:tcMar>
          </w:tcPr>
          <w:p>
            <w:r>
              <w:rPr>
                <w:b w:val="false"/>
                <w:bCs w:val="false"/>
                <w:sz w:val="17"/>
                <w:szCs w:val="17"/>
              </w:rPr>
              <w:t xml:space="preserve">Wave 2</w:t>
            </w:r>
          </w:p>
        </w:tc>
        <w:tc>
          <w:tcPr>
            <w:tcMar>
              <w:top w:type="dxa" w:w="60"/>
              <w:left w:type="dxa" w:w="80"/>
              <w:bottom w:type="dxa" w:w="60"/>
              <w:right w:type="dxa" w:w="80"/>
            </w:tcMar>
          </w:tcPr>
          <w:p>
            <w:r>
              <w:rPr>
                <w:b w:val="false"/>
                <w:bCs w:val="false"/>
                <w:sz w:val="17"/>
                <w:szCs w:val="17"/>
              </w:rPr>
              <w:t xml:space="preserve">Data Platform Ready</w:t>
            </w:r>
          </w:p>
        </w:tc>
        <w:tc>
          <w:tcPr>
            <w:tcMar>
              <w:top w:type="dxa" w:w="60"/>
              <w:left w:type="dxa" w:w="80"/>
              <w:bottom w:type="dxa" w:w="60"/>
              <w:right w:type="dxa" w:w="80"/>
            </w:tcMar>
          </w:tcPr>
          <w:p>
            <w:r>
              <w:rPr>
                <w:b w:val="false"/>
                <w:bCs w:val="false"/>
                <w:sz w:val="17"/>
                <w:szCs w:val="17"/>
              </w:rPr>
              <w:t xml:space="preserve">Data governance owner (WP-0006)</w:t>
            </w:r>
          </w:p>
        </w:tc>
        <w:tc>
          <w:tcPr>
            <w:tcMar>
              <w:top w:type="dxa" w:w="60"/>
              <w:left w:type="dxa" w:w="80"/>
              <w:bottom w:type="dxa" w:w="60"/>
              <w:right w:type="dxa" w:w="80"/>
            </w:tcMar>
          </w:tcPr>
          <w:p>
            <w:r>
              <w:rPr>
                <w:b w:val="false"/>
                <w:bCs w:val="false"/>
                <w:sz w:val="17"/>
                <w:szCs w:val="17"/>
              </w:rPr>
              <w:t xml:space="preserve">Per-release automated denormalization check</w:t>
            </w:r>
          </w:p>
        </w:tc>
      </w:tr>
      <w:tr>
        <w:tc>
          <w:tcPr>
            <w:shd w:fill="EFF3F7" w:val="clear"/>
            <w:tcMar>
              <w:top w:type="dxa" w:w="60"/>
              <w:left w:type="dxa" w:w="80"/>
              <w:bottom w:type="dxa" w:w="60"/>
              <w:right w:type="dxa" w:w="80"/>
            </w:tcMar>
          </w:tcPr>
          <w:p>
            <w:r>
              <w:rPr>
                <w:b w:val="false"/>
                <w:bCs w:val="false"/>
                <w:sz w:val="17"/>
                <w:szCs w:val="17"/>
              </w:rPr>
              <w:t xml:space="preserve">AR-0004</w:t>
            </w:r>
          </w:p>
        </w:tc>
        <w:tc>
          <w:tcPr>
            <w:shd w:fill="EFF3F7" w:val="clear"/>
            <w:tcMar>
              <w:top w:type="dxa" w:w="60"/>
              <w:left w:type="dxa" w:w="80"/>
              <w:bottom w:type="dxa" w:w="60"/>
              <w:right w:type="dxa" w:w="80"/>
            </w:tcMar>
          </w:tcPr>
          <w:p>
            <w:r>
              <w:rPr>
                <w:b w:val="false"/>
                <w:bCs w:val="false"/>
                <w:sz w:val="17"/>
                <w:szCs w:val="17"/>
              </w:rPr>
              <w:t xml:space="preserve">EGD-0004</w:t>
            </w:r>
          </w:p>
        </w:tc>
        <w:tc>
          <w:tcPr>
            <w:shd w:fill="EFF3F7" w:val="clear"/>
            <w:tcMar>
              <w:top w:type="dxa" w:w="60"/>
              <w:left w:type="dxa" w:w="80"/>
              <w:bottom w:type="dxa" w:w="60"/>
              <w:right w:type="dxa" w:w="80"/>
            </w:tcMar>
          </w:tcPr>
          <w:p>
            <w:r>
              <w:rPr>
                <w:b w:val="false"/>
                <w:bCs w:val="false"/>
                <w:sz w:val="17"/>
                <w:szCs w:val="17"/>
              </w:rPr>
              <w:t xml:space="preserve">WP-0003</w:t>
            </w:r>
          </w:p>
        </w:tc>
        <w:tc>
          <w:tcPr>
            <w:shd w:fill="EFF3F7" w:val="clear"/>
            <w:tcMar>
              <w:top w:type="dxa" w:w="60"/>
              <w:left w:type="dxa" w:w="80"/>
              <w:bottom w:type="dxa" w:w="60"/>
              <w:right w:type="dxa" w:w="80"/>
            </w:tcMar>
          </w:tcPr>
          <w:p>
            <w:r>
              <w:rPr>
                <w:b w:val="false"/>
                <w:bCs w:val="false"/>
                <w:sz w:val="17"/>
                <w:szCs w:val="17"/>
              </w:rPr>
              <w:t xml:space="preserve">1</w:t>
            </w:r>
          </w:p>
        </w:tc>
        <w:tc>
          <w:tcPr>
            <w:shd w:fill="EFF3F7" w:val="clear"/>
            <w:tcMar>
              <w:top w:type="dxa" w:w="60"/>
              <w:left w:type="dxa" w:w="80"/>
              <w:bottom w:type="dxa" w:w="60"/>
              <w:right w:type="dxa" w:w="80"/>
            </w:tcMar>
          </w:tcPr>
          <w:p>
            <w:r>
              <w:rPr>
                <w:b w:val="false"/>
                <w:bCs w:val="false"/>
                <w:sz w:val="17"/>
                <w:szCs w:val="17"/>
              </w:rPr>
              <w:t xml:space="preserve">Wave 3 (trigger-gated)</w:t>
            </w:r>
          </w:p>
        </w:tc>
        <w:tc>
          <w:tcPr>
            <w:shd w:fill="EFF3F7" w:val="clear"/>
            <w:tcMar>
              <w:top w:type="dxa" w:w="60"/>
              <w:left w:type="dxa" w:w="80"/>
              <w:bottom w:type="dxa" w:w="60"/>
              <w:right w:type="dxa" w:w="80"/>
            </w:tcMar>
          </w:tcPr>
          <w:p>
            <w:r>
              <w:rPr>
                <w:b w:val="false"/>
                <w:bCs w:val="false"/>
                <w:sz w:val="17"/>
                <w:szCs w:val="17"/>
              </w:rPr>
              <w:t xml:space="preserve">Data Platform Ready (conditional)</w:t>
            </w:r>
          </w:p>
        </w:tc>
        <w:tc>
          <w:tcPr>
            <w:shd w:fill="EFF3F7" w:val="clear"/>
            <w:tcMar>
              <w:top w:type="dxa" w:w="60"/>
              <w:left w:type="dxa" w:w="80"/>
              <w:bottom w:type="dxa" w:w="60"/>
              <w:right w:type="dxa" w:w="80"/>
            </w:tcMar>
          </w:tcPr>
          <w:p>
            <w:r>
              <w:rPr>
                <w:b w:val="false"/>
                <w:bCs w:val="false"/>
                <w:sz w:val="17"/>
                <w:szCs w:val="17"/>
              </w:rPr>
              <w:t xml:space="preserve">Platform engineering lead (WP-0006)</w:t>
            </w:r>
          </w:p>
        </w:tc>
        <w:tc>
          <w:tcPr>
            <w:shd w:fill="EFF3F7" w:val="clear"/>
            <w:tcMar>
              <w:top w:type="dxa" w:w="60"/>
              <w:left w:type="dxa" w:w="80"/>
              <w:bottom w:type="dxa" w:w="60"/>
              <w:right w:type="dxa" w:w="80"/>
            </w:tcMar>
          </w:tcPr>
          <w:p>
            <w:r>
              <w:rPr>
                <w:b w:val="false"/>
                <w:bCs w:val="false"/>
                <w:sz w:val="17"/>
                <w:szCs w:val="17"/>
              </w:rPr>
              <w:t xml:space="preserve">Quarterly row-count/latency check</w:t>
            </w:r>
          </w:p>
        </w:tc>
      </w:tr>
      <w:tr>
        <w:tc>
          <w:tcPr>
            <w:tcMar>
              <w:top w:type="dxa" w:w="60"/>
              <w:left w:type="dxa" w:w="80"/>
              <w:bottom w:type="dxa" w:w="60"/>
              <w:right w:type="dxa" w:w="80"/>
            </w:tcMar>
          </w:tcPr>
          <w:p>
            <w:r>
              <w:rPr>
                <w:b w:val="false"/>
                <w:bCs w:val="false"/>
                <w:sz w:val="17"/>
                <w:szCs w:val="17"/>
              </w:rPr>
              <w:t xml:space="preserve">AR-0005</w:t>
            </w:r>
          </w:p>
        </w:tc>
        <w:tc>
          <w:tcPr>
            <w:tcMar>
              <w:top w:type="dxa" w:w="60"/>
              <w:left w:type="dxa" w:w="80"/>
              <w:bottom w:type="dxa" w:w="60"/>
              <w:right w:type="dxa" w:w="80"/>
            </w:tcMar>
          </w:tcPr>
          <w:p>
            <w:r>
              <w:rPr>
                <w:b w:val="false"/>
                <w:bCs w:val="false"/>
                <w:sz w:val="17"/>
                <w:szCs w:val="17"/>
              </w:rPr>
              <w:t xml:space="preserve">EGD-0005</w:t>
            </w:r>
          </w:p>
        </w:tc>
        <w:tc>
          <w:tcPr>
            <w:tcMar>
              <w:top w:type="dxa" w:w="60"/>
              <w:left w:type="dxa" w:w="80"/>
              <w:bottom w:type="dxa" w:w="60"/>
              <w:right w:type="dxa" w:w="80"/>
            </w:tcMar>
          </w:tcPr>
          <w:p>
            <w:r>
              <w:rPr>
                <w:b w:val="false"/>
                <w:bCs w:val="false"/>
                <w:sz w:val="17"/>
                <w:szCs w:val="17"/>
              </w:rPr>
              <w:t xml:space="preserve">—</w:t>
            </w:r>
          </w:p>
        </w:tc>
        <w:tc>
          <w:tcPr>
            <w:tcMar>
              <w:top w:type="dxa" w:w="60"/>
              <w:left w:type="dxa" w:w="80"/>
              <w:bottom w:type="dxa" w:w="60"/>
              <w:right w:type="dxa" w:w="80"/>
            </w:tcMar>
          </w:tcPr>
          <w:p>
            <w:r>
              <w:rPr>
                <w:b w:val="false"/>
                <w:bCs w:val="false"/>
                <w:sz w:val="17"/>
                <w:szCs w:val="17"/>
              </w:rPr>
              <w:t xml:space="preserve">1</w:t>
            </w:r>
          </w:p>
        </w:tc>
        <w:tc>
          <w:tcPr>
            <w:tcMar>
              <w:top w:type="dxa" w:w="60"/>
              <w:left w:type="dxa" w:w="80"/>
              <w:bottom w:type="dxa" w:w="60"/>
              <w:right w:type="dxa" w:w="80"/>
            </w:tcMar>
          </w:tcPr>
          <w:p>
            <w:r>
              <w:rPr>
                <w:b w:val="false"/>
                <w:bCs w:val="false"/>
                <w:sz w:val="17"/>
                <w:szCs w:val="17"/>
              </w:rPr>
              <w:t xml:space="preserve">Trigger-gated (no wave)</w:t>
            </w:r>
          </w:p>
        </w:tc>
        <w:tc>
          <w:tcPr>
            <w:tcMar>
              <w:top w:type="dxa" w:w="60"/>
              <w:left w:type="dxa" w:w="80"/>
              <w:bottom w:type="dxa" w:w="60"/>
              <w:right w:type="dxa" w:w="80"/>
            </w:tcMar>
          </w:tcPr>
          <w:p>
            <w:r>
              <w:rPr>
                <w:b w:val="false"/>
                <w:bCs w:val="false"/>
                <w:sz w:val="17"/>
                <w:szCs w:val="17"/>
              </w:rPr>
              <w:t xml:space="preserve">N/A until triggered</w:t>
            </w:r>
          </w:p>
        </w:tc>
        <w:tc>
          <w:tcPr>
            <w:tcMar>
              <w:top w:type="dxa" w:w="60"/>
              <w:left w:type="dxa" w:w="80"/>
              <w:bottom w:type="dxa" w:w="60"/>
              <w:right w:type="dxa" w:w="80"/>
            </w:tcMar>
          </w:tcPr>
          <w:p>
            <w:r>
              <w:rPr>
                <w:b w:val="false"/>
                <w:bCs w:val="false"/>
                <w:sz w:val="17"/>
                <w:szCs w:val="17"/>
              </w:rPr>
              <w:t xml:space="preserve">Product + data architecture (WP-0006)</w:t>
            </w:r>
          </w:p>
        </w:tc>
        <w:tc>
          <w:tcPr>
            <w:tcMar>
              <w:top w:type="dxa" w:w="60"/>
              <w:left w:type="dxa" w:w="80"/>
              <w:bottom w:type="dxa" w:w="60"/>
              <w:right w:type="dxa" w:w="80"/>
            </w:tcMar>
          </w:tcPr>
          <w:p>
            <w:r>
              <w:rPr>
                <w:b w:val="false"/>
                <w:bCs w:val="false"/>
                <w:sz w:val="17"/>
                <w:szCs w:val="17"/>
              </w:rPr>
              <w:t xml:space="preserve">Product roadmap review</w:t>
            </w:r>
          </w:p>
        </w:tc>
      </w:tr>
      <w:tr>
        <w:tc>
          <w:tcPr>
            <w:shd w:fill="EFF3F7" w:val="clear"/>
            <w:tcMar>
              <w:top w:type="dxa" w:w="60"/>
              <w:left w:type="dxa" w:w="80"/>
              <w:bottom w:type="dxa" w:w="60"/>
              <w:right w:type="dxa" w:w="80"/>
            </w:tcMar>
          </w:tcPr>
          <w:p>
            <w:r>
              <w:rPr>
                <w:b w:val="false"/>
                <w:bCs w:val="false"/>
                <w:sz w:val="17"/>
                <w:szCs w:val="17"/>
              </w:rPr>
              <w:t xml:space="preserve">AR-0006</w:t>
            </w:r>
          </w:p>
        </w:tc>
        <w:tc>
          <w:tcPr>
            <w:shd w:fill="EFF3F7" w:val="clear"/>
            <w:tcMar>
              <w:top w:type="dxa" w:w="60"/>
              <w:left w:type="dxa" w:w="80"/>
              <w:bottom w:type="dxa" w:w="60"/>
              <w:right w:type="dxa" w:w="80"/>
            </w:tcMar>
          </w:tcPr>
          <w:p>
            <w:r>
              <w:rPr>
                <w:b w:val="false"/>
                <w:bCs w:val="false"/>
                <w:sz w:val="17"/>
                <w:szCs w:val="17"/>
              </w:rPr>
              <w:t xml:space="preserve">EGD-0006</w:t>
            </w:r>
          </w:p>
        </w:tc>
        <w:tc>
          <w:tcPr>
            <w:shd w:fill="EFF3F7" w:val="clear"/>
            <w:tcMar>
              <w:top w:type="dxa" w:w="60"/>
              <w:left w:type="dxa" w:w="80"/>
              <w:bottom w:type="dxa" w:w="60"/>
              <w:right w:type="dxa" w:w="80"/>
            </w:tcMar>
          </w:tcPr>
          <w:p>
            <w:r>
              <w:rPr>
                <w:b w:val="false"/>
                <w:bCs w:val="false"/>
                <w:sz w:val="17"/>
                <w:szCs w:val="17"/>
              </w:rPr>
              <w:t xml:space="preserve">—</w:t>
            </w:r>
          </w:p>
        </w:tc>
        <w:tc>
          <w:tcPr>
            <w:shd w:fill="EFF3F7" w:val="clear"/>
            <w:tcMar>
              <w:top w:type="dxa" w:w="60"/>
              <w:left w:type="dxa" w:w="80"/>
              <w:bottom w:type="dxa" w:w="60"/>
              <w:right w:type="dxa" w:w="80"/>
            </w:tcMar>
          </w:tcPr>
          <w:p>
            <w:r>
              <w:rPr>
                <w:b w:val="false"/>
                <w:bCs w:val="false"/>
                <w:sz w:val="17"/>
                <w:szCs w:val="17"/>
              </w:rPr>
              <w:t xml:space="preserve">1</w:t>
            </w:r>
          </w:p>
        </w:tc>
        <w:tc>
          <w:tcPr>
            <w:shd w:fill="EFF3F7" w:val="clear"/>
            <w:tcMar>
              <w:top w:type="dxa" w:w="60"/>
              <w:left w:type="dxa" w:w="80"/>
              <w:bottom w:type="dxa" w:w="60"/>
              <w:right w:type="dxa" w:w="80"/>
            </w:tcMar>
          </w:tcPr>
          <w:p>
            <w:r>
              <w:rPr>
                <w:b w:val="false"/>
                <w:bCs w:val="false"/>
                <w:sz w:val="17"/>
                <w:szCs w:val="17"/>
              </w:rPr>
              <w:t xml:space="preserve">Trigger-gated (no wave)</w:t>
            </w:r>
          </w:p>
        </w:tc>
        <w:tc>
          <w:tcPr>
            <w:shd w:fill="EFF3F7" w:val="clear"/>
            <w:tcMar>
              <w:top w:type="dxa" w:w="60"/>
              <w:left w:type="dxa" w:w="80"/>
              <w:bottom w:type="dxa" w:w="60"/>
              <w:right w:type="dxa" w:w="80"/>
            </w:tcMar>
          </w:tcPr>
          <w:p>
            <w:r>
              <w:rPr>
                <w:b w:val="false"/>
                <w:bCs w:val="false"/>
                <w:sz w:val="17"/>
                <w:szCs w:val="17"/>
              </w:rPr>
              <w:t xml:space="preserve">N/A until triggered</w:t>
            </w:r>
          </w:p>
        </w:tc>
        <w:tc>
          <w:tcPr>
            <w:shd w:fill="EFF3F7" w:val="clear"/>
            <w:tcMar>
              <w:top w:type="dxa" w:w="60"/>
              <w:left w:type="dxa" w:w="80"/>
              <w:bottom w:type="dxa" w:w="60"/>
              <w:right w:type="dxa" w:w="80"/>
            </w:tcMar>
          </w:tcPr>
          <w:p>
            <w:r>
              <w:rPr>
                <w:b w:val="false"/>
                <w:bCs w:val="false"/>
                <w:sz w:val="17"/>
                <w:szCs w:val="17"/>
              </w:rPr>
              <w:t xml:space="preserve">Compliance/data governance (WP-0006)</w:t>
            </w:r>
          </w:p>
        </w:tc>
        <w:tc>
          <w:tcPr>
            <w:shd w:fill="EFF3F7" w:val="clear"/>
            <w:tcMar>
              <w:top w:type="dxa" w:w="60"/>
              <w:left w:type="dxa" w:w="80"/>
              <w:bottom w:type="dxa" w:w="60"/>
              <w:right w:type="dxa" w:w="80"/>
            </w:tcMar>
          </w:tcPr>
          <w:p>
            <w:r>
              <w:rPr>
                <w:b w:val="false"/>
                <w:bCs w:val="false"/>
                <w:sz w:val="17"/>
                <w:szCs w:val="17"/>
              </w:rPr>
              <w:t xml:space="preserve">Compliance/audit scope review</w:t>
            </w:r>
          </w:p>
        </w:tc>
      </w:tr>
      <w:tr>
        <w:tc>
          <w:tcPr>
            <w:tcMar>
              <w:top w:type="dxa" w:w="60"/>
              <w:left w:type="dxa" w:w="80"/>
              <w:bottom w:type="dxa" w:w="60"/>
              <w:right w:type="dxa" w:w="80"/>
            </w:tcMar>
          </w:tcPr>
          <w:p>
            <w:r>
              <w:rPr>
                <w:b w:val="false"/>
                <w:bCs w:val="false"/>
                <w:sz w:val="17"/>
                <w:szCs w:val="17"/>
              </w:rPr>
              <w:t xml:space="preserve">AR-0007</w:t>
            </w:r>
          </w:p>
        </w:tc>
        <w:tc>
          <w:tcPr>
            <w:tcMar>
              <w:top w:type="dxa" w:w="60"/>
              <w:left w:type="dxa" w:w="80"/>
              <w:bottom w:type="dxa" w:w="60"/>
              <w:right w:type="dxa" w:w="80"/>
            </w:tcMar>
          </w:tcPr>
          <w:p>
            <w:r>
              <w:rPr>
                <w:b w:val="false"/>
                <w:bCs w:val="false"/>
                <w:sz w:val="17"/>
                <w:szCs w:val="17"/>
              </w:rPr>
              <w:t xml:space="preserve">EGD-0007</w:t>
            </w:r>
          </w:p>
        </w:tc>
        <w:tc>
          <w:tcPr>
            <w:tcMar>
              <w:top w:type="dxa" w:w="60"/>
              <w:left w:type="dxa" w:w="80"/>
              <w:bottom w:type="dxa" w:w="60"/>
              <w:right w:type="dxa" w:w="80"/>
            </w:tcMar>
          </w:tcPr>
          <w:p>
            <w:r>
              <w:rPr>
                <w:b w:val="false"/>
                <w:bCs w:val="false"/>
                <w:sz w:val="17"/>
                <w:szCs w:val="17"/>
              </w:rPr>
              <w:t xml:space="preserve">WP-0002, WP-0005</w:t>
            </w:r>
          </w:p>
        </w:tc>
        <w:tc>
          <w:tcPr>
            <w:tcMar>
              <w:top w:type="dxa" w:w="60"/>
              <w:left w:type="dxa" w:w="80"/>
              <w:bottom w:type="dxa" w:w="60"/>
              <w:right w:type="dxa" w:w="80"/>
            </w:tcMar>
          </w:tcPr>
          <w:p>
            <w:r>
              <w:rPr>
                <w:b w:val="false"/>
                <w:bCs w:val="false"/>
                <w:sz w:val="17"/>
                <w:szCs w:val="17"/>
              </w:rPr>
              <w:t xml:space="preserve">2</w:t>
            </w:r>
          </w:p>
        </w:tc>
        <w:tc>
          <w:tcPr>
            <w:tcMar>
              <w:top w:type="dxa" w:w="60"/>
              <w:left w:type="dxa" w:w="80"/>
              <w:bottom w:type="dxa" w:w="60"/>
              <w:right w:type="dxa" w:w="80"/>
            </w:tcMar>
          </w:tcPr>
          <w:p>
            <w:r>
              <w:rPr>
                <w:b w:val="false"/>
                <w:bCs w:val="false"/>
                <w:sz w:val="17"/>
                <w:szCs w:val="17"/>
              </w:rPr>
              <w:t xml:space="preserve">Wave 1 (WP-0002); Wave 2 (WP-0005)</w:t>
            </w:r>
          </w:p>
        </w:tc>
        <w:tc>
          <w:tcPr>
            <w:tcMar>
              <w:top w:type="dxa" w:w="60"/>
              <w:left w:type="dxa" w:w="80"/>
              <w:bottom w:type="dxa" w:w="60"/>
              <w:right w:type="dxa" w:w="80"/>
            </w:tcMar>
          </w:tcPr>
          <w:p>
            <w:r>
              <w:rPr>
                <w:b w:val="false"/>
                <w:bCs w:val="false"/>
                <w:sz w:val="17"/>
                <w:szCs w:val="17"/>
              </w:rPr>
              <w:t xml:space="preserve">Critical Security Complete</w:t>
            </w:r>
          </w:p>
        </w:tc>
        <w:tc>
          <w:tcPr>
            <w:tcMar>
              <w:top w:type="dxa" w:w="60"/>
              <w:left w:type="dxa" w:w="80"/>
              <w:bottom w:type="dxa" w:w="60"/>
              <w:right w:type="dxa" w:w="80"/>
            </w:tcMar>
          </w:tcPr>
          <w:p>
            <w:r>
              <w:rPr>
                <w:b w:val="false"/>
                <w:bCs w:val="false"/>
                <w:sz w:val="17"/>
                <w:szCs w:val="17"/>
              </w:rPr>
              <w:t xml:space="preserve">Security/platform engineering (WP-0006)</w:t>
            </w:r>
          </w:p>
        </w:tc>
        <w:tc>
          <w:tcPr>
            <w:tcMar>
              <w:top w:type="dxa" w:w="60"/>
              <w:left w:type="dxa" w:w="80"/>
              <w:bottom w:type="dxa" w:w="60"/>
              <w:right w:type="dxa" w:w="80"/>
            </w:tcMar>
          </w:tcPr>
          <w:p>
            <w:r>
              <w:rPr>
                <w:b w:val="false"/>
                <w:bCs w:val="false"/>
                <w:sz w:val="17"/>
                <w:szCs w:val="17"/>
              </w:rPr>
              <w:t xml:space="preserve">Written RLS status + policy list, all student-owned tables</w:t>
            </w:r>
          </w:p>
        </w:tc>
      </w:tr>
      <w:tr>
        <w:tc>
          <w:tcPr>
            <w:shd w:fill="EFF3F7" w:val="clear"/>
            <w:tcMar>
              <w:top w:type="dxa" w:w="60"/>
              <w:left w:type="dxa" w:w="80"/>
              <w:bottom w:type="dxa" w:w="60"/>
              <w:right w:type="dxa" w:w="80"/>
            </w:tcMar>
          </w:tcPr>
          <w:p>
            <w:r>
              <w:rPr>
                <w:b w:val="false"/>
                <w:bCs w:val="false"/>
                <w:sz w:val="17"/>
                <w:szCs w:val="17"/>
              </w:rPr>
              <w:t xml:space="preserve">AR-0008</w:t>
            </w:r>
          </w:p>
        </w:tc>
        <w:tc>
          <w:tcPr>
            <w:shd w:fill="EFF3F7" w:val="clear"/>
            <w:tcMar>
              <w:top w:type="dxa" w:w="60"/>
              <w:left w:type="dxa" w:w="80"/>
              <w:bottom w:type="dxa" w:w="60"/>
              <w:right w:type="dxa" w:w="80"/>
            </w:tcMar>
          </w:tcPr>
          <w:p>
            <w:r>
              <w:rPr>
                <w:b w:val="false"/>
                <w:bCs w:val="false"/>
                <w:sz w:val="17"/>
                <w:szCs w:val="17"/>
              </w:rPr>
              <w:t xml:space="preserve">EGD-0008</w:t>
            </w:r>
          </w:p>
        </w:tc>
        <w:tc>
          <w:tcPr>
            <w:shd w:fill="EFF3F7" w:val="clear"/>
            <w:tcMar>
              <w:top w:type="dxa" w:w="60"/>
              <w:left w:type="dxa" w:w="80"/>
              <w:bottom w:type="dxa" w:w="60"/>
              <w:right w:type="dxa" w:w="80"/>
            </w:tcMar>
          </w:tcPr>
          <w:p>
            <w:r>
              <w:rPr>
                <w:b w:val="false"/>
                <w:bCs w:val="false"/>
                <w:sz w:val="17"/>
                <w:szCs w:val="17"/>
              </w:rPr>
              <w:t xml:space="preserve">—</w:t>
            </w:r>
          </w:p>
        </w:tc>
        <w:tc>
          <w:tcPr>
            <w:shd w:fill="EFF3F7" w:val="clear"/>
            <w:tcMar>
              <w:top w:type="dxa" w:w="60"/>
              <w:left w:type="dxa" w:w="80"/>
              <w:bottom w:type="dxa" w:w="60"/>
              <w:right w:type="dxa" w:w="80"/>
            </w:tcMar>
          </w:tcPr>
          <w:p>
            <w:r>
              <w:rPr>
                <w:b w:val="false"/>
                <w:bCs w:val="false"/>
                <w:sz w:val="17"/>
                <w:szCs w:val="17"/>
              </w:rPr>
              <w:t xml:space="preserve">1</w:t>
            </w:r>
          </w:p>
        </w:tc>
        <w:tc>
          <w:tcPr>
            <w:shd w:fill="EFF3F7" w:val="clear"/>
            <w:tcMar>
              <w:top w:type="dxa" w:w="60"/>
              <w:left w:type="dxa" w:w="80"/>
              <w:bottom w:type="dxa" w:w="60"/>
              <w:right w:type="dxa" w:w="80"/>
            </w:tcMar>
          </w:tcPr>
          <w:p>
            <w:r>
              <w:rPr>
                <w:b w:val="false"/>
                <w:bCs w:val="false"/>
                <w:sz w:val="17"/>
                <w:szCs w:val="17"/>
              </w:rPr>
              <w:t xml:space="preserve">Standing (already met)</w:t>
            </w:r>
          </w:p>
        </w:tc>
        <w:tc>
          <w:tcPr>
            <w:shd w:fill="EFF3F7" w:val="clear"/>
            <w:tcMar>
              <w:top w:type="dxa" w:w="60"/>
              <w:left w:type="dxa" w:w="80"/>
              <w:bottom w:type="dxa" w:w="60"/>
              <w:right w:type="dxa" w:w="80"/>
            </w:tcMar>
          </w:tcPr>
          <w:p>
            <w:r>
              <w:rPr>
                <w:b w:val="false"/>
                <w:bCs w:val="false"/>
                <w:sz w:val="17"/>
                <w:szCs w:val="17"/>
              </w:rPr>
              <w:t xml:space="preserve">Baseline Complete</w:t>
            </w:r>
          </w:p>
        </w:tc>
        <w:tc>
          <w:tcPr>
            <w:shd w:fill="EFF3F7" w:val="clear"/>
            <w:tcMar>
              <w:top w:type="dxa" w:w="60"/>
              <w:left w:type="dxa" w:w="80"/>
              <w:bottom w:type="dxa" w:w="60"/>
              <w:right w:type="dxa" w:w="80"/>
            </w:tcMar>
          </w:tcPr>
          <w:p>
            <w:r>
              <w:rPr>
                <w:b w:val="false"/>
                <w:bCs w:val="false"/>
                <w:sz w:val="17"/>
                <w:szCs w:val="17"/>
              </w:rPr>
              <w:t xml:space="preserve">Enterprise architecture owner (WP-0006)</w:t>
            </w:r>
          </w:p>
        </w:tc>
        <w:tc>
          <w:tcPr>
            <w:shd w:fill="EFF3F7" w:val="clear"/>
            <w:tcMar>
              <w:top w:type="dxa" w:w="60"/>
              <w:left w:type="dxa" w:w="80"/>
              <w:bottom w:type="dxa" w:w="60"/>
              <w:right w:type="dxa" w:w="80"/>
            </w:tcMar>
          </w:tcPr>
          <w:p>
            <w:r>
              <w:rPr>
                <w:b w:val="false"/>
                <w:bCs w:val="false"/>
                <w:sz w:val="17"/>
                <w:szCs w:val="17"/>
              </w:rPr>
              <w:t xml:space="preserve">Schema audit, standing</w:t>
            </w:r>
          </w:p>
        </w:tc>
      </w:tr>
      <w:tr>
        <w:tc>
          <w:tcPr>
            <w:tcMar>
              <w:top w:type="dxa" w:w="60"/>
              <w:left w:type="dxa" w:w="80"/>
              <w:bottom w:type="dxa" w:w="60"/>
              <w:right w:type="dxa" w:w="80"/>
            </w:tcMar>
          </w:tcPr>
          <w:p>
            <w:r>
              <w:rPr>
                <w:b w:val="false"/>
                <w:bCs w:val="false"/>
                <w:sz w:val="17"/>
                <w:szCs w:val="17"/>
              </w:rPr>
              <w:t xml:space="preserve">AR-0009</w:t>
            </w:r>
          </w:p>
        </w:tc>
        <w:tc>
          <w:tcPr>
            <w:tcMar>
              <w:top w:type="dxa" w:w="60"/>
              <w:left w:type="dxa" w:w="80"/>
              <w:bottom w:type="dxa" w:w="60"/>
              <w:right w:type="dxa" w:w="80"/>
            </w:tcMar>
          </w:tcPr>
          <w:p>
            <w:r>
              <w:rPr>
                <w:b w:val="false"/>
                <w:bCs w:val="false"/>
                <w:sz w:val="17"/>
                <w:szCs w:val="17"/>
              </w:rPr>
              <w:t xml:space="preserve">EGD-0008</w:t>
            </w:r>
          </w:p>
        </w:tc>
        <w:tc>
          <w:tcPr>
            <w:tcMar>
              <w:top w:type="dxa" w:w="60"/>
              <w:left w:type="dxa" w:w="80"/>
              <w:bottom w:type="dxa" w:w="60"/>
              <w:right w:type="dxa" w:w="80"/>
            </w:tcMar>
          </w:tcPr>
          <w:p>
            <w:r>
              <w:rPr>
                <w:b w:val="false"/>
                <w:bCs w:val="false"/>
                <w:sz w:val="17"/>
                <w:szCs w:val="17"/>
              </w:rPr>
              <w:t xml:space="preserve">—</w:t>
            </w:r>
          </w:p>
        </w:tc>
        <w:tc>
          <w:tcPr>
            <w:tcMar>
              <w:top w:type="dxa" w:w="60"/>
              <w:left w:type="dxa" w:w="80"/>
              <w:bottom w:type="dxa" w:w="60"/>
              <w:right w:type="dxa" w:w="80"/>
            </w:tcMar>
          </w:tcPr>
          <w:p>
            <w:r>
              <w:rPr>
                <w:b w:val="false"/>
                <w:bCs w:val="false"/>
                <w:sz w:val="17"/>
                <w:szCs w:val="17"/>
              </w:rPr>
              <w:t xml:space="preserve">1</w:t>
            </w:r>
          </w:p>
        </w:tc>
        <w:tc>
          <w:tcPr>
            <w:tcMar>
              <w:top w:type="dxa" w:w="60"/>
              <w:left w:type="dxa" w:w="80"/>
              <w:bottom w:type="dxa" w:w="60"/>
              <w:right w:type="dxa" w:w="80"/>
            </w:tcMar>
          </w:tcPr>
          <w:p>
            <w:r>
              <w:rPr>
                <w:b w:val="false"/>
                <w:bCs w:val="false"/>
                <w:sz w:val="17"/>
                <w:szCs w:val="17"/>
              </w:rPr>
              <w:t xml:space="preserve">Standing (already met)</w:t>
            </w:r>
          </w:p>
        </w:tc>
        <w:tc>
          <w:tcPr>
            <w:tcMar>
              <w:top w:type="dxa" w:w="60"/>
              <w:left w:type="dxa" w:w="80"/>
              <w:bottom w:type="dxa" w:w="60"/>
              <w:right w:type="dxa" w:w="80"/>
            </w:tcMar>
          </w:tcPr>
          <w:p>
            <w:r>
              <w:rPr>
                <w:b w:val="false"/>
                <w:bCs w:val="false"/>
                <w:sz w:val="17"/>
                <w:szCs w:val="17"/>
              </w:rPr>
              <w:t xml:space="preserve">Baseline Complete</w:t>
            </w:r>
          </w:p>
        </w:tc>
        <w:tc>
          <w:tcPr>
            <w:tcMar>
              <w:top w:type="dxa" w:w="60"/>
              <w:left w:type="dxa" w:w="80"/>
              <w:bottom w:type="dxa" w:w="60"/>
              <w:right w:type="dxa" w:w="80"/>
            </w:tcMar>
          </w:tcPr>
          <w:p>
            <w:r>
              <w:rPr>
                <w:b w:val="false"/>
                <w:bCs w:val="false"/>
                <w:sz w:val="17"/>
                <w:szCs w:val="17"/>
              </w:rPr>
              <w:t xml:space="preserve">Enterprise architecture owner (WP-0006)</w:t>
            </w:r>
          </w:p>
        </w:tc>
        <w:tc>
          <w:tcPr>
            <w:tcMar>
              <w:top w:type="dxa" w:w="60"/>
              <w:left w:type="dxa" w:w="80"/>
              <w:bottom w:type="dxa" w:w="60"/>
              <w:right w:type="dxa" w:w="80"/>
            </w:tcMar>
          </w:tcPr>
          <w:p>
            <w:r>
              <w:rPr>
                <w:b w:val="false"/>
                <w:bCs w:val="false"/>
                <w:sz w:val="17"/>
                <w:szCs w:val="17"/>
              </w:rPr>
              <w:t xml:space="preserve">Schema audit, standing</w:t>
            </w:r>
          </w:p>
        </w:tc>
      </w:tr>
      <w:tr>
        <w:tc>
          <w:tcPr>
            <w:shd w:fill="EFF3F7" w:val="clear"/>
            <w:tcMar>
              <w:top w:type="dxa" w:w="60"/>
              <w:left w:type="dxa" w:w="80"/>
              <w:bottom w:type="dxa" w:w="60"/>
              <w:right w:type="dxa" w:w="80"/>
            </w:tcMar>
          </w:tcPr>
          <w:p>
            <w:r>
              <w:rPr>
                <w:b w:val="false"/>
                <w:bCs w:val="false"/>
                <w:sz w:val="17"/>
                <w:szCs w:val="17"/>
              </w:rPr>
              <w:t xml:space="preserve">AR-0010</w:t>
            </w:r>
          </w:p>
        </w:tc>
        <w:tc>
          <w:tcPr>
            <w:shd w:fill="EFF3F7" w:val="clear"/>
            <w:tcMar>
              <w:top w:type="dxa" w:w="60"/>
              <w:left w:type="dxa" w:w="80"/>
              <w:bottom w:type="dxa" w:w="60"/>
              <w:right w:type="dxa" w:w="80"/>
            </w:tcMar>
          </w:tcPr>
          <w:p>
            <w:r>
              <w:rPr>
                <w:b w:val="false"/>
                <w:bCs w:val="false"/>
                <w:sz w:val="17"/>
                <w:szCs w:val="17"/>
              </w:rPr>
              <w:t xml:space="preserve">EGD-0009</w:t>
            </w:r>
          </w:p>
        </w:tc>
        <w:tc>
          <w:tcPr>
            <w:shd w:fill="EFF3F7" w:val="clear"/>
            <w:tcMar>
              <w:top w:type="dxa" w:w="60"/>
              <w:left w:type="dxa" w:w="80"/>
              <w:bottom w:type="dxa" w:w="60"/>
              <w:right w:type="dxa" w:w="80"/>
            </w:tcMar>
          </w:tcPr>
          <w:p>
            <w:r>
              <w:rPr>
                <w:b w:val="false"/>
                <w:bCs w:val="false"/>
                <w:sz w:val="17"/>
                <w:szCs w:val="17"/>
              </w:rPr>
              <w:t xml:space="preserve">—</w:t>
            </w:r>
          </w:p>
        </w:tc>
        <w:tc>
          <w:tcPr>
            <w:shd w:fill="EFF3F7" w:val="clear"/>
            <w:tcMar>
              <w:top w:type="dxa" w:w="60"/>
              <w:left w:type="dxa" w:w="80"/>
              <w:bottom w:type="dxa" w:w="60"/>
              <w:right w:type="dxa" w:w="80"/>
            </w:tcMar>
          </w:tcPr>
          <w:p>
            <w:r>
              <w:rPr>
                <w:b w:val="false"/>
                <w:bCs w:val="false"/>
                <w:sz w:val="17"/>
                <w:szCs w:val="17"/>
              </w:rPr>
              <w:t xml:space="preserve">1</w:t>
            </w:r>
          </w:p>
        </w:tc>
        <w:tc>
          <w:tcPr>
            <w:shd w:fill="EFF3F7" w:val="clear"/>
            <w:tcMar>
              <w:top w:type="dxa" w:w="60"/>
              <w:left w:type="dxa" w:w="80"/>
              <w:bottom w:type="dxa" w:w="60"/>
              <w:right w:type="dxa" w:w="80"/>
            </w:tcMar>
          </w:tcPr>
          <w:p>
            <w:r>
              <w:rPr>
                <w:b w:val="false"/>
                <w:bCs w:val="false"/>
                <w:sz w:val="17"/>
                <w:szCs w:val="17"/>
              </w:rPr>
              <w:t xml:space="preserve">Standing (already met)</w:t>
            </w:r>
          </w:p>
        </w:tc>
        <w:tc>
          <w:tcPr>
            <w:shd w:fill="EFF3F7" w:val="clear"/>
            <w:tcMar>
              <w:top w:type="dxa" w:w="60"/>
              <w:left w:type="dxa" w:w="80"/>
              <w:bottom w:type="dxa" w:w="60"/>
              <w:right w:type="dxa" w:w="80"/>
            </w:tcMar>
          </w:tcPr>
          <w:p>
            <w:r>
              <w:rPr>
                <w:b w:val="false"/>
                <w:bCs w:val="false"/>
                <w:sz w:val="17"/>
                <w:szCs w:val="17"/>
              </w:rPr>
              <w:t xml:space="preserve">Baseline Complete</w:t>
            </w:r>
          </w:p>
        </w:tc>
        <w:tc>
          <w:tcPr>
            <w:shd w:fill="EFF3F7" w:val="clear"/>
            <w:tcMar>
              <w:top w:type="dxa" w:w="60"/>
              <w:left w:type="dxa" w:w="80"/>
              <w:bottom w:type="dxa" w:w="60"/>
              <w:right w:type="dxa" w:w="80"/>
            </w:tcMar>
          </w:tcPr>
          <w:p>
            <w:r>
              <w:rPr>
                <w:b w:val="false"/>
                <w:bCs w:val="false"/>
                <w:sz w:val="17"/>
                <w:szCs w:val="17"/>
              </w:rPr>
              <w:t xml:space="preserve">Platform engineering lead (WP-0006)</w:t>
            </w:r>
          </w:p>
        </w:tc>
        <w:tc>
          <w:tcPr>
            <w:shd w:fill="EFF3F7" w:val="clear"/>
            <w:tcMar>
              <w:top w:type="dxa" w:w="60"/>
              <w:left w:type="dxa" w:w="80"/>
              <w:bottom w:type="dxa" w:w="60"/>
              <w:right w:type="dxa" w:w="80"/>
            </w:tcMar>
          </w:tcPr>
          <w:p>
            <w:r>
              <w:rPr>
                <w:b w:val="false"/>
                <w:bCs w:val="false"/>
                <w:sz w:val="17"/>
                <w:szCs w:val="17"/>
              </w:rPr>
              <w:t xml:space="preserve">Migration review, standing</w:t>
            </w:r>
          </w:p>
        </w:tc>
      </w:tr>
    </w:tbl>
    <w:p>
      <w:r>
        <w:br w:type="page"/>
      </w:r>
    </w:p>
    <w:p>
      <w:pPr>
        <w:pStyle w:val="Heading1"/>
        <w:spacing w:after="120" w:before="300"/>
      </w:pPr>
      <w:r>
        <w:t xml:space="preserve">9. Resource &amp; Capability Planning</w:t>
      </w:r>
    </w:p>
    <w:p>
      <w:pPr>
        <w:spacing w:after="120"/>
      </w:pPr>
      <w:r>
        <w:rPr>
          <w:sz w:val="20"/>
          <w:szCs w:val="20"/>
        </w:rPr>
        <w:t xml:space="preserve">Roles are scoped to the work actually defined in §4 — not the full enterprise role list the template anticipates (AI Engineer, Frontend Engineer, QA Engineer, etc.), since no evidenced work package currently requires them. Those roles should be added only once Portfolios 3–7 are populated by a future realization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Role</w:t>
            </w:r>
          </w:p>
        </w:tc>
        <w:tc>
          <w:tcPr>
            <w:shd w:fill="1F2A44" w:val="clear"/>
            <w:tcMar>
              <w:top w:type="dxa" w:w="60"/>
              <w:left w:type="dxa" w:w="80"/>
              <w:bottom w:type="dxa" w:w="60"/>
              <w:right w:type="dxa" w:w="80"/>
            </w:tcMar>
          </w:tcPr>
          <w:p>
            <w:r>
              <w:rPr>
                <w:b/>
                <w:bCs/>
                <w:color w:val="FFFFFF"/>
                <w:sz w:val="17"/>
                <w:szCs w:val="17"/>
              </w:rPr>
              <w:t xml:space="preserve">Required For</w:t>
            </w:r>
          </w:p>
        </w:tc>
        <w:tc>
          <w:tcPr>
            <w:shd w:fill="1F2A44" w:val="clear"/>
            <w:tcMar>
              <w:top w:type="dxa" w:w="60"/>
              <w:left w:type="dxa" w:w="80"/>
              <w:bottom w:type="dxa" w:w="60"/>
              <w:right w:type="dxa" w:w="80"/>
            </w:tcMar>
          </w:tcPr>
          <w:p>
            <w:r>
              <w:rPr>
                <w:b/>
                <w:bCs/>
                <w:color w:val="FFFFFF"/>
                <w:sz w:val="17"/>
                <w:szCs w:val="17"/>
              </w:rPr>
              <w:t xml:space="preserve">Wave 1</w:t>
            </w:r>
          </w:p>
        </w:tc>
        <w:tc>
          <w:tcPr>
            <w:shd w:fill="1F2A44" w:val="clear"/>
            <w:tcMar>
              <w:top w:type="dxa" w:w="60"/>
              <w:left w:type="dxa" w:w="80"/>
              <w:bottom w:type="dxa" w:w="60"/>
              <w:right w:type="dxa" w:w="80"/>
            </w:tcMar>
          </w:tcPr>
          <w:p>
            <w:r>
              <w:rPr>
                <w:b/>
                <w:bCs/>
                <w:color w:val="FFFFFF"/>
                <w:sz w:val="17"/>
                <w:szCs w:val="17"/>
              </w:rPr>
              <w:t xml:space="preserve">Wave 2</w:t>
            </w:r>
          </w:p>
        </w:tc>
        <w:tc>
          <w:tcPr>
            <w:shd w:fill="1F2A44" w:val="clear"/>
            <w:tcMar>
              <w:top w:type="dxa" w:w="60"/>
              <w:left w:type="dxa" w:w="80"/>
              <w:bottom w:type="dxa" w:w="60"/>
              <w:right w:type="dxa" w:w="80"/>
            </w:tcMar>
          </w:tcPr>
          <w:p>
            <w:r>
              <w:rPr>
                <w:b/>
                <w:bCs/>
                <w:color w:val="FFFFFF"/>
                <w:sz w:val="17"/>
                <w:szCs w:val="17"/>
              </w:rPr>
              <w:t xml:space="preserve">Wave 3 (if triggered)</w:t>
            </w:r>
          </w:p>
        </w:tc>
      </w:tr>
      <w:tr>
        <w:tc>
          <w:tcPr>
            <w:tcMar>
              <w:top w:type="dxa" w:w="60"/>
              <w:left w:type="dxa" w:w="80"/>
              <w:bottom w:type="dxa" w:w="60"/>
              <w:right w:type="dxa" w:w="80"/>
            </w:tcMar>
          </w:tcPr>
          <w:p>
            <w:r>
              <w:rPr>
                <w:b w:val="false"/>
                <w:bCs w:val="false"/>
                <w:sz w:val="17"/>
                <w:szCs w:val="17"/>
              </w:rPr>
              <w:t xml:space="preserve">Enterprise Architecture Owner</w:t>
            </w:r>
          </w:p>
        </w:tc>
        <w:tc>
          <w:tcPr>
            <w:tcMar>
              <w:top w:type="dxa" w:w="60"/>
              <w:left w:type="dxa" w:w="80"/>
              <w:bottom w:type="dxa" w:w="60"/>
              <w:right w:type="dxa" w:w="80"/>
            </w:tcMar>
          </w:tcPr>
          <w:p>
            <w:r>
              <w:rPr>
                <w:b w:val="false"/>
                <w:bCs w:val="false"/>
                <w:sz w:val="17"/>
                <w:szCs w:val="17"/>
              </w:rPr>
              <w:t xml:space="preserve">WP-0001, standing standards (AR-0008–0010)</w:t>
            </w:r>
          </w:p>
        </w:tc>
        <w:tc>
          <w:tcPr>
            <w:tcMar>
              <w:top w:type="dxa" w:w="60"/>
              <w:left w:type="dxa" w:w="80"/>
              <w:bottom w:type="dxa" w:w="60"/>
              <w:right w:type="dxa" w:w="80"/>
            </w:tcMar>
          </w:tcPr>
          <w:p>
            <w:r>
              <w:rPr>
                <w:b w:val="false"/>
                <w:bCs w:val="false"/>
                <w:sz w:val="17"/>
                <w:szCs w:val="17"/>
              </w:rPr>
              <w:t xml:space="preserve">Assigned (via WP-0006)</w:t>
            </w:r>
          </w:p>
        </w:tc>
        <w:tc>
          <w:tcPr>
            <w:tcMar>
              <w:top w:type="dxa" w:w="60"/>
              <w:left w:type="dxa" w:w="80"/>
              <w:bottom w:type="dxa" w:w="60"/>
              <w:right w:type="dxa" w:w="80"/>
            </w:tcMar>
          </w:tcPr>
          <w:p>
            <w:r>
              <w:rPr>
                <w:b w:val="false"/>
                <w:bCs w:val="false"/>
                <w:sz w:val="17"/>
                <w:szCs w:val="17"/>
              </w:rPr>
              <w:t xml:space="preserve">Active — authors revised Phase A doc</w:t>
            </w:r>
          </w:p>
        </w:tc>
        <w:tc>
          <w:tcPr>
            <w:tcMar>
              <w:top w:type="dxa" w:w="60"/>
              <w:left w:type="dxa" w:w="80"/>
              <w:bottom w:type="dxa" w:w="60"/>
              <w:right w:type="dxa" w:w="80"/>
            </w:tcMar>
          </w:tcPr>
          <w:p>
            <w:r>
              <w:rPr>
                <w:b w:val="false"/>
                <w:bCs w:val="false"/>
                <w:sz w:val="17"/>
                <w:szCs w:val="17"/>
              </w:rPr>
              <w:t xml:space="preserve">Advisory</w:t>
            </w:r>
          </w:p>
        </w:tc>
      </w:tr>
      <w:tr>
        <w:tc>
          <w:tcPr>
            <w:shd w:fill="EFF3F7" w:val="clear"/>
            <w:tcMar>
              <w:top w:type="dxa" w:w="60"/>
              <w:left w:type="dxa" w:w="80"/>
              <w:bottom w:type="dxa" w:w="60"/>
              <w:right w:type="dxa" w:w="80"/>
            </w:tcMar>
          </w:tcPr>
          <w:p>
            <w:r>
              <w:rPr>
                <w:b w:val="false"/>
                <w:bCs w:val="false"/>
                <w:sz w:val="17"/>
                <w:szCs w:val="17"/>
              </w:rPr>
              <w:t xml:space="preserve">Data Governance Owner</w:t>
            </w:r>
          </w:p>
        </w:tc>
        <w:tc>
          <w:tcPr>
            <w:shd w:fill="EFF3F7" w:val="clear"/>
            <w:tcMar>
              <w:top w:type="dxa" w:w="60"/>
              <w:left w:type="dxa" w:w="80"/>
              <w:bottom w:type="dxa" w:w="60"/>
              <w:right w:type="dxa" w:w="80"/>
            </w:tcMar>
          </w:tcPr>
          <w:p>
            <w:r>
              <w:rPr>
                <w:b w:val="false"/>
                <w:bCs w:val="false"/>
                <w:sz w:val="17"/>
                <w:szCs w:val="17"/>
              </w:rPr>
              <w:t xml:space="preserve">WP-0004, AR-0003 condition monitoring</w:t>
            </w:r>
          </w:p>
        </w:tc>
        <w:tc>
          <w:tcPr>
            <w:shd w:fill="EFF3F7" w:val="clear"/>
            <w:tcMar>
              <w:top w:type="dxa" w:w="60"/>
              <w:left w:type="dxa" w:w="80"/>
              <w:bottom w:type="dxa" w:w="60"/>
              <w:right w:type="dxa" w:w="80"/>
            </w:tcMar>
          </w:tcPr>
          <w:p>
            <w:r>
              <w:rPr>
                <w:b w:val="false"/>
                <w:bCs w:val="false"/>
                <w:sz w:val="17"/>
                <w:szCs w:val="17"/>
              </w:rPr>
              <w:t xml:space="preserve">Assigned (via WP-0006)</w:t>
            </w:r>
          </w:p>
        </w:tc>
        <w:tc>
          <w:tcPr>
            <w:shd w:fill="EFF3F7" w:val="clear"/>
            <w:tcMar>
              <w:top w:type="dxa" w:w="60"/>
              <w:left w:type="dxa" w:w="80"/>
              <w:bottom w:type="dxa" w:w="60"/>
              <w:right w:type="dxa" w:w="80"/>
            </w:tcMar>
          </w:tcPr>
          <w:p>
            <w:r>
              <w:rPr>
                <w:b w:val="false"/>
                <w:bCs w:val="false"/>
                <w:sz w:val="17"/>
                <w:szCs w:val="17"/>
              </w:rPr>
              <w:t xml:space="preserve">Active — denormalization check</w:t>
            </w:r>
          </w:p>
        </w:tc>
        <w:tc>
          <w:tcPr>
            <w:shd w:fill="EFF3F7" w:val="clear"/>
            <w:tcMar>
              <w:top w:type="dxa" w:w="60"/>
              <w:left w:type="dxa" w:w="80"/>
              <w:bottom w:type="dxa" w:w="60"/>
              <w:right w:type="dxa" w:w="80"/>
            </w:tcMar>
          </w:tcPr>
          <w:p>
            <w:r>
              <w:rPr>
                <w:b w:val="false"/>
                <w:bCs w:val="false"/>
                <w:sz w:val="17"/>
                <w:szCs w:val="17"/>
              </w:rPr>
              <w:t xml:space="preserve">Not required</w:t>
            </w:r>
          </w:p>
        </w:tc>
      </w:tr>
      <w:tr>
        <w:tc>
          <w:tcPr>
            <w:tcMar>
              <w:top w:type="dxa" w:w="60"/>
              <w:left w:type="dxa" w:w="80"/>
              <w:bottom w:type="dxa" w:w="60"/>
              <w:right w:type="dxa" w:w="80"/>
            </w:tcMar>
          </w:tcPr>
          <w:p>
            <w:r>
              <w:rPr>
                <w:b w:val="false"/>
                <w:bCs w:val="false"/>
                <w:sz w:val="17"/>
                <w:szCs w:val="17"/>
              </w:rPr>
              <w:t xml:space="preserve">Platform Engineering Lead</w:t>
            </w:r>
          </w:p>
        </w:tc>
        <w:tc>
          <w:tcPr>
            <w:tcMar>
              <w:top w:type="dxa" w:w="60"/>
              <w:left w:type="dxa" w:w="80"/>
              <w:bottom w:type="dxa" w:w="60"/>
              <w:right w:type="dxa" w:w="80"/>
            </w:tcMar>
          </w:tcPr>
          <w:p>
            <w:r>
              <w:rPr>
                <w:b w:val="false"/>
                <w:bCs w:val="false"/>
                <w:sz w:val="17"/>
                <w:szCs w:val="17"/>
              </w:rPr>
              <w:t xml:space="preserve">WP-0003, AR-0001/AR-0004 trigger monitoring, AR-0010 standard</w:t>
            </w:r>
          </w:p>
        </w:tc>
        <w:tc>
          <w:tcPr>
            <w:tcMar>
              <w:top w:type="dxa" w:w="60"/>
              <w:left w:type="dxa" w:w="80"/>
              <w:bottom w:type="dxa" w:w="60"/>
              <w:right w:type="dxa" w:w="80"/>
            </w:tcMar>
          </w:tcPr>
          <w:p>
            <w:r>
              <w:rPr>
                <w:b w:val="false"/>
                <w:bCs w:val="false"/>
                <w:sz w:val="17"/>
                <w:szCs w:val="17"/>
              </w:rPr>
              <w:t xml:space="preserve">Assigned (via WP-0006)</w:t>
            </w:r>
          </w:p>
        </w:tc>
        <w:tc>
          <w:tcPr>
            <w:tcMar>
              <w:top w:type="dxa" w:w="60"/>
              <w:left w:type="dxa" w:w="80"/>
              <w:bottom w:type="dxa" w:w="60"/>
              <w:right w:type="dxa" w:w="80"/>
            </w:tcMar>
          </w:tcPr>
          <w:p>
            <w:r>
              <w:rPr>
                <w:b w:val="false"/>
                <w:bCs w:val="false"/>
                <w:sz w:val="17"/>
                <w:szCs w:val="17"/>
              </w:rPr>
              <w:t xml:space="preserve">Not required</w:t>
            </w:r>
          </w:p>
        </w:tc>
        <w:tc>
          <w:tcPr>
            <w:tcMar>
              <w:top w:type="dxa" w:w="60"/>
              <w:left w:type="dxa" w:w="80"/>
              <w:bottom w:type="dxa" w:w="60"/>
              <w:right w:type="dxa" w:w="80"/>
            </w:tcMar>
          </w:tcPr>
          <w:p>
            <w:r>
              <w:rPr>
                <w:b w:val="false"/>
                <w:bCs w:val="false"/>
                <w:sz w:val="17"/>
                <w:szCs w:val="17"/>
              </w:rPr>
              <w:t xml:space="preserve">Active — partitioning assessment</w:t>
            </w:r>
          </w:p>
        </w:tc>
      </w:tr>
      <w:tr>
        <w:tc>
          <w:tcPr>
            <w:shd w:fill="EFF3F7" w:val="clear"/>
            <w:tcMar>
              <w:top w:type="dxa" w:w="60"/>
              <w:left w:type="dxa" w:w="80"/>
              <w:bottom w:type="dxa" w:w="60"/>
              <w:right w:type="dxa" w:w="80"/>
            </w:tcMar>
          </w:tcPr>
          <w:p>
            <w:r>
              <w:rPr>
                <w:b w:val="false"/>
                <w:bCs w:val="false"/>
                <w:sz w:val="17"/>
                <w:szCs w:val="17"/>
              </w:rPr>
              <w:t xml:space="preserve">Security/Platform Engineer</w:t>
            </w:r>
          </w:p>
        </w:tc>
        <w:tc>
          <w:tcPr>
            <w:shd w:fill="EFF3F7" w:val="clear"/>
            <w:tcMar>
              <w:top w:type="dxa" w:w="60"/>
              <w:left w:type="dxa" w:w="80"/>
              <w:bottom w:type="dxa" w:w="60"/>
              <w:right w:type="dxa" w:w="80"/>
            </w:tcMar>
          </w:tcPr>
          <w:p>
            <w:r>
              <w:rPr>
                <w:b w:val="false"/>
                <w:bCs w:val="false"/>
                <w:sz w:val="17"/>
                <w:szCs w:val="17"/>
              </w:rPr>
              <w:t xml:space="preserve">WP-0002, WP-0005</w:t>
            </w:r>
          </w:p>
        </w:tc>
        <w:tc>
          <w:tcPr>
            <w:shd w:fill="EFF3F7" w:val="clear"/>
            <w:tcMar>
              <w:top w:type="dxa" w:w="60"/>
              <w:left w:type="dxa" w:w="80"/>
              <w:bottom w:type="dxa" w:w="60"/>
              <w:right w:type="dxa" w:w="80"/>
            </w:tcMar>
          </w:tcPr>
          <w:p>
            <w:r>
              <w:rPr>
                <w:b w:val="false"/>
                <w:bCs w:val="false"/>
                <w:sz w:val="17"/>
                <w:szCs w:val="17"/>
              </w:rPr>
              <w:t xml:space="preserve">Active — RLS verification</w:t>
            </w:r>
          </w:p>
        </w:tc>
        <w:tc>
          <w:tcPr>
            <w:shd w:fill="EFF3F7" w:val="clear"/>
            <w:tcMar>
              <w:top w:type="dxa" w:w="60"/>
              <w:left w:type="dxa" w:w="80"/>
              <w:bottom w:type="dxa" w:w="60"/>
              <w:right w:type="dxa" w:w="80"/>
            </w:tcMar>
          </w:tcPr>
          <w:p>
            <w:r>
              <w:rPr>
                <w:b w:val="false"/>
                <w:bCs w:val="false"/>
                <w:sz w:val="17"/>
                <w:szCs w:val="17"/>
              </w:rPr>
              <w:t xml:space="preserve">Active — column-level review</w:t>
            </w:r>
          </w:p>
        </w:tc>
        <w:tc>
          <w:tcPr>
            <w:shd w:fill="EFF3F7" w:val="clear"/>
            <w:tcMar>
              <w:top w:type="dxa" w:w="60"/>
              <w:left w:type="dxa" w:w="80"/>
              <w:bottom w:type="dxa" w:w="60"/>
              <w:right w:type="dxa" w:w="80"/>
            </w:tcMar>
          </w:tcPr>
          <w:p>
            <w:r>
              <w:rPr>
                <w:b w:val="false"/>
                <w:bCs w:val="false"/>
                <w:sz w:val="17"/>
                <w:szCs w:val="17"/>
              </w:rPr>
              <w:t xml:space="preserve">Not required</w:t>
            </w:r>
          </w:p>
        </w:tc>
      </w:tr>
      <w:tr>
        <w:tc>
          <w:tcPr>
            <w:tcMar>
              <w:top w:type="dxa" w:w="60"/>
              <w:left w:type="dxa" w:w="80"/>
              <w:bottom w:type="dxa" w:w="60"/>
              <w:right w:type="dxa" w:w="80"/>
            </w:tcMar>
          </w:tcPr>
          <w:p>
            <w:r>
              <w:rPr>
                <w:b w:val="false"/>
                <w:bCs w:val="false"/>
                <w:sz w:val="17"/>
                <w:szCs w:val="17"/>
              </w:rPr>
              <w:t xml:space="preserve">Executive Sponsor / Governance Board</w:t>
            </w:r>
          </w:p>
        </w:tc>
        <w:tc>
          <w:tcPr>
            <w:tcMar>
              <w:top w:type="dxa" w:w="60"/>
              <w:left w:type="dxa" w:w="80"/>
              <w:bottom w:type="dxa" w:w="60"/>
              <w:right w:type="dxa" w:w="80"/>
            </w:tcMar>
          </w:tcPr>
          <w:p>
            <w:r>
              <w:rPr>
                <w:b w:val="false"/>
                <w:bCs w:val="false"/>
                <w:sz w:val="17"/>
                <w:szCs w:val="17"/>
              </w:rPr>
              <w:t xml:space="preserve">WP-0006 itself; ongoing quarterly trigger reviews</w:t>
            </w:r>
          </w:p>
        </w:tc>
        <w:tc>
          <w:tcPr>
            <w:tcMar>
              <w:top w:type="dxa" w:w="60"/>
              <w:left w:type="dxa" w:w="80"/>
              <w:bottom w:type="dxa" w:w="60"/>
              <w:right w:type="dxa" w:w="80"/>
            </w:tcMar>
          </w:tcPr>
          <w:p>
            <w:r>
              <w:rPr>
                <w:b w:val="false"/>
                <w:bCs w:val="false"/>
                <w:sz w:val="17"/>
                <w:szCs w:val="17"/>
              </w:rPr>
              <w:t xml:space="preserve">Active — names all owners</w:t>
            </w:r>
          </w:p>
        </w:tc>
        <w:tc>
          <w:tcPr>
            <w:tcMar>
              <w:top w:type="dxa" w:w="60"/>
              <w:left w:type="dxa" w:w="80"/>
              <w:bottom w:type="dxa" w:w="60"/>
              <w:right w:type="dxa" w:w="80"/>
            </w:tcMar>
          </w:tcPr>
          <w:p>
            <w:r>
              <w:rPr>
                <w:b w:val="false"/>
                <w:bCs w:val="false"/>
                <w:sz w:val="17"/>
                <w:szCs w:val="17"/>
              </w:rPr>
              <w:t xml:space="preserve">Advisory</w:t>
            </w:r>
          </w:p>
        </w:tc>
        <w:tc>
          <w:tcPr>
            <w:tcMar>
              <w:top w:type="dxa" w:w="60"/>
              <w:left w:type="dxa" w:w="80"/>
              <w:bottom w:type="dxa" w:w="60"/>
              <w:right w:type="dxa" w:w="80"/>
            </w:tcMar>
          </w:tcPr>
          <w:p>
            <w:r>
              <w:rPr>
                <w:b w:val="false"/>
                <w:bCs w:val="false"/>
                <w:sz w:val="17"/>
                <w:szCs w:val="17"/>
              </w:rPr>
              <w:t xml:space="preserve">Advisory</w:t>
            </w:r>
          </w:p>
        </w:tc>
      </w:tr>
    </w:tbl>
    <w:p>
      <w:pPr>
        <w:spacing w:after="120"/>
      </w:pPr>
      <w:r>
        <w:rPr>
          <w:sz w:val="20"/>
          <w:szCs w:val="20"/>
        </w:rPr>
        <w:t xml:space="preserve">Capacity estimate: Wave 1 requires no more than a few engineer-days total (RLS verification is scoped at 1–2 days in Phase A.3 §9; owner assignment is an organizational action, not an engineering one). Wave 2 requires low-complexity documentation and review effort. Wave 3 capacity cannot be estimated responsibly until the partitioning trigger fires and real row-count data is available.</w:t>
      </w:r>
    </w:p>
    <w:p>
      <w:r>
        <w:br w:type="page"/>
      </w:r>
    </w:p>
    <w:p>
      <w:pPr>
        <w:pStyle w:val="Heading1"/>
        <w:spacing w:after="120" w:before="300"/>
      </w:pPr>
      <w:r>
        <w:t xml:space="preserve">10. Enterprise Risk &amp; Dependency Plan</w:t>
      </w:r>
    </w:p>
    <w:p>
      <w:pPr>
        <w:spacing w:after="120"/>
      </w:pPr>
      <w:r>
        <w:rPr>
          <w:sz w:val="20"/>
          <w:szCs w:val="20"/>
        </w:rPr>
        <w:t xml:space="preserve">Consolidated from Phase A.1 §13, Phase A.2's ADRs, and delivery risks specific to this roadmap. No new risk category is introduced without a corresponding piece of evidence; categories the template anticipates (AI risk, business risk) are omitted because Portfolios 3–4 have no evidenced scope yet.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Risk</w:t>
            </w:r>
          </w:p>
        </w:tc>
        <w:tc>
          <w:tcPr>
            <w:shd w:fill="1F2A44" w:val="clear"/>
            <w:tcMar>
              <w:top w:type="dxa" w:w="60"/>
              <w:left w:type="dxa" w:w="80"/>
              <w:bottom w:type="dxa" w:w="60"/>
              <w:right w:type="dxa" w:w="80"/>
            </w:tcMar>
          </w:tcPr>
          <w:p>
            <w:r>
              <w:rPr>
                <w:b/>
                <w:bCs/>
                <w:color w:val="FFFFFF"/>
                <w:sz w:val="17"/>
                <w:szCs w:val="17"/>
              </w:rPr>
              <w:t xml:space="preserve">Category</w:t>
            </w:r>
          </w:p>
        </w:tc>
        <w:tc>
          <w:tcPr>
            <w:shd w:fill="1F2A44" w:val="clear"/>
            <w:tcMar>
              <w:top w:type="dxa" w:w="60"/>
              <w:left w:type="dxa" w:w="80"/>
              <w:bottom w:type="dxa" w:w="60"/>
              <w:right w:type="dxa" w:w="80"/>
            </w:tcMar>
          </w:tcPr>
          <w:p>
            <w:r>
              <w:rPr>
                <w:b/>
                <w:bCs/>
                <w:color w:val="FFFFFF"/>
                <w:sz w:val="17"/>
                <w:szCs w:val="17"/>
              </w:rPr>
              <w:t xml:space="preserve">Probability</w:t>
            </w:r>
          </w:p>
        </w:tc>
        <w:tc>
          <w:tcPr>
            <w:shd w:fill="1F2A44" w:val="clear"/>
            <w:tcMar>
              <w:top w:type="dxa" w:w="60"/>
              <w:left w:type="dxa" w:w="80"/>
              <w:bottom w:type="dxa" w:w="60"/>
              <w:right w:type="dxa" w:w="80"/>
            </w:tcMar>
          </w:tcPr>
          <w:p>
            <w:r>
              <w:rPr>
                <w:b/>
                <w:bCs/>
                <w:color w:val="FFFFFF"/>
                <w:sz w:val="17"/>
                <w:szCs w:val="17"/>
              </w:rPr>
              <w:t xml:space="preserve">Impact</w:t>
            </w:r>
          </w:p>
        </w:tc>
        <w:tc>
          <w:tcPr>
            <w:shd w:fill="1F2A44" w:val="clear"/>
            <w:tcMar>
              <w:top w:type="dxa" w:w="60"/>
              <w:left w:type="dxa" w:w="80"/>
              <w:bottom w:type="dxa" w:w="60"/>
              <w:right w:type="dxa" w:w="80"/>
            </w:tcMar>
          </w:tcPr>
          <w:p>
            <w:r>
              <w:rPr>
                <w:b/>
                <w:bCs/>
                <w:color w:val="FFFFFF"/>
                <w:sz w:val="17"/>
                <w:szCs w:val="17"/>
              </w:rPr>
              <w:t xml:space="preserve">Mitigation</w:t>
            </w:r>
          </w:p>
        </w:tc>
        <w:tc>
          <w:tcPr>
            <w:shd w:fill="1F2A44" w:val="clear"/>
            <w:tcMar>
              <w:top w:type="dxa" w:w="60"/>
              <w:left w:type="dxa" w:w="80"/>
              <w:bottom w:type="dxa" w:w="60"/>
              <w:right w:type="dxa" w:w="80"/>
            </w:tcMar>
          </w:tcPr>
          <w:p>
            <w:r>
              <w:rPr>
                <w:b/>
                <w:bCs/>
                <w:color w:val="FFFFFF"/>
                <w:sz w:val="17"/>
                <w:szCs w:val="17"/>
              </w:rPr>
              <w:t xml:space="preserve">Contingency</w:t>
            </w:r>
          </w:p>
        </w:tc>
        <w:tc>
          <w:tcPr>
            <w:shd w:fill="1F2A44" w:val="clear"/>
            <w:tcMar>
              <w:top w:type="dxa" w:w="60"/>
              <w:left w:type="dxa" w:w="80"/>
              <w:bottom w:type="dxa" w:w="60"/>
              <w:right w:type="dxa" w:w="80"/>
            </w:tcMar>
          </w:tcPr>
          <w:p>
            <w:r>
              <w:rPr>
                <w:b/>
                <w:bCs/>
                <w:color w:val="FFFFFF"/>
                <w:sz w:val="17"/>
                <w:szCs w:val="17"/>
              </w:rPr>
              <w:t xml:space="preserve">Owner</w:t>
            </w:r>
          </w:p>
        </w:tc>
      </w:tr>
      <w:tr>
        <w:tc>
          <w:tcPr>
            <w:tcMar>
              <w:top w:type="dxa" w:w="60"/>
              <w:left w:type="dxa" w:w="80"/>
              <w:bottom w:type="dxa" w:w="60"/>
              <w:right w:type="dxa" w:w="80"/>
            </w:tcMar>
          </w:tcPr>
          <w:p>
            <w:r>
              <w:rPr>
                <w:b w:val="false"/>
                <w:bCs w:val="false"/>
                <w:sz w:val="17"/>
                <w:szCs w:val="17"/>
              </w:rPr>
              <w:t xml:space="preserve">Documentation describes a schema that was never built, misdirecting future work</w:t>
            </w:r>
          </w:p>
        </w:tc>
        <w:tc>
          <w:tcPr>
            <w:tcMar>
              <w:top w:type="dxa" w:w="60"/>
              <w:left w:type="dxa" w:w="80"/>
              <w:bottom w:type="dxa" w:w="60"/>
              <w:right w:type="dxa" w:w="80"/>
            </w:tcMar>
          </w:tcPr>
          <w:p>
            <w:r>
              <w:rPr>
                <w:b w:val="false"/>
                <w:bCs w:val="false"/>
                <w:sz w:val="17"/>
                <w:szCs w:val="17"/>
              </w:rPr>
              <w:t xml:space="preserve">Delivery / Governance</w:t>
            </w:r>
          </w:p>
        </w:tc>
        <w:tc>
          <w:tcPr>
            <w:tcMar>
              <w:top w:type="dxa" w:w="60"/>
              <w:left w:type="dxa" w:w="80"/>
              <w:bottom w:type="dxa" w:w="60"/>
              <w:right w:type="dxa" w:w="80"/>
            </w:tcMar>
          </w:tcPr>
          <w:p>
            <w:r>
              <w:rPr>
                <w:b w:val="false"/>
                <w:bCs w:val="false"/>
                <w:sz w:val="17"/>
                <w:szCs w:val="17"/>
              </w:rPr>
              <w:t xml:space="preserve">Confirmed (already occurring)</w:t>
            </w:r>
          </w:p>
        </w:tc>
        <w:tc>
          <w:tcPr>
            <w:tcMar>
              <w:top w:type="dxa" w:w="60"/>
              <w:left w:type="dxa" w:w="80"/>
              <w:bottom w:type="dxa" w:w="60"/>
              <w:right w:type="dxa" w:w="80"/>
            </w:tcMar>
          </w:tcPr>
          <w:p>
            <w:r>
              <w:rPr>
                <w:b w:val="false"/>
                <w:bCs w:val="false"/>
                <w:sz w:val="17"/>
                <w:szCs w:val="17"/>
              </w:rPr>
              <w:t xml:space="preserve">High</w:t>
            </w:r>
          </w:p>
        </w:tc>
        <w:tc>
          <w:tcPr>
            <w:tcMar>
              <w:top w:type="dxa" w:w="60"/>
              <w:left w:type="dxa" w:w="80"/>
              <w:bottom w:type="dxa" w:w="60"/>
              <w:right w:type="dxa" w:w="80"/>
            </w:tcMar>
          </w:tcPr>
          <w:p>
            <w:r>
              <w:rPr>
                <w:b w:val="false"/>
                <w:bCs w:val="false"/>
                <w:sz w:val="17"/>
                <w:szCs w:val="17"/>
              </w:rPr>
              <w:t xml:space="preserve">WP-0001 — publish revised Phase A document</w:t>
            </w:r>
          </w:p>
        </w:tc>
        <w:tc>
          <w:tcPr>
            <w:tcMar>
              <w:top w:type="dxa" w:w="60"/>
              <w:left w:type="dxa" w:w="80"/>
              <w:bottom w:type="dxa" w:w="60"/>
              <w:right w:type="dxa" w:w="80"/>
            </w:tcMar>
          </w:tcPr>
          <w:p>
            <w:r>
              <w:rPr>
                <w:b w:val="false"/>
                <w:bCs w:val="false"/>
                <w:sz w:val="17"/>
                <w:szCs w:val="17"/>
              </w:rPr>
              <w:t xml:space="preserve">Interim: treat Phase A.1/A.3 as the authoritative schema reference until WP-0001 lands</w:t>
            </w:r>
          </w:p>
        </w:tc>
        <w:tc>
          <w:tcPr>
            <w:tcMar>
              <w:top w:type="dxa" w:w="60"/>
              <w:left w:type="dxa" w:w="80"/>
              <w:bottom w:type="dxa" w:w="60"/>
              <w:right w:type="dxa" w:w="80"/>
            </w:tcMar>
          </w:tcPr>
          <w:p>
            <w:r>
              <w:rPr>
                <w:b w:val="false"/>
                <w:bCs w:val="false"/>
                <w:sz w:val="17"/>
                <w:szCs w:val="17"/>
              </w:rPr>
              <w:t xml:space="preserve">Enterprise architecture owner (WP-0006)</w:t>
            </w:r>
          </w:p>
        </w:tc>
      </w:tr>
      <w:tr>
        <w:tc>
          <w:tcPr>
            <w:shd w:fill="EFF3F7" w:val="clear"/>
            <w:tcMar>
              <w:top w:type="dxa" w:w="60"/>
              <w:left w:type="dxa" w:w="80"/>
              <w:bottom w:type="dxa" w:w="60"/>
              <w:right w:type="dxa" w:w="80"/>
            </w:tcMar>
          </w:tcPr>
          <w:p>
            <w:r>
              <w:rPr>
                <w:b w:val="false"/>
                <w:bCs w:val="false"/>
                <w:sz w:val="17"/>
                <w:szCs w:val="17"/>
              </w:rPr>
              <w:t xml:space="preserve">RLS may be missing on activity/cognitive/signal tables</w:t>
            </w:r>
          </w:p>
        </w:tc>
        <w:tc>
          <w:tcPr>
            <w:shd w:fill="EFF3F7" w:val="clear"/>
            <w:tcMar>
              <w:top w:type="dxa" w:w="60"/>
              <w:left w:type="dxa" w:w="80"/>
              <w:bottom w:type="dxa" w:w="60"/>
              <w:right w:type="dxa" w:w="80"/>
            </w:tcMar>
          </w:tcPr>
          <w:p>
            <w:r>
              <w:rPr>
                <w:b w:val="false"/>
                <w:bCs w:val="false"/>
                <w:sz w:val="17"/>
                <w:szCs w:val="17"/>
              </w:rPr>
              <w:t xml:space="preserve">Security</w:t>
            </w:r>
          </w:p>
        </w:tc>
        <w:tc>
          <w:tcPr>
            <w:shd w:fill="EFF3F7" w:val="clear"/>
            <w:tcMar>
              <w:top w:type="dxa" w:w="60"/>
              <w:left w:type="dxa" w:w="80"/>
              <w:bottom w:type="dxa" w:w="60"/>
              <w:right w:type="dxa" w:w="80"/>
            </w:tcMar>
          </w:tcPr>
          <w:p>
            <w:r>
              <w:rPr>
                <w:b w:val="false"/>
                <w:bCs w:val="false"/>
                <w:sz w:val="17"/>
                <w:szCs w:val="17"/>
              </w:rPr>
              <w:t xml:space="preserve">Unknown until verified</w:t>
            </w:r>
          </w:p>
        </w:tc>
        <w:tc>
          <w:tcPr>
            <w:shd w:fill="EFF3F7" w:val="clear"/>
            <w:tcMar>
              <w:top w:type="dxa" w:w="60"/>
              <w:left w:type="dxa" w:w="80"/>
              <w:bottom w:type="dxa" w:w="60"/>
              <w:right w:type="dxa" w:w="80"/>
            </w:tcMar>
          </w:tcPr>
          <w:p>
            <w:r>
              <w:rPr>
                <w:b w:val="false"/>
                <w:bCs w:val="false"/>
                <w:sz w:val="17"/>
                <w:szCs w:val="17"/>
              </w:rPr>
              <w:t xml:space="preserve">High if confirmed</w:t>
            </w:r>
          </w:p>
        </w:tc>
        <w:tc>
          <w:tcPr>
            <w:shd w:fill="EFF3F7" w:val="clear"/>
            <w:tcMar>
              <w:top w:type="dxa" w:w="60"/>
              <w:left w:type="dxa" w:w="80"/>
              <w:bottom w:type="dxa" w:w="60"/>
              <w:right w:type="dxa" w:w="80"/>
            </w:tcMar>
          </w:tcPr>
          <w:p>
            <w:r>
              <w:rPr>
                <w:b w:val="false"/>
                <w:bCs w:val="false"/>
                <w:sz w:val="17"/>
                <w:szCs w:val="17"/>
              </w:rPr>
              <w:t xml:space="preserve">WP-0002 — immediate verification</w:t>
            </w:r>
          </w:p>
        </w:tc>
        <w:tc>
          <w:tcPr>
            <w:shd w:fill="EFF3F7" w:val="clear"/>
            <w:tcMar>
              <w:top w:type="dxa" w:w="60"/>
              <w:left w:type="dxa" w:w="80"/>
              <w:bottom w:type="dxa" w:w="60"/>
              <w:right w:type="dxa" w:w="80"/>
            </w:tcMar>
          </w:tcPr>
          <w:p>
            <w:r>
              <w:rPr>
                <w:b w:val="false"/>
                <w:bCs w:val="false"/>
                <w:sz w:val="17"/>
                <w:szCs w:val="17"/>
              </w:rPr>
              <w:t xml:space="preserve">If gap found, apply the proven RLS pattern from student_academic_records without delay</w:t>
            </w:r>
          </w:p>
        </w:tc>
        <w:tc>
          <w:tcPr>
            <w:shd w:fill="EFF3F7" w:val="clear"/>
            <w:tcMar>
              <w:top w:type="dxa" w:w="60"/>
              <w:left w:type="dxa" w:w="80"/>
              <w:bottom w:type="dxa" w:w="60"/>
              <w:right w:type="dxa" w:w="80"/>
            </w:tcMar>
          </w:tcPr>
          <w:p>
            <w:r>
              <w:rPr>
                <w:b w:val="false"/>
                <w:bCs w:val="false"/>
                <w:sz w:val="17"/>
                <w:szCs w:val="17"/>
              </w:rPr>
              <w:t xml:space="preserve">Security/platform engineering (WP-0006)</w:t>
            </w:r>
          </w:p>
        </w:tc>
      </w:tr>
      <w:tr>
        <w:tc>
          <w:tcPr>
            <w:tcMar>
              <w:top w:type="dxa" w:w="60"/>
              <w:left w:type="dxa" w:w="80"/>
              <w:bottom w:type="dxa" w:w="60"/>
              <w:right w:type="dxa" w:w="80"/>
            </w:tcMar>
          </w:tcPr>
          <w:p>
            <w:r>
              <w:rPr>
                <w:b w:val="false"/>
                <w:bCs w:val="false"/>
                <w:sz w:val="17"/>
                <w:szCs w:val="17"/>
              </w:rPr>
              <w:t xml:space="preserve">No accountable owner exists for any governance decision</w:t>
            </w:r>
          </w:p>
        </w:tc>
        <w:tc>
          <w:tcPr>
            <w:tcMar>
              <w:top w:type="dxa" w:w="60"/>
              <w:left w:type="dxa" w:w="80"/>
              <w:bottom w:type="dxa" w:w="60"/>
              <w:right w:type="dxa" w:w="80"/>
            </w:tcMar>
          </w:tcPr>
          <w:p>
            <w:r>
              <w:rPr>
                <w:b w:val="false"/>
                <w:bCs w:val="false"/>
                <w:sz w:val="17"/>
                <w:szCs w:val="17"/>
              </w:rPr>
              <w:t xml:space="preserve">Governance / Delivery</w:t>
            </w:r>
          </w:p>
        </w:tc>
        <w:tc>
          <w:tcPr>
            <w:tcMar>
              <w:top w:type="dxa" w:w="60"/>
              <w:left w:type="dxa" w:w="80"/>
              <w:bottom w:type="dxa" w:w="60"/>
              <w:right w:type="dxa" w:w="80"/>
            </w:tcMar>
          </w:tcPr>
          <w:p>
            <w:r>
              <w:rPr>
                <w:b w:val="false"/>
                <w:bCs w:val="false"/>
                <w:sz w:val="17"/>
                <w:szCs w:val="17"/>
              </w:rPr>
              <w:t xml:space="preserve">Confirmed (already occurring)</w:t>
            </w:r>
          </w:p>
        </w:tc>
        <w:tc>
          <w:tcPr>
            <w:tcMar>
              <w:top w:type="dxa" w:w="60"/>
              <w:left w:type="dxa" w:w="80"/>
              <w:bottom w:type="dxa" w:w="60"/>
              <w:right w:type="dxa" w:w="80"/>
            </w:tcMar>
          </w:tcPr>
          <w:p>
            <w:r>
              <w:rPr>
                <w:b w:val="false"/>
                <w:bCs w:val="false"/>
                <w:sz w:val="17"/>
                <w:szCs w:val="17"/>
              </w:rPr>
              <w:t xml:space="preserve">Critical — blocks all other mitigation</w:t>
            </w:r>
          </w:p>
        </w:tc>
        <w:tc>
          <w:tcPr>
            <w:tcMar>
              <w:top w:type="dxa" w:w="60"/>
              <w:left w:type="dxa" w:w="80"/>
              <w:bottom w:type="dxa" w:w="60"/>
              <w:right w:type="dxa" w:w="80"/>
            </w:tcMar>
          </w:tcPr>
          <w:p>
            <w:r>
              <w:rPr>
                <w:b w:val="false"/>
                <w:bCs w:val="false"/>
                <w:sz w:val="17"/>
                <w:szCs w:val="17"/>
              </w:rPr>
              <w:t xml:space="preserve">WP-0006 — assign named owners immediately</w:t>
            </w:r>
          </w:p>
        </w:tc>
        <w:tc>
          <w:tcPr>
            <w:tcMar>
              <w:top w:type="dxa" w:w="60"/>
              <w:left w:type="dxa" w:w="80"/>
              <w:bottom w:type="dxa" w:w="60"/>
              <w:right w:type="dxa" w:w="80"/>
            </w:tcMar>
          </w:tcPr>
          <w:p>
            <w:r>
              <w:rPr>
                <w:b w:val="false"/>
                <w:bCs w:val="false"/>
                <w:sz w:val="17"/>
                <w:szCs w:val="17"/>
              </w:rPr>
              <w:t xml:space="preserve">Escalate to executive sponsor if unresolved past Wave 1</w:t>
            </w:r>
          </w:p>
        </w:tc>
        <w:tc>
          <w:tcPr>
            <w:tcMar>
              <w:top w:type="dxa" w:w="60"/>
              <w:left w:type="dxa" w:w="80"/>
              <w:bottom w:type="dxa" w:w="60"/>
              <w:right w:type="dxa" w:w="80"/>
            </w:tcMar>
          </w:tcPr>
          <w:p>
            <w:r>
              <w:rPr>
                <w:b w:val="false"/>
                <w:bCs w:val="false"/>
                <w:sz w:val="17"/>
                <w:szCs w:val="17"/>
              </w:rPr>
              <w:t xml:space="preserve">Executive sponsor</w:t>
            </w:r>
          </w:p>
        </w:tc>
      </w:tr>
      <w:tr>
        <w:tc>
          <w:tcPr>
            <w:shd w:fill="EFF3F7" w:val="clear"/>
            <w:tcMar>
              <w:top w:type="dxa" w:w="60"/>
              <w:left w:type="dxa" w:w="80"/>
              <w:bottom w:type="dxa" w:w="60"/>
              <w:right w:type="dxa" w:w="80"/>
            </w:tcMar>
          </w:tcPr>
          <w:p>
            <w:r>
              <w:rPr>
                <w:b w:val="false"/>
                <w:bCs w:val="false"/>
                <w:sz w:val="17"/>
                <w:szCs w:val="17"/>
              </w:rPr>
              <w:t xml:space="preserve">Unpartitioned tables degrade under continued historical growth</w:t>
            </w:r>
          </w:p>
        </w:tc>
        <w:tc>
          <w:tcPr>
            <w:shd w:fill="EFF3F7" w:val="clear"/>
            <w:tcMar>
              <w:top w:type="dxa" w:w="60"/>
              <w:left w:type="dxa" w:w="80"/>
              <w:bottom w:type="dxa" w:w="60"/>
              <w:right w:type="dxa" w:w="80"/>
            </w:tcMar>
          </w:tcPr>
          <w:p>
            <w:r>
              <w:rPr>
                <w:b w:val="false"/>
                <w:bCs w:val="false"/>
                <w:sz w:val="17"/>
                <w:szCs w:val="17"/>
              </w:rPr>
              <w:t xml:space="preserve">Technical / Performance</w:t>
            </w:r>
          </w:p>
        </w:tc>
        <w:tc>
          <w:tcPr>
            <w:shd w:fill="EFF3F7" w:val="clear"/>
            <w:tcMar>
              <w:top w:type="dxa" w:w="60"/>
              <w:left w:type="dxa" w:w="80"/>
              <w:bottom w:type="dxa" w:w="60"/>
              <w:right w:type="dxa" w:w="80"/>
            </w:tcMar>
          </w:tcPr>
          <w:p>
            <w:r>
              <w:rPr>
                <w:b w:val="false"/>
                <w:bCs w:val="false"/>
                <w:sz w:val="17"/>
                <w:szCs w:val="17"/>
              </w:rPr>
              <w:t xml:space="preserve">Medium, growing over time</w:t>
            </w:r>
          </w:p>
        </w:tc>
        <w:tc>
          <w:tcPr>
            <w:shd w:fill="EFF3F7" w:val="clear"/>
            <w:tcMar>
              <w:top w:type="dxa" w:w="60"/>
              <w:left w:type="dxa" w:w="80"/>
              <w:bottom w:type="dxa" w:w="60"/>
              <w:right w:type="dxa" w:w="80"/>
            </w:tcMar>
          </w:tcPr>
          <w:p>
            <w:r>
              <w:rPr>
                <w:b w:val="false"/>
                <w:bCs w:val="false"/>
                <w:sz w:val="17"/>
                <w:szCs w:val="17"/>
              </w:rPr>
              <w:t xml:space="preserve">Medium</w:t>
            </w:r>
          </w:p>
        </w:tc>
        <w:tc>
          <w:tcPr>
            <w:shd w:fill="EFF3F7" w:val="clear"/>
            <w:tcMar>
              <w:top w:type="dxa" w:w="60"/>
              <w:left w:type="dxa" w:w="80"/>
              <w:bottom w:type="dxa" w:w="60"/>
              <w:right w:type="dxa" w:w="80"/>
            </w:tcMar>
          </w:tcPr>
          <w:p>
            <w:r>
              <w:rPr>
                <w:b w:val="false"/>
                <w:bCs w:val="false"/>
                <w:sz w:val="17"/>
                <w:szCs w:val="17"/>
              </w:rPr>
              <w:t xml:space="preserve">Quarterly monitoring against ADR-004's trigger (EGD-0004)</w:t>
            </w:r>
          </w:p>
        </w:tc>
        <w:tc>
          <w:tcPr>
            <w:shd w:fill="EFF3F7" w:val="clear"/>
            <w:tcMar>
              <w:top w:type="dxa" w:w="60"/>
              <w:left w:type="dxa" w:w="80"/>
              <w:bottom w:type="dxa" w:w="60"/>
              <w:right w:type="dxa" w:w="80"/>
            </w:tcMar>
          </w:tcPr>
          <w:p>
            <w:r>
              <w:rPr>
                <w:b w:val="false"/>
                <w:bCs w:val="false"/>
                <w:sz w:val="17"/>
                <w:szCs w:val="17"/>
              </w:rPr>
              <w:t xml:space="preserve">WP-0003 executed once trigger fires</w:t>
            </w:r>
          </w:p>
        </w:tc>
        <w:tc>
          <w:tcPr>
            <w:shd w:fill="EFF3F7" w:val="clear"/>
            <w:tcMar>
              <w:top w:type="dxa" w:w="60"/>
              <w:left w:type="dxa" w:w="80"/>
              <w:bottom w:type="dxa" w:w="60"/>
              <w:right w:type="dxa" w:w="80"/>
            </w:tcMar>
          </w:tcPr>
          <w:p>
            <w:r>
              <w:rPr>
                <w:b w:val="false"/>
                <w:bCs w:val="false"/>
                <w:sz w:val="17"/>
                <w:szCs w:val="17"/>
              </w:rPr>
              <w:t xml:space="preserve">Platform engineering lead (WP-0006)</w:t>
            </w:r>
          </w:p>
        </w:tc>
      </w:tr>
      <w:tr>
        <w:tc>
          <w:tcPr>
            <w:tcMar>
              <w:top w:type="dxa" w:w="60"/>
              <w:left w:type="dxa" w:w="80"/>
              <w:bottom w:type="dxa" w:w="60"/>
              <w:right w:type="dxa" w:w="80"/>
            </w:tcMar>
          </w:tcPr>
          <w:p>
            <w:r>
              <w:rPr>
                <w:b w:val="false"/>
                <w:bCs w:val="false"/>
                <w:sz w:val="17"/>
                <w:szCs w:val="17"/>
              </w:rPr>
              <w:t xml:space="preserve">Taxonomy facts could later be denormalized onto student-owned rows</w:t>
            </w:r>
          </w:p>
        </w:tc>
        <w:tc>
          <w:tcPr>
            <w:tcMar>
              <w:top w:type="dxa" w:w="60"/>
              <w:left w:type="dxa" w:w="80"/>
              <w:bottom w:type="dxa" w:w="60"/>
              <w:right w:type="dxa" w:w="80"/>
            </w:tcMar>
          </w:tcPr>
          <w:p>
            <w:r>
              <w:rPr>
                <w:b w:val="false"/>
                <w:bCs w:val="false"/>
                <w:sz w:val="17"/>
                <w:szCs w:val="17"/>
              </w:rPr>
              <w:t xml:space="preserve">Data Governance</w:t>
            </w:r>
          </w:p>
        </w:tc>
        <w:tc>
          <w:tcPr>
            <w:tcMar>
              <w:top w:type="dxa" w:w="60"/>
              <w:left w:type="dxa" w:w="80"/>
              <w:bottom w:type="dxa" w:w="60"/>
              <w:right w:type="dxa" w:w="80"/>
            </w:tcMar>
          </w:tcPr>
          <w:p>
            <w:r>
              <w:rPr>
                <w:b w:val="false"/>
                <w:bCs w:val="false"/>
                <w:sz w:val="17"/>
                <w:szCs w:val="17"/>
              </w:rPr>
              <w:t xml:space="preserve">Low currently, latent</w:t>
            </w:r>
          </w:p>
        </w:tc>
        <w:tc>
          <w:tcPr>
            <w:tcMar>
              <w:top w:type="dxa" w:w="60"/>
              <w:left w:type="dxa" w:w="80"/>
              <w:bottom w:type="dxa" w:w="60"/>
              <w:right w:type="dxa" w:w="80"/>
            </w:tcMar>
          </w:tcPr>
          <w:p>
            <w:r>
              <w:rPr>
                <w:b w:val="false"/>
                <w:bCs w:val="false"/>
                <w:sz w:val="17"/>
                <w:szCs w:val="17"/>
              </w:rPr>
              <w:t xml:space="preserve">Medium</w:t>
            </w:r>
          </w:p>
        </w:tc>
        <w:tc>
          <w:tcPr>
            <w:tcMar>
              <w:top w:type="dxa" w:w="60"/>
              <w:left w:type="dxa" w:w="80"/>
              <w:bottom w:type="dxa" w:w="60"/>
              <w:right w:type="dxa" w:w="80"/>
            </w:tcMar>
          </w:tcPr>
          <w:p>
            <w:r>
              <w:rPr>
                <w:b w:val="false"/>
                <w:bCs w:val="false"/>
                <w:sz w:val="17"/>
                <w:szCs w:val="17"/>
              </w:rPr>
              <w:t xml:space="preserve">WP-0004 — per-release automated check</w:t>
            </w:r>
          </w:p>
        </w:tc>
        <w:tc>
          <w:tcPr>
            <w:tcMar>
              <w:top w:type="dxa" w:w="60"/>
              <w:left w:type="dxa" w:w="80"/>
              <w:bottom w:type="dxa" w:w="60"/>
              <w:right w:type="dxa" w:w="80"/>
            </w:tcMar>
          </w:tcPr>
          <w:p>
            <w:r>
              <w:rPr>
                <w:b w:val="false"/>
                <w:bCs w:val="false"/>
                <w:sz w:val="17"/>
                <w:szCs w:val="17"/>
              </w:rPr>
              <w:t xml:space="preserve">Retrofit _code+version pattern if violation found</w:t>
            </w:r>
          </w:p>
        </w:tc>
        <w:tc>
          <w:tcPr>
            <w:tcMar>
              <w:top w:type="dxa" w:w="60"/>
              <w:left w:type="dxa" w:w="80"/>
              <w:bottom w:type="dxa" w:w="60"/>
              <w:right w:type="dxa" w:w="80"/>
            </w:tcMar>
          </w:tcPr>
          <w:p>
            <w:r>
              <w:rPr>
                <w:b w:val="false"/>
                <w:bCs w:val="false"/>
                <w:sz w:val="17"/>
                <w:szCs w:val="17"/>
              </w:rPr>
              <w:t xml:space="preserve">Data governance owner (WP-0006)</w:t>
            </w:r>
          </w:p>
        </w:tc>
      </w:tr>
      <w:tr>
        <w:tc>
          <w:tcPr>
            <w:shd w:fill="EFF3F7" w:val="clear"/>
            <w:tcMar>
              <w:top w:type="dxa" w:w="60"/>
              <w:left w:type="dxa" w:w="80"/>
              <w:bottom w:type="dxa" w:w="60"/>
              <w:right w:type="dxa" w:w="80"/>
            </w:tcMar>
          </w:tcPr>
          <w:p>
            <w:r>
              <w:rPr>
                <w:b w:val="false"/>
                <w:bCs w:val="false"/>
                <w:sz w:val="17"/>
                <w:szCs w:val="17"/>
              </w:rPr>
              <w:t xml:space="preserve">Supersession/versioning retrofit becomes non-recoverable if deferred past a compliance trigger</w:t>
            </w:r>
          </w:p>
        </w:tc>
        <w:tc>
          <w:tcPr>
            <w:shd w:fill="EFF3F7" w:val="clear"/>
            <w:tcMar>
              <w:top w:type="dxa" w:w="60"/>
              <w:left w:type="dxa" w:w="80"/>
              <w:bottom w:type="dxa" w:w="60"/>
              <w:right w:type="dxa" w:w="80"/>
            </w:tcMar>
          </w:tcPr>
          <w:p>
            <w:r>
              <w:rPr>
                <w:b w:val="false"/>
                <w:bCs w:val="false"/>
                <w:sz w:val="17"/>
                <w:szCs w:val="17"/>
              </w:rPr>
              <w:t xml:space="preserve">Compliance</w:t>
            </w:r>
          </w:p>
        </w:tc>
        <w:tc>
          <w:tcPr>
            <w:shd w:fill="EFF3F7" w:val="clear"/>
            <w:tcMar>
              <w:top w:type="dxa" w:w="60"/>
              <w:left w:type="dxa" w:w="80"/>
              <w:bottom w:type="dxa" w:w="60"/>
              <w:right w:type="dxa" w:w="80"/>
            </w:tcMar>
          </w:tcPr>
          <w:p>
            <w:r>
              <w:rPr>
                <w:b w:val="false"/>
                <w:bCs w:val="false"/>
                <w:sz w:val="17"/>
                <w:szCs w:val="17"/>
              </w:rPr>
              <w:t xml:space="preserve">Low currently, but irreversible if it occurs</w:t>
            </w:r>
          </w:p>
        </w:tc>
        <w:tc>
          <w:tcPr>
            <w:shd w:fill="EFF3F7" w:val="clear"/>
            <w:tcMar>
              <w:top w:type="dxa" w:w="60"/>
              <w:left w:type="dxa" w:w="80"/>
              <w:bottom w:type="dxa" w:w="60"/>
              <w:right w:type="dxa" w:w="80"/>
            </w:tcMar>
          </w:tcPr>
          <w:p>
            <w:r>
              <w:rPr>
                <w:b w:val="false"/>
                <w:bCs w:val="false"/>
                <w:sz w:val="17"/>
                <w:szCs w:val="17"/>
              </w:rPr>
              <w:t xml:space="preserve">High if triggered late</w:t>
            </w:r>
          </w:p>
        </w:tc>
        <w:tc>
          <w:tcPr>
            <w:shd w:fill="EFF3F7" w:val="clear"/>
            <w:tcMar>
              <w:top w:type="dxa" w:w="60"/>
              <w:left w:type="dxa" w:w="80"/>
              <w:bottom w:type="dxa" w:w="60"/>
              <w:right w:type="dxa" w:w="80"/>
            </w:tcMar>
          </w:tcPr>
          <w:p>
            <w:r>
              <w:rPr>
                <w:b w:val="false"/>
                <w:bCs w:val="false"/>
                <w:sz w:val="17"/>
                <w:szCs w:val="17"/>
              </w:rPr>
              <w:t xml:space="preserve">Explicit executive awareness (carried from Phase A.2 ADR-006) — monitor for compliance scope changes</w:t>
            </w:r>
          </w:p>
        </w:tc>
        <w:tc>
          <w:tcPr>
            <w:shd w:fill="EFF3F7" w:val="clear"/>
            <w:tcMar>
              <w:top w:type="dxa" w:w="60"/>
              <w:left w:type="dxa" w:w="80"/>
              <w:bottom w:type="dxa" w:w="60"/>
              <w:right w:type="dxa" w:w="80"/>
            </w:tcMar>
          </w:tcPr>
          <w:p>
            <w:r>
              <w:rPr>
                <w:b w:val="false"/>
                <w:bCs w:val="false"/>
                <w:sz w:val="17"/>
                <w:szCs w:val="17"/>
              </w:rPr>
              <w:t xml:space="preserve">None available retroactively — this is the one genuinely irreversible risk in the baseline</w:t>
            </w:r>
          </w:p>
        </w:tc>
        <w:tc>
          <w:tcPr>
            <w:shd w:fill="EFF3F7" w:val="clear"/>
            <w:tcMar>
              <w:top w:type="dxa" w:w="60"/>
              <w:left w:type="dxa" w:w="80"/>
              <w:bottom w:type="dxa" w:w="60"/>
              <w:right w:type="dxa" w:w="80"/>
            </w:tcMar>
          </w:tcPr>
          <w:p>
            <w:r>
              <w:rPr>
                <w:b w:val="false"/>
                <w:bCs w:val="false"/>
                <w:sz w:val="17"/>
                <w:szCs w:val="17"/>
              </w:rPr>
              <w:t xml:space="preserve">Compliance/data governance (WP-0006)</w:t>
            </w:r>
          </w:p>
        </w:tc>
      </w:tr>
    </w:tbl>
    <w:p>
      <w:r>
        <w:br w:type="page"/>
      </w:r>
    </w:p>
    <w:p>
      <w:pPr>
        <w:pStyle w:val="Heading1"/>
        <w:spacing w:after="120" w:before="300"/>
      </w:pPr>
      <w:r>
        <w:t xml:space="preserve">11. Portfolio KPI Dashboard</w:t>
      </w:r>
    </w:p>
    <w:p>
      <w:pPr>
        <w:spacing w:after="120"/>
      </w:pPr>
      <w:r>
        <w:rPr>
          <w:sz w:val="20"/>
          <w:szCs w:val="20"/>
        </w:rPr>
        <w:t xml:space="preserve">Extends Phase A.3's ten KPIs with delivery-specific measures. Baselines are carried forward unchanged from Phase A.3 §10; targets here are expressed as end-of-Wave-2 targets, the horizon this roadmap can responsibly commit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KPI</w:t>
            </w:r>
          </w:p>
        </w:tc>
        <w:tc>
          <w:tcPr>
            <w:shd w:fill="1F2A44" w:val="clear"/>
            <w:tcMar>
              <w:top w:type="dxa" w:w="60"/>
              <w:left w:type="dxa" w:w="80"/>
              <w:bottom w:type="dxa" w:w="60"/>
              <w:right w:type="dxa" w:w="80"/>
            </w:tcMar>
          </w:tcPr>
          <w:p>
            <w:r>
              <w:rPr>
                <w:b/>
                <w:bCs/>
                <w:color w:val="FFFFFF"/>
                <w:sz w:val="17"/>
                <w:szCs w:val="17"/>
              </w:rPr>
              <w:t xml:space="preserve">Baseline</w:t>
            </w:r>
          </w:p>
        </w:tc>
        <w:tc>
          <w:tcPr>
            <w:shd w:fill="1F2A44" w:val="clear"/>
            <w:tcMar>
              <w:top w:type="dxa" w:w="60"/>
              <w:left w:type="dxa" w:w="80"/>
              <w:bottom w:type="dxa" w:w="60"/>
              <w:right w:type="dxa" w:w="80"/>
            </w:tcMar>
          </w:tcPr>
          <w:p>
            <w:r>
              <w:rPr>
                <w:b/>
                <w:bCs/>
                <w:color w:val="FFFFFF"/>
                <w:sz w:val="17"/>
                <w:szCs w:val="17"/>
              </w:rPr>
              <w:t xml:space="preserve">Target (End of Wave 2)</w:t>
            </w:r>
          </w:p>
        </w:tc>
        <w:tc>
          <w:tcPr>
            <w:shd w:fill="1F2A44" w:val="clear"/>
            <w:tcMar>
              <w:top w:type="dxa" w:w="60"/>
              <w:left w:type="dxa" w:w="80"/>
              <w:bottom w:type="dxa" w:w="60"/>
              <w:right w:type="dxa" w:w="80"/>
            </w:tcMar>
          </w:tcPr>
          <w:p>
            <w:r>
              <w:rPr>
                <w:b/>
                <w:bCs/>
                <w:color w:val="FFFFFF"/>
                <w:sz w:val="17"/>
                <w:szCs w:val="17"/>
              </w:rPr>
              <w:t xml:space="preserve">Frequency</w:t>
            </w:r>
          </w:p>
        </w:tc>
      </w:tr>
      <w:tr>
        <w:tc>
          <w:tcPr>
            <w:tcMar>
              <w:top w:type="dxa" w:w="60"/>
              <w:left w:type="dxa" w:w="80"/>
              <w:bottom w:type="dxa" w:w="60"/>
              <w:right w:type="dxa" w:w="80"/>
            </w:tcMar>
          </w:tcPr>
          <w:p>
            <w:r>
              <w:rPr>
                <w:b w:val="false"/>
                <w:bCs w:val="false"/>
                <w:sz w:val="17"/>
                <w:szCs w:val="17"/>
              </w:rPr>
              <w:t xml:space="preserve">Work Package Completion %</w:t>
            </w:r>
          </w:p>
        </w:tc>
        <w:tc>
          <w:tcPr>
            <w:tcMar>
              <w:top w:type="dxa" w:w="60"/>
              <w:left w:type="dxa" w:w="80"/>
              <w:bottom w:type="dxa" w:w="60"/>
              <w:right w:type="dxa" w:w="80"/>
            </w:tcMar>
          </w:tcPr>
          <w:p>
            <w:r>
              <w:rPr>
                <w:b w:val="false"/>
                <w:bCs w:val="false"/>
                <w:sz w:val="17"/>
                <w:szCs w:val="17"/>
              </w:rPr>
              <w:t xml:space="preserve">0 of 6 executed</w:t>
            </w:r>
          </w:p>
        </w:tc>
        <w:tc>
          <w:tcPr>
            <w:tcMar>
              <w:top w:type="dxa" w:w="60"/>
              <w:left w:type="dxa" w:w="80"/>
              <w:bottom w:type="dxa" w:w="60"/>
              <w:right w:type="dxa" w:w="80"/>
            </w:tcMar>
          </w:tcPr>
          <w:p>
            <w:r>
              <w:rPr>
                <w:b w:val="false"/>
                <w:bCs w:val="false"/>
                <w:sz w:val="17"/>
                <w:szCs w:val="17"/>
              </w:rPr>
              <w:t xml:space="preserve">5 of 6 (all but trigger-gated WP-0003)</w:t>
            </w:r>
          </w:p>
        </w:tc>
        <w:tc>
          <w:tcPr>
            <w:tcMar>
              <w:top w:type="dxa" w:w="60"/>
              <w:left w:type="dxa" w:w="80"/>
              <w:bottom w:type="dxa" w:w="60"/>
              <w:right w:type="dxa" w:w="80"/>
            </w:tcMar>
          </w:tcPr>
          <w:p>
            <w:r>
              <w:rPr>
                <w:b w:val="false"/>
                <w:bCs w:val="false"/>
                <w:sz w:val="17"/>
                <w:szCs w:val="17"/>
              </w:rPr>
              <w:t xml:space="preserve">Per wave</w:t>
            </w:r>
          </w:p>
        </w:tc>
      </w:tr>
      <w:tr>
        <w:tc>
          <w:tcPr>
            <w:shd w:fill="EFF3F7" w:val="clear"/>
            <w:tcMar>
              <w:top w:type="dxa" w:w="60"/>
              <w:left w:type="dxa" w:w="80"/>
              <w:bottom w:type="dxa" w:w="60"/>
              <w:right w:type="dxa" w:w="80"/>
            </w:tcMar>
          </w:tcPr>
          <w:p>
            <w:r>
              <w:rPr>
                <w:b w:val="false"/>
                <w:bCs w:val="false"/>
                <w:sz w:val="17"/>
                <w:szCs w:val="17"/>
              </w:rPr>
              <w:t xml:space="preserve">Architecture Conformance % (KPI-01)</w:t>
            </w:r>
          </w:p>
        </w:tc>
        <w:tc>
          <w:tcPr>
            <w:shd w:fill="EFF3F7" w:val="clear"/>
            <w:tcMar>
              <w:top w:type="dxa" w:w="60"/>
              <w:left w:type="dxa" w:w="80"/>
              <w:bottom w:type="dxa" w:w="60"/>
              <w:right w:type="dxa" w:w="80"/>
            </w:tcMar>
          </w:tcPr>
          <w:p>
            <w:r>
              <w:rPr>
                <w:b w:val="false"/>
                <w:bCs w:val="false"/>
                <w:sz w:val="17"/>
                <w:szCs w:val="17"/>
              </w:rPr>
              <w:t xml:space="preserve">35/100</w:t>
            </w:r>
          </w:p>
        </w:tc>
        <w:tc>
          <w:tcPr>
            <w:shd w:fill="EFF3F7" w:val="clear"/>
            <w:tcMar>
              <w:top w:type="dxa" w:w="60"/>
              <w:left w:type="dxa" w:w="80"/>
              <w:bottom w:type="dxa" w:w="60"/>
              <w:right w:type="dxa" w:w="80"/>
            </w:tcMar>
          </w:tcPr>
          <w:p>
            <w:r>
              <w:rPr>
                <w:b w:val="false"/>
                <w:bCs w:val="false"/>
                <w:sz w:val="17"/>
                <w:szCs w:val="17"/>
              </w:rPr>
              <w:t xml:space="preserve">≥90</w:t>
            </w:r>
          </w:p>
        </w:tc>
        <w:tc>
          <w:tcPr>
            <w:shd w:fill="EFF3F7" w:val="clear"/>
            <w:tcMar>
              <w:top w:type="dxa" w:w="60"/>
              <w:left w:type="dxa" w:w="80"/>
              <w:bottom w:type="dxa" w:w="60"/>
              <w:right w:type="dxa" w:w="80"/>
            </w:tcMar>
          </w:tcPr>
          <w:p>
            <w:r>
              <w:rPr>
                <w:b w:val="false"/>
                <w:bCs w:val="false"/>
                <w:sz w:val="17"/>
                <w:szCs w:val="17"/>
              </w:rPr>
              <w:t xml:space="preserve">Per ERP phase</w:t>
            </w:r>
          </w:p>
        </w:tc>
      </w:tr>
      <w:tr>
        <w:tc>
          <w:tcPr>
            <w:tcMar>
              <w:top w:type="dxa" w:w="60"/>
              <w:left w:type="dxa" w:w="80"/>
              <w:bottom w:type="dxa" w:w="60"/>
              <w:right w:type="dxa" w:w="80"/>
            </w:tcMar>
          </w:tcPr>
          <w:p>
            <w:r>
              <w:rPr>
                <w:b w:val="false"/>
                <w:bCs w:val="false"/>
                <w:sz w:val="17"/>
                <w:szCs w:val="17"/>
              </w:rPr>
              <w:t xml:space="preserve">Delivery Velocity (WPs closed per wave)</w:t>
            </w:r>
          </w:p>
        </w:tc>
        <w:tc>
          <w:tcPr>
            <w:tcMar>
              <w:top w:type="dxa" w:w="60"/>
              <w:left w:type="dxa" w:w="80"/>
              <w:bottom w:type="dxa" w:w="60"/>
              <w:right w:type="dxa" w:w="80"/>
            </w:tcMar>
          </w:tcPr>
          <w:p>
            <w:r>
              <w:rPr>
                <w:b w:val="false"/>
                <w:bCs w:val="false"/>
                <w:sz w:val="17"/>
                <w:szCs w:val="17"/>
              </w:rPr>
              <w:t xml:space="preserve">N/A — no wave yet executed</w:t>
            </w:r>
          </w:p>
        </w:tc>
        <w:tc>
          <w:tcPr>
            <w:tcMar>
              <w:top w:type="dxa" w:w="60"/>
              <w:left w:type="dxa" w:w="80"/>
              <w:bottom w:type="dxa" w:w="60"/>
              <w:right w:type="dxa" w:w="80"/>
            </w:tcMar>
          </w:tcPr>
          <w:p>
            <w:r>
              <w:rPr>
                <w:b w:val="false"/>
                <w:bCs w:val="false"/>
                <w:sz w:val="17"/>
                <w:szCs w:val="17"/>
              </w:rPr>
              <w:t xml:space="preserve">2 (Wave 1) then 3 (Wave 2)</w:t>
            </w:r>
          </w:p>
        </w:tc>
        <w:tc>
          <w:tcPr>
            <w:tcMar>
              <w:top w:type="dxa" w:w="60"/>
              <w:left w:type="dxa" w:w="80"/>
              <w:bottom w:type="dxa" w:w="60"/>
              <w:right w:type="dxa" w:w="80"/>
            </w:tcMar>
          </w:tcPr>
          <w:p>
            <w:r>
              <w:rPr>
                <w:b w:val="false"/>
                <w:bCs w:val="false"/>
                <w:sz w:val="17"/>
                <w:szCs w:val="17"/>
              </w:rPr>
              <w:t xml:space="preserve">Per wave</w:t>
            </w:r>
          </w:p>
        </w:tc>
      </w:tr>
      <w:tr>
        <w:tc>
          <w:tcPr>
            <w:shd w:fill="EFF3F7" w:val="clear"/>
            <w:tcMar>
              <w:top w:type="dxa" w:w="60"/>
              <w:left w:type="dxa" w:w="80"/>
              <w:bottom w:type="dxa" w:w="60"/>
              <w:right w:type="dxa" w:w="80"/>
            </w:tcMar>
          </w:tcPr>
          <w:p>
            <w:r>
              <w:rPr>
                <w:b w:val="false"/>
                <w:bCs w:val="false"/>
                <w:sz w:val="17"/>
                <w:szCs w:val="17"/>
              </w:rPr>
              <w:t xml:space="preserve">Technical Debt Reduction (KPI-09 classes)</w:t>
            </w:r>
          </w:p>
        </w:tc>
        <w:tc>
          <w:tcPr>
            <w:shd w:fill="EFF3F7" w:val="clear"/>
            <w:tcMar>
              <w:top w:type="dxa" w:w="60"/>
              <w:left w:type="dxa" w:w="80"/>
              <w:bottom w:type="dxa" w:w="60"/>
              <w:right w:type="dxa" w:w="80"/>
            </w:tcMar>
          </w:tcPr>
          <w:p>
            <w:r>
              <w:rPr>
                <w:b w:val="false"/>
                <w:bCs w:val="false"/>
                <w:sz w:val="17"/>
                <w:szCs w:val="17"/>
              </w:rPr>
              <w:t xml:space="preserve">1 Critical / 1 Strategic / 1 Tactical / 1 Acceptable</w:t>
            </w:r>
          </w:p>
        </w:tc>
        <w:tc>
          <w:tcPr>
            <w:shd w:fill="EFF3F7" w:val="clear"/>
            <w:tcMar>
              <w:top w:type="dxa" w:w="60"/>
              <w:left w:type="dxa" w:w="80"/>
              <w:bottom w:type="dxa" w:w="60"/>
              <w:right w:type="dxa" w:w="80"/>
            </w:tcMar>
          </w:tcPr>
          <w:p>
            <w:r>
              <w:rPr>
                <w:b w:val="false"/>
                <w:bCs w:val="false"/>
                <w:sz w:val="17"/>
                <w:szCs w:val="17"/>
              </w:rPr>
              <w:t xml:space="preserve">0 Critical, 1 Strategic (pending WP-0001 publication), 1 Tactical (unchanged, trigger-gated), 1 Acceptable (unchanged)</w:t>
            </w:r>
          </w:p>
        </w:tc>
        <w:tc>
          <w:tcPr>
            <w:shd w:fill="EFF3F7" w:val="clear"/>
            <w:tcMar>
              <w:top w:type="dxa" w:w="60"/>
              <w:left w:type="dxa" w:w="80"/>
              <w:bottom w:type="dxa" w:w="60"/>
              <w:right w:type="dxa" w:w="80"/>
            </w:tcMar>
          </w:tcPr>
          <w:p>
            <w:r>
              <w:rPr>
                <w:b w:val="false"/>
                <w:bCs w:val="false"/>
                <w:sz w:val="17"/>
                <w:szCs w:val="17"/>
              </w:rPr>
              <w:t xml:space="preserve">Per wave</w:t>
            </w:r>
          </w:p>
        </w:tc>
      </w:tr>
      <w:tr>
        <w:tc>
          <w:tcPr>
            <w:tcMar>
              <w:top w:type="dxa" w:w="60"/>
              <w:left w:type="dxa" w:w="80"/>
              <w:bottom w:type="dxa" w:w="60"/>
              <w:right w:type="dxa" w:w="80"/>
            </w:tcMar>
          </w:tcPr>
          <w:p>
            <w:r>
              <w:rPr>
                <w:b w:val="false"/>
                <w:bCs w:val="false"/>
                <w:sz w:val="17"/>
                <w:szCs w:val="17"/>
              </w:rPr>
              <w:t xml:space="preserve">Governance Compliance % (KPI-03)</w:t>
            </w:r>
          </w:p>
        </w:tc>
        <w:tc>
          <w:tcPr>
            <w:tcMar>
              <w:top w:type="dxa" w:w="60"/>
              <w:left w:type="dxa" w:w="80"/>
              <w:bottom w:type="dxa" w:w="60"/>
              <w:right w:type="dxa" w:w="80"/>
            </w:tcMar>
          </w:tcPr>
          <w:p>
            <w:r>
              <w:rPr>
                <w:b w:val="false"/>
                <w:bCs w:val="false"/>
                <w:sz w:val="17"/>
                <w:szCs w:val="17"/>
              </w:rPr>
              <w:t xml:space="preserve">48/100</w:t>
            </w:r>
          </w:p>
        </w:tc>
        <w:tc>
          <w:tcPr>
            <w:tcMar>
              <w:top w:type="dxa" w:w="60"/>
              <w:left w:type="dxa" w:w="80"/>
              <w:bottom w:type="dxa" w:w="60"/>
              <w:right w:type="dxa" w:w="80"/>
            </w:tcMar>
          </w:tcPr>
          <w:p>
            <w:r>
              <w:rPr>
                <w:b w:val="false"/>
                <w:bCs w:val="false"/>
                <w:sz w:val="17"/>
                <w:szCs w:val="17"/>
              </w:rPr>
              <w:t xml:space="preserve">≥70</w:t>
            </w:r>
          </w:p>
        </w:tc>
        <w:tc>
          <w:tcPr>
            <w:tcMar>
              <w:top w:type="dxa" w:w="60"/>
              <w:left w:type="dxa" w:w="80"/>
              <w:bottom w:type="dxa" w:w="60"/>
              <w:right w:type="dxa" w:w="80"/>
            </w:tcMar>
          </w:tcPr>
          <w:p>
            <w:r>
              <w:rPr>
                <w:b w:val="false"/>
                <w:bCs w:val="false"/>
                <w:sz w:val="17"/>
                <w:szCs w:val="17"/>
              </w:rPr>
              <w:t xml:space="preserve">Quarterly</w:t>
            </w:r>
          </w:p>
        </w:tc>
      </w:tr>
      <w:tr>
        <w:tc>
          <w:tcPr>
            <w:shd w:fill="EFF3F7" w:val="clear"/>
            <w:tcMar>
              <w:top w:type="dxa" w:w="60"/>
              <w:left w:type="dxa" w:w="80"/>
              <w:bottom w:type="dxa" w:w="60"/>
              <w:right w:type="dxa" w:w="80"/>
            </w:tcMar>
          </w:tcPr>
          <w:p>
            <w:r>
              <w:rPr>
                <w:b w:val="false"/>
                <w:bCs w:val="false"/>
                <w:sz w:val="17"/>
                <w:szCs w:val="17"/>
              </w:rPr>
              <w:t xml:space="preserve">Release Readiness</w:t>
            </w:r>
          </w:p>
        </w:tc>
        <w:tc>
          <w:tcPr>
            <w:shd w:fill="EFF3F7" w:val="clear"/>
            <w:tcMar>
              <w:top w:type="dxa" w:w="60"/>
              <w:left w:type="dxa" w:w="80"/>
              <w:bottom w:type="dxa" w:w="60"/>
              <w:right w:type="dxa" w:w="80"/>
            </w:tcMar>
          </w:tcPr>
          <w:p>
            <w:r>
              <w:rPr>
                <w:b w:val="false"/>
                <w:bCs w:val="false"/>
                <w:sz w:val="17"/>
                <w:szCs w:val="17"/>
              </w:rPr>
              <w:t xml:space="preserve">Not ready — Wave 1 not started</w:t>
            </w:r>
          </w:p>
        </w:tc>
        <w:tc>
          <w:tcPr>
            <w:shd w:fill="EFF3F7" w:val="clear"/>
            <w:tcMar>
              <w:top w:type="dxa" w:w="60"/>
              <w:left w:type="dxa" w:w="80"/>
              <w:bottom w:type="dxa" w:w="60"/>
              <w:right w:type="dxa" w:w="80"/>
            </w:tcMar>
          </w:tcPr>
          <w:p>
            <w:r>
              <w:rPr>
                <w:b w:val="false"/>
                <w:bCs w:val="false"/>
                <w:sz w:val="17"/>
                <w:szCs w:val="17"/>
              </w:rPr>
              <w:t xml:space="preserve">Production Ready criteria met (see §6)</w:t>
            </w:r>
          </w:p>
        </w:tc>
        <w:tc>
          <w:tcPr>
            <w:shd w:fill="EFF3F7" w:val="clear"/>
            <w:tcMar>
              <w:top w:type="dxa" w:w="60"/>
              <w:left w:type="dxa" w:w="80"/>
              <w:bottom w:type="dxa" w:w="60"/>
              <w:right w:type="dxa" w:w="80"/>
            </w:tcMar>
          </w:tcPr>
          <w:p>
            <w:r>
              <w:rPr>
                <w:b w:val="false"/>
                <w:bCs w:val="false"/>
                <w:sz w:val="17"/>
                <w:szCs w:val="17"/>
              </w:rPr>
              <w:t xml:space="preserve">Per milestone</w:t>
            </w:r>
          </w:p>
        </w:tc>
      </w:tr>
      <w:tr>
        <w:tc>
          <w:tcPr>
            <w:tcMar>
              <w:top w:type="dxa" w:w="60"/>
              <w:left w:type="dxa" w:w="80"/>
              <w:bottom w:type="dxa" w:w="60"/>
              <w:right w:type="dxa" w:w="80"/>
            </w:tcMar>
          </w:tcPr>
          <w:p>
            <w:r>
              <w:rPr>
                <w:b w:val="false"/>
                <w:bCs w:val="false"/>
                <w:sz w:val="17"/>
                <w:szCs w:val="17"/>
              </w:rPr>
              <w:t xml:space="preserve">Certification Readiness</w:t>
            </w:r>
          </w:p>
        </w:tc>
        <w:tc>
          <w:tcPr>
            <w:tcMar>
              <w:top w:type="dxa" w:w="60"/>
              <w:left w:type="dxa" w:w="80"/>
              <w:bottom w:type="dxa" w:w="60"/>
              <w:right w:type="dxa" w:w="80"/>
            </w:tcMar>
          </w:tcPr>
          <w:p>
            <w:r>
              <w:rPr>
                <w:b w:val="false"/>
                <w:bCs w:val="false"/>
                <w:sz w:val="17"/>
                <w:szCs w:val="17"/>
              </w:rPr>
              <w:t xml:space="preserve">L1–L3 met</w:t>
            </w:r>
          </w:p>
        </w:tc>
        <w:tc>
          <w:tcPr>
            <w:tcMar>
              <w:top w:type="dxa" w:w="60"/>
              <w:left w:type="dxa" w:w="80"/>
              <w:bottom w:type="dxa" w:w="60"/>
              <w:right w:type="dxa" w:w="80"/>
            </w:tcMar>
          </w:tcPr>
          <w:p>
            <w:r>
              <w:rPr>
                <w:b w:val="false"/>
                <w:bCs w:val="false"/>
                <w:sz w:val="17"/>
                <w:szCs w:val="17"/>
              </w:rPr>
              <w:t xml:space="preserve">L4 met</w:t>
            </w:r>
          </w:p>
        </w:tc>
        <w:tc>
          <w:tcPr>
            <w:tcMar>
              <w:top w:type="dxa" w:w="60"/>
              <w:left w:type="dxa" w:w="80"/>
              <w:bottom w:type="dxa" w:w="60"/>
              <w:right w:type="dxa" w:w="80"/>
            </w:tcMar>
          </w:tcPr>
          <w:p>
            <w:r>
              <w:rPr>
                <w:b w:val="false"/>
                <w:bCs w:val="false"/>
                <w:sz w:val="17"/>
                <w:szCs w:val="17"/>
              </w:rPr>
              <w:t xml:space="preserve">Per milestone</w:t>
            </w:r>
          </w:p>
        </w:tc>
      </w:tr>
      <w:tr>
        <w:tc>
          <w:tcPr>
            <w:shd w:fill="EFF3F7" w:val="clear"/>
            <w:tcMar>
              <w:top w:type="dxa" w:w="60"/>
              <w:left w:type="dxa" w:w="80"/>
              <w:bottom w:type="dxa" w:w="60"/>
              <w:right w:type="dxa" w:w="80"/>
            </w:tcMar>
          </w:tcPr>
          <w:p>
            <w:r>
              <w:rPr>
                <w:b w:val="false"/>
                <w:bCs w:val="false"/>
                <w:sz w:val="17"/>
                <w:szCs w:val="17"/>
              </w:rPr>
              <w:t xml:space="preserve">Risk Reduction (Critical/High risks open)</w:t>
            </w:r>
          </w:p>
        </w:tc>
        <w:tc>
          <w:tcPr>
            <w:shd w:fill="EFF3F7" w:val="clear"/>
            <w:tcMar>
              <w:top w:type="dxa" w:w="60"/>
              <w:left w:type="dxa" w:w="80"/>
              <w:bottom w:type="dxa" w:w="60"/>
              <w:right w:type="dxa" w:w="80"/>
            </w:tcMar>
          </w:tcPr>
          <w:p>
            <w:r>
              <w:rPr>
                <w:b w:val="false"/>
                <w:bCs w:val="false"/>
                <w:sz w:val="17"/>
                <w:szCs w:val="17"/>
              </w:rPr>
              <w:t xml:space="preserve">2 open (documentation drift, unverified RLS) + 1 blocking (ownership)</w:t>
            </w:r>
          </w:p>
        </w:tc>
        <w:tc>
          <w:tcPr>
            <w:shd w:fill="EFF3F7" w:val="clear"/>
            <w:tcMar>
              <w:top w:type="dxa" w:w="60"/>
              <w:left w:type="dxa" w:w="80"/>
              <w:bottom w:type="dxa" w:w="60"/>
              <w:right w:type="dxa" w:w="80"/>
            </w:tcMar>
          </w:tcPr>
          <w:p>
            <w:r>
              <w:rPr>
                <w:b w:val="false"/>
                <w:bCs w:val="false"/>
                <w:sz w:val="17"/>
                <w:szCs w:val="17"/>
              </w:rPr>
              <w:t xml:space="preserve">0 open</w:t>
            </w:r>
          </w:p>
        </w:tc>
        <w:tc>
          <w:tcPr>
            <w:shd w:fill="EFF3F7" w:val="clear"/>
            <w:tcMar>
              <w:top w:type="dxa" w:w="60"/>
              <w:left w:type="dxa" w:w="80"/>
              <w:bottom w:type="dxa" w:w="60"/>
              <w:right w:type="dxa" w:w="80"/>
            </w:tcMar>
          </w:tcPr>
          <w:p>
            <w:r>
              <w:rPr>
                <w:b w:val="false"/>
                <w:bCs w:val="false"/>
                <w:sz w:val="17"/>
                <w:szCs w:val="17"/>
              </w:rPr>
              <w:t xml:space="preserve">Per wave</w:t>
            </w:r>
          </w:p>
        </w:tc>
      </w:tr>
    </w:tbl>
    <w:p>
      <w:r>
        <w:br w:type="page"/>
      </w:r>
    </w:p>
    <w:p>
      <w:pPr>
        <w:pStyle w:val="Heading1"/>
        <w:spacing w:after="120" w:before="300"/>
      </w:pPr>
      <w:r>
        <w:t xml:space="preserve">12. Executive Roadmap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Metric</w:t>
            </w:r>
          </w:p>
        </w:tc>
        <w:tc>
          <w:tcPr>
            <w:shd w:fill="1F2A44" w:val="clear"/>
            <w:tcMar>
              <w:top w:type="dxa" w:w="60"/>
              <w:left w:type="dxa" w:w="80"/>
              <w:bottom w:type="dxa" w:w="60"/>
              <w:right w:type="dxa" w:w="80"/>
            </w:tcMar>
          </w:tcPr>
          <w:p>
            <w:r>
              <w:rPr>
                <w:b/>
                <w:bCs/>
                <w:color w:val="FFFFFF"/>
                <w:sz w:val="17"/>
                <w:szCs w:val="17"/>
              </w:rPr>
              <w:t xml:space="preserve">Value</w:t>
            </w:r>
          </w:p>
        </w:tc>
      </w:tr>
      <w:tr>
        <w:tc>
          <w:tcPr>
            <w:tcMar>
              <w:top w:type="dxa" w:w="60"/>
              <w:left w:type="dxa" w:w="80"/>
              <w:bottom w:type="dxa" w:w="60"/>
              <w:right w:type="dxa" w:w="80"/>
            </w:tcMar>
          </w:tcPr>
          <w:p>
            <w:r>
              <w:rPr>
                <w:b w:val="false"/>
                <w:bCs w:val="false"/>
                <w:sz w:val="17"/>
                <w:szCs w:val="17"/>
              </w:rPr>
              <w:t xml:space="preserve">Portfolio Progress</w:t>
            </w:r>
          </w:p>
        </w:tc>
        <w:tc>
          <w:tcPr>
            <w:tcMar>
              <w:top w:type="dxa" w:w="60"/>
              <w:left w:type="dxa" w:w="80"/>
              <w:bottom w:type="dxa" w:w="60"/>
              <w:right w:type="dxa" w:w="80"/>
            </w:tcMar>
          </w:tcPr>
          <w:p>
            <w:r>
              <w:rPr>
                <w:b w:val="false"/>
                <w:bCs w:val="false"/>
                <w:sz w:val="17"/>
                <w:szCs w:val="17"/>
              </w:rPr>
              <w:t xml:space="preserve">2 of 8 portfolios active (Data Platform, Governance &amp; Quality); 6 open and empty pending future evidence</w:t>
            </w:r>
          </w:p>
        </w:tc>
      </w:tr>
      <w:tr>
        <w:tc>
          <w:tcPr>
            <w:shd w:fill="EFF3F7" w:val="clear"/>
            <w:tcMar>
              <w:top w:type="dxa" w:w="60"/>
              <w:left w:type="dxa" w:w="80"/>
              <w:bottom w:type="dxa" w:w="60"/>
              <w:right w:type="dxa" w:w="80"/>
            </w:tcMar>
          </w:tcPr>
          <w:p>
            <w:r>
              <w:rPr>
                <w:b w:val="false"/>
                <w:bCs w:val="false"/>
                <w:sz w:val="17"/>
                <w:szCs w:val="17"/>
              </w:rPr>
              <w:t xml:space="preserve">Work Package Progress</w:t>
            </w:r>
          </w:p>
        </w:tc>
        <w:tc>
          <w:tcPr>
            <w:shd w:fill="EFF3F7" w:val="clear"/>
            <w:tcMar>
              <w:top w:type="dxa" w:w="60"/>
              <w:left w:type="dxa" w:w="80"/>
              <w:bottom w:type="dxa" w:w="60"/>
              <w:right w:type="dxa" w:w="80"/>
            </w:tcMar>
          </w:tcPr>
          <w:p>
            <w:r>
              <w:rPr>
                <w:b w:val="false"/>
                <w:bCs w:val="false"/>
                <w:sz w:val="17"/>
                <w:szCs w:val="17"/>
              </w:rPr>
              <w:t xml:space="preserve">0 of 6 executed; 2 immediately startable (WP-0002, WP-0006) with zero blocking dependency</w:t>
            </w:r>
          </w:p>
        </w:tc>
      </w:tr>
      <w:tr>
        <w:tc>
          <w:tcPr>
            <w:tcMar>
              <w:top w:type="dxa" w:w="60"/>
              <w:left w:type="dxa" w:w="80"/>
              <w:bottom w:type="dxa" w:w="60"/>
              <w:right w:type="dxa" w:w="80"/>
            </w:tcMar>
          </w:tcPr>
          <w:p>
            <w:r>
              <w:rPr>
                <w:b w:val="false"/>
                <w:bCs w:val="false"/>
                <w:sz w:val="17"/>
                <w:szCs w:val="17"/>
              </w:rPr>
              <w:t xml:space="preserve">Wave Progress</w:t>
            </w:r>
          </w:p>
        </w:tc>
        <w:tc>
          <w:tcPr>
            <w:tcMar>
              <w:top w:type="dxa" w:w="60"/>
              <w:left w:type="dxa" w:w="80"/>
              <w:bottom w:type="dxa" w:w="60"/>
              <w:right w:type="dxa" w:w="80"/>
            </w:tcMar>
          </w:tcPr>
          <w:p>
            <w:r>
              <w:rPr>
                <w:b w:val="false"/>
                <w:bCs w:val="false"/>
                <w:sz w:val="17"/>
                <w:szCs w:val="17"/>
              </w:rPr>
              <w:t xml:space="preserve">Wave 1 not yet started; Waves 2–3 queued; Waves 4–5 unpopulated</w:t>
            </w:r>
          </w:p>
        </w:tc>
      </w:tr>
      <w:tr>
        <w:tc>
          <w:tcPr>
            <w:shd w:fill="EFF3F7" w:val="clear"/>
            <w:tcMar>
              <w:top w:type="dxa" w:w="60"/>
              <w:left w:type="dxa" w:w="80"/>
              <w:bottom w:type="dxa" w:w="60"/>
              <w:right w:type="dxa" w:w="80"/>
            </w:tcMar>
          </w:tcPr>
          <w:p>
            <w:r>
              <w:rPr>
                <w:b w:val="false"/>
                <w:bCs w:val="false"/>
                <w:sz w:val="17"/>
                <w:szCs w:val="17"/>
              </w:rPr>
              <w:t xml:space="preserve">Milestone Completion</w:t>
            </w:r>
          </w:p>
        </w:tc>
        <w:tc>
          <w:tcPr>
            <w:shd w:fill="EFF3F7" w:val="clear"/>
            <w:tcMar>
              <w:top w:type="dxa" w:w="60"/>
              <w:left w:type="dxa" w:w="80"/>
              <w:bottom w:type="dxa" w:w="60"/>
              <w:right w:type="dxa" w:w="80"/>
            </w:tcMar>
          </w:tcPr>
          <w:p>
            <w:r>
              <w:rPr>
                <w:b w:val="false"/>
                <w:bCs w:val="false"/>
                <w:sz w:val="17"/>
                <w:szCs w:val="17"/>
              </w:rPr>
              <w:t xml:space="preserve">1 of 9 met (Baseline Complete)</w:t>
            </w:r>
          </w:p>
        </w:tc>
      </w:tr>
      <w:tr>
        <w:tc>
          <w:tcPr>
            <w:tcMar>
              <w:top w:type="dxa" w:w="60"/>
              <w:left w:type="dxa" w:w="80"/>
              <w:bottom w:type="dxa" w:w="60"/>
              <w:right w:type="dxa" w:w="80"/>
            </w:tcMar>
          </w:tcPr>
          <w:p>
            <w:r>
              <w:rPr>
                <w:b w:val="false"/>
                <w:bCs w:val="false"/>
                <w:sz w:val="17"/>
                <w:szCs w:val="17"/>
              </w:rPr>
              <w:t xml:space="preserve">Risk Exposure</w:t>
            </w:r>
          </w:p>
        </w:tc>
        <w:tc>
          <w:tcPr>
            <w:tcMar>
              <w:top w:type="dxa" w:w="60"/>
              <w:left w:type="dxa" w:w="80"/>
              <w:bottom w:type="dxa" w:w="60"/>
              <w:right w:type="dxa" w:w="80"/>
            </w:tcMar>
          </w:tcPr>
          <w:p>
            <w:r>
              <w:rPr>
                <w:b w:val="false"/>
                <w:bCs w:val="false"/>
                <w:sz w:val="17"/>
                <w:szCs w:val="17"/>
              </w:rPr>
              <w:t xml:space="preserve">1 blocking governance risk (unassigned ownership); 1 confirmed High risk (documentation drift); 1 unresolved-until-verified risk (RLS)</w:t>
            </w:r>
          </w:p>
        </w:tc>
      </w:tr>
      <w:tr>
        <w:tc>
          <w:tcPr>
            <w:shd w:fill="EFF3F7" w:val="clear"/>
            <w:tcMar>
              <w:top w:type="dxa" w:w="60"/>
              <w:left w:type="dxa" w:w="80"/>
              <w:bottom w:type="dxa" w:w="60"/>
              <w:right w:type="dxa" w:w="80"/>
            </w:tcMar>
          </w:tcPr>
          <w:p>
            <w:r>
              <w:rPr>
                <w:b w:val="false"/>
                <w:bCs w:val="false"/>
                <w:sz w:val="17"/>
                <w:szCs w:val="17"/>
              </w:rPr>
              <w:t xml:space="preserve">Budget Utilization (conceptual)</w:t>
            </w:r>
          </w:p>
        </w:tc>
        <w:tc>
          <w:tcPr>
            <w:shd w:fill="EFF3F7" w:val="clear"/>
            <w:tcMar>
              <w:top w:type="dxa" w:w="60"/>
              <w:left w:type="dxa" w:w="80"/>
              <w:bottom w:type="dxa" w:w="60"/>
              <w:right w:type="dxa" w:w="80"/>
            </w:tcMar>
          </w:tcPr>
          <w:p>
            <w:r>
              <w:rPr>
                <w:b w:val="false"/>
                <w:bCs w:val="false"/>
                <w:sz w:val="17"/>
                <w:szCs w:val="17"/>
              </w:rPr>
              <w:t xml:space="preserve">Not applicable — no cost baseline provided in any source document; omitted rather than estimated without evidence</w:t>
            </w:r>
          </w:p>
        </w:tc>
      </w:tr>
      <w:tr>
        <w:tc>
          <w:tcPr>
            <w:tcMar>
              <w:top w:type="dxa" w:w="60"/>
              <w:left w:type="dxa" w:w="80"/>
              <w:bottom w:type="dxa" w:w="60"/>
              <w:right w:type="dxa" w:w="80"/>
            </w:tcMar>
          </w:tcPr>
          <w:p>
            <w:r>
              <w:rPr>
                <w:b w:val="false"/>
                <w:bCs w:val="false"/>
                <w:sz w:val="17"/>
                <w:szCs w:val="17"/>
              </w:rPr>
              <w:t xml:space="preserve">Architecture Realization %</w:t>
            </w:r>
          </w:p>
        </w:tc>
        <w:tc>
          <w:tcPr>
            <w:tcMar>
              <w:top w:type="dxa" w:w="60"/>
              <w:left w:type="dxa" w:w="80"/>
              <w:bottom w:type="dxa" w:w="60"/>
              <w:right w:type="dxa" w:w="80"/>
            </w:tcMar>
          </w:tcPr>
          <w:p>
            <w:r>
              <w:rPr>
                <w:b w:val="false"/>
                <w:bCs w:val="false"/>
                <w:sz w:val="17"/>
                <w:szCs w:val="17"/>
              </w:rPr>
              <w:t xml:space="preserve">35% (KPI-01 baseline, Phase A.1 §14 overall conformance score)</w:t>
            </w:r>
          </w:p>
        </w:tc>
      </w:tr>
      <w:tr>
        <w:tc>
          <w:tcPr>
            <w:shd w:fill="EFF3F7" w:val="clear"/>
            <w:tcMar>
              <w:top w:type="dxa" w:w="60"/>
              <w:left w:type="dxa" w:w="80"/>
              <w:bottom w:type="dxa" w:w="60"/>
              <w:right w:type="dxa" w:w="80"/>
            </w:tcMar>
          </w:tcPr>
          <w:p>
            <w:r>
              <w:rPr>
                <w:b w:val="false"/>
                <w:bCs w:val="false"/>
                <w:sz w:val="17"/>
                <w:szCs w:val="17"/>
              </w:rPr>
              <w:t xml:space="preserve">Business Capability Realization %</w:t>
            </w:r>
          </w:p>
        </w:tc>
        <w:tc>
          <w:tcPr>
            <w:shd w:fill="EFF3F7" w:val="clear"/>
            <w:tcMar>
              <w:top w:type="dxa" w:w="60"/>
              <w:left w:type="dxa" w:w="80"/>
              <w:bottom w:type="dxa" w:w="60"/>
              <w:right w:type="dxa" w:w="80"/>
            </w:tcMar>
          </w:tcPr>
          <w:p>
            <w:r>
              <w:rPr>
                <w:b w:val="false"/>
                <w:bCs w:val="false"/>
                <w:sz w:val="17"/>
                <w:szCs w:val="17"/>
              </w:rPr>
              <w:t xml:space="preserve">Not measurable — no business-capability realization assessment exists (Portfolio 4 is empty)</w:t>
            </w:r>
          </w:p>
        </w:tc>
      </w:tr>
    </w:tbl>
    <w:p>
      <w:pPr>
        <w:spacing w:after="120"/>
      </w:pPr>
      <w:r>
        <w:rPr>
          <w:sz w:val="20"/>
          <w:szCs w:val="20"/>
        </w:rPr>
        <w:t xml:space="preserve">Budget utilization and business-capability realization are reported as not applicable / not measurable rather than populated with placeholder numbers, consistent with this roadmap's evidence-first approach.</w:t>
      </w:r>
    </w:p>
    <w:p>
      <w:r>
        <w:br w:type="page"/>
      </w:r>
    </w:p>
    <w:p>
      <w:pPr>
        <w:pStyle w:val="Heading1"/>
        <w:spacing w:after="120" w:before="300"/>
      </w:pPr>
      <w:r>
        <w:t xml:space="preserve">13. Enterprise Delivery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Governance Element</w:t>
            </w:r>
          </w:p>
        </w:tc>
        <w:tc>
          <w:tcPr>
            <w:shd w:fill="1F2A44" w:val="clear"/>
            <w:tcMar>
              <w:top w:type="dxa" w:w="60"/>
              <w:left w:type="dxa" w:w="80"/>
              <w:bottom w:type="dxa" w:w="60"/>
              <w:right w:type="dxa" w:w="80"/>
            </w:tcMar>
          </w:tcPr>
          <w:p>
            <w:r>
              <w:rPr>
                <w:b/>
                <w:bCs/>
                <w:color w:val="FFFFFF"/>
                <w:sz w:val="17"/>
                <w:szCs w:val="17"/>
              </w:rPr>
              <w:t xml:space="preserve">Definition</w:t>
            </w:r>
          </w:p>
        </w:tc>
      </w:tr>
      <w:tr>
        <w:tc>
          <w:tcPr>
            <w:tcMar>
              <w:top w:type="dxa" w:w="60"/>
              <w:left w:type="dxa" w:w="80"/>
              <w:bottom w:type="dxa" w:w="60"/>
              <w:right w:type="dxa" w:w="80"/>
            </w:tcMar>
          </w:tcPr>
          <w:p>
            <w:r>
              <w:rPr>
                <w:b w:val="false"/>
                <w:bCs w:val="false"/>
                <w:sz w:val="17"/>
                <w:szCs w:val="17"/>
              </w:rPr>
              <w:t xml:space="preserve">Architecture review checkpoints</w:t>
            </w:r>
          </w:p>
        </w:tc>
        <w:tc>
          <w:tcPr>
            <w:tcMar>
              <w:top w:type="dxa" w:w="60"/>
              <w:left w:type="dxa" w:w="80"/>
              <w:bottom w:type="dxa" w:w="60"/>
              <w:right w:type="dxa" w:w="80"/>
            </w:tcMar>
          </w:tcPr>
          <w:p>
            <w:r>
              <w:rPr>
                <w:b w:val="false"/>
                <w:bCs w:val="false"/>
                <w:sz w:val="17"/>
                <w:szCs w:val="17"/>
              </w:rPr>
              <w:t xml:space="preserve">At the close of each wave (§5) and at each milestone (§6); ad hoc on any EGD trigger firing (per Phase A.3 §4 review-frequency column).</w:t>
            </w:r>
          </w:p>
        </w:tc>
      </w:tr>
      <w:tr>
        <w:tc>
          <w:tcPr>
            <w:shd w:fill="EFF3F7" w:val="clear"/>
            <w:tcMar>
              <w:top w:type="dxa" w:w="60"/>
              <w:left w:type="dxa" w:w="80"/>
              <w:bottom w:type="dxa" w:w="60"/>
              <w:right w:type="dxa" w:w="80"/>
            </w:tcMar>
          </w:tcPr>
          <w:p>
            <w:r>
              <w:rPr>
                <w:b w:val="false"/>
                <w:bCs w:val="false"/>
                <w:sz w:val="17"/>
                <w:szCs w:val="17"/>
              </w:rPr>
              <w:t xml:space="preserve">Portfolio governance cadence</w:t>
            </w:r>
          </w:p>
        </w:tc>
        <w:tc>
          <w:tcPr>
            <w:shd w:fill="EFF3F7" w:val="clear"/>
            <w:tcMar>
              <w:top w:type="dxa" w:w="60"/>
              <w:left w:type="dxa" w:w="80"/>
              <w:bottom w:type="dxa" w:w="60"/>
              <w:right w:type="dxa" w:w="80"/>
            </w:tcMar>
          </w:tcPr>
          <w:p>
            <w:r>
              <w:rPr>
                <w:b w:val="false"/>
                <w:bCs w:val="false"/>
                <w:sz w:val="17"/>
                <w:szCs w:val="17"/>
              </w:rPr>
              <w:t xml:space="preserve">Quarterly, aligned to the quarterly trigger-review cadence already established for deferred EGDs (Phase A.3 KPI-05, KPI-10).</w:t>
            </w:r>
          </w:p>
        </w:tc>
      </w:tr>
      <w:tr>
        <w:tc>
          <w:tcPr>
            <w:tcMar>
              <w:top w:type="dxa" w:w="60"/>
              <w:left w:type="dxa" w:w="80"/>
              <w:bottom w:type="dxa" w:w="60"/>
              <w:right w:type="dxa" w:w="80"/>
            </w:tcMar>
          </w:tcPr>
          <w:p>
            <w:r>
              <w:rPr>
                <w:b w:val="false"/>
                <w:bCs w:val="false"/>
                <w:sz w:val="17"/>
                <w:szCs w:val="17"/>
              </w:rPr>
              <w:t xml:space="preserve">Change approval process</w:t>
            </w:r>
          </w:p>
        </w:tc>
        <w:tc>
          <w:tcPr>
            <w:tcMar>
              <w:top w:type="dxa" w:w="60"/>
              <w:left w:type="dxa" w:w="80"/>
              <w:bottom w:type="dxa" w:w="60"/>
              <w:right w:type="dxa" w:w="80"/>
            </w:tcMar>
          </w:tcPr>
          <w:p>
            <w:r>
              <w:rPr>
                <w:b w:val="false"/>
                <w:bCs w:val="false"/>
                <w:sz w:val="17"/>
                <w:szCs w:val="17"/>
              </w:rPr>
              <w:t xml:space="preserve">Any change to an AR, EGD, or WP scope requires a new or amended EGD entry (per AP-003) — no baseline change without formal governance.</w:t>
            </w:r>
          </w:p>
        </w:tc>
      </w:tr>
      <w:tr>
        <w:tc>
          <w:tcPr>
            <w:shd w:fill="EFF3F7" w:val="clear"/>
            <w:tcMar>
              <w:top w:type="dxa" w:w="60"/>
              <w:left w:type="dxa" w:w="80"/>
              <w:bottom w:type="dxa" w:w="60"/>
              <w:right w:type="dxa" w:w="80"/>
            </w:tcMar>
          </w:tcPr>
          <w:p>
            <w:r>
              <w:rPr>
                <w:b w:val="false"/>
                <w:bCs w:val="false"/>
                <w:sz w:val="17"/>
                <w:szCs w:val="17"/>
              </w:rPr>
              <w:t xml:space="preserve">Exception management</w:t>
            </w:r>
          </w:p>
        </w:tc>
        <w:tc>
          <w:tcPr>
            <w:shd w:fill="EFF3F7" w:val="clear"/>
            <w:tcMar>
              <w:top w:type="dxa" w:w="60"/>
              <w:left w:type="dxa" w:w="80"/>
              <w:bottom w:type="dxa" w:w="60"/>
              <w:right w:type="dxa" w:w="80"/>
            </w:tcMar>
          </w:tcPr>
          <w:p>
            <w:r>
              <w:rPr>
                <w:b w:val="false"/>
                <w:bCs w:val="false"/>
                <w:sz w:val="17"/>
                <w:szCs w:val="17"/>
              </w:rPr>
              <w:t xml:space="preserve">Any deviation from this roadmap's sequencing (§7) must be logged as a new variance (VAR-xx) per AP-007, not silently absorbed.</w:t>
            </w:r>
          </w:p>
        </w:tc>
      </w:tr>
      <w:tr>
        <w:tc>
          <w:tcPr>
            <w:tcMar>
              <w:top w:type="dxa" w:w="60"/>
              <w:left w:type="dxa" w:w="80"/>
              <w:bottom w:type="dxa" w:w="60"/>
              <w:right w:type="dxa" w:w="80"/>
            </w:tcMar>
          </w:tcPr>
          <w:p>
            <w:r>
              <w:rPr>
                <w:b w:val="false"/>
                <w:bCs w:val="false"/>
                <w:sz w:val="17"/>
                <w:szCs w:val="17"/>
              </w:rPr>
              <w:t xml:space="preserve">Escalation process</w:t>
            </w:r>
          </w:p>
        </w:tc>
        <w:tc>
          <w:tcPr>
            <w:tcMar>
              <w:top w:type="dxa" w:w="60"/>
              <w:left w:type="dxa" w:w="80"/>
              <w:bottom w:type="dxa" w:w="60"/>
              <w:right w:type="dxa" w:w="80"/>
            </w:tcMar>
          </w:tcPr>
          <w:p>
            <w:r>
              <w:rPr>
                <w:b w:val="false"/>
                <w:bCs w:val="false"/>
                <w:sz w:val="17"/>
                <w:szCs w:val="17"/>
              </w:rPr>
              <w:t xml:space="preserve">Unresolved blocking risks (currently: unassigned ownership) escalate to the executive sponsor per §10, not to individual work-package owners who cannot resolve it themselves.</w:t>
            </w:r>
          </w:p>
        </w:tc>
      </w:tr>
      <w:tr>
        <w:tc>
          <w:tcPr>
            <w:shd w:fill="EFF3F7" w:val="clear"/>
            <w:tcMar>
              <w:top w:type="dxa" w:w="60"/>
              <w:left w:type="dxa" w:w="80"/>
              <w:bottom w:type="dxa" w:w="60"/>
              <w:right w:type="dxa" w:w="80"/>
            </w:tcMar>
          </w:tcPr>
          <w:p>
            <w:r>
              <w:rPr>
                <w:b w:val="false"/>
                <w:bCs w:val="false"/>
                <w:sz w:val="17"/>
                <w:szCs w:val="17"/>
              </w:rPr>
              <w:t xml:space="preserve">Quality gates</w:t>
            </w:r>
          </w:p>
        </w:tc>
        <w:tc>
          <w:tcPr>
            <w:shd w:fill="EFF3F7" w:val="clear"/>
            <w:tcMar>
              <w:top w:type="dxa" w:w="60"/>
              <w:left w:type="dxa" w:w="80"/>
              <w:bottom w:type="dxa" w:w="60"/>
              <w:right w:type="dxa" w:w="80"/>
            </w:tcMar>
          </w:tcPr>
          <w:p>
            <w:r>
              <w:rPr>
                <w:b w:val="false"/>
                <w:bCs w:val="false"/>
                <w:sz w:val="17"/>
                <w:szCs w:val="17"/>
              </w:rPr>
              <w:t xml:space="preserve">Each milestone's exit criteria (§6) function as the quality gate — no milestone is marked complete without its stated success measure met.</w:t>
            </w:r>
          </w:p>
        </w:tc>
      </w:tr>
      <w:tr>
        <w:tc>
          <w:tcPr>
            <w:tcMar>
              <w:top w:type="dxa" w:w="60"/>
              <w:left w:type="dxa" w:w="80"/>
              <w:bottom w:type="dxa" w:w="60"/>
              <w:right w:type="dxa" w:w="80"/>
            </w:tcMar>
          </w:tcPr>
          <w:p>
            <w:r>
              <w:rPr>
                <w:b w:val="false"/>
                <w:bCs w:val="false"/>
                <w:sz w:val="17"/>
                <w:szCs w:val="17"/>
              </w:rPr>
              <w:t xml:space="preserve">Conformance reviews</w:t>
            </w:r>
          </w:p>
        </w:tc>
        <w:tc>
          <w:tcPr>
            <w:tcMar>
              <w:top w:type="dxa" w:w="60"/>
              <w:left w:type="dxa" w:w="80"/>
              <w:bottom w:type="dxa" w:w="60"/>
              <w:right w:type="dxa" w:w="80"/>
            </w:tcMar>
          </w:tcPr>
          <w:p>
            <w:r>
              <w:rPr>
                <w:b w:val="false"/>
                <w:bCs w:val="false"/>
                <w:sz w:val="17"/>
                <w:szCs w:val="17"/>
              </w:rPr>
              <w:t xml:space="preserve">Re-run KPI-01/KPI-07 measurement at every milestone; a full Phase A.1-style re-assessment is the Certification L5 conformance review (Phase A.3 §11).</w:t>
            </w:r>
          </w:p>
        </w:tc>
      </w:tr>
    </w:tbl>
    <w:p>
      <w:r>
        <w:br w:type="page"/>
      </w:r>
    </w:p>
    <w:p>
      <w:pPr>
        <w:pStyle w:val="Heading1"/>
        <w:spacing w:after="120" w:before="300"/>
      </w:pPr>
      <w:r>
        <w:t xml:space="preserve">14. Phase B Readiness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2A44" w:val="clear"/>
            <w:tcMar>
              <w:top w:type="dxa" w:w="60"/>
              <w:left w:type="dxa" w:w="80"/>
              <w:bottom w:type="dxa" w:w="60"/>
              <w:right w:type="dxa" w:w="80"/>
            </w:tcMar>
          </w:tcPr>
          <w:p>
            <w:r>
              <w:rPr>
                <w:b/>
                <w:bCs/>
                <w:color w:val="FFFFFF"/>
                <w:sz w:val="17"/>
                <w:szCs w:val="17"/>
              </w:rPr>
              <w:t xml:space="preserve">Dimension</w:t>
            </w:r>
          </w:p>
        </w:tc>
        <w:tc>
          <w:tcPr>
            <w:shd w:fill="1F2A44" w:val="clear"/>
            <w:tcMar>
              <w:top w:type="dxa" w:w="60"/>
              <w:left w:type="dxa" w:w="80"/>
              <w:bottom w:type="dxa" w:w="60"/>
              <w:right w:type="dxa" w:w="80"/>
            </w:tcMar>
          </w:tcPr>
          <w:p>
            <w:r>
              <w:rPr>
                <w:b/>
                <w:bCs/>
                <w:color w:val="FFFFFF"/>
                <w:sz w:val="17"/>
                <w:szCs w:val="17"/>
              </w:rPr>
              <w:t xml:space="preserve">Assessment</w:t>
            </w:r>
          </w:p>
        </w:tc>
      </w:tr>
      <w:tr>
        <w:tc>
          <w:tcPr>
            <w:tcMar>
              <w:top w:type="dxa" w:w="60"/>
              <w:left w:type="dxa" w:w="80"/>
              <w:bottom w:type="dxa" w:w="60"/>
              <w:right w:type="dxa" w:w="80"/>
            </w:tcMar>
          </w:tcPr>
          <w:p>
            <w:r>
              <w:rPr>
                <w:b w:val="false"/>
                <w:bCs w:val="false"/>
                <w:sz w:val="17"/>
                <w:szCs w:val="17"/>
              </w:rPr>
              <w:t xml:space="preserve">Governance Readiness</w:t>
            </w:r>
          </w:p>
        </w:tc>
        <w:tc>
          <w:tcPr>
            <w:tcMar>
              <w:top w:type="dxa" w:w="60"/>
              <w:left w:type="dxa" w:w="80"/>
              <w:bottom w:type="dxa" w:w="60"/>
              <w:right w:type="dxa" w:w="80"/>
            </w:tcMar>
          </w:tcPr>
          <w:p>
            <w:r>
              <w:rPr>
                <w:b w:val="false"/>
                <w:bCs w:val="false"/>
                <w:sz w:val="17"/>
                <w:szCs w:val="17"/>
              </w:rPr>
              <w:t xml:space="preserve">Complete for the two active portfolios — every WP traces to a dispositioned EGD (Phase A.3 §4). Not applicable for Portfolios 3–7 (no scope yet).</w:t>
            </w:r>
          </w:p>
        </w:tc>
      </w:tr>
      <w:tr>
        <w:tc>
          <w:tcPr>
            <w:shd w:fill="EFF3F7" w:val="clear"/>
            <w:tcMar>
              <w:top w:type="dxa" w:w="60"/>
              <w:left w:type="dxa" w:w="80"/>
              <w:bottom w:type="dxa" w:w="60"/>
              <w:right w:type="dxa" w:w="80"/>
            </w:tcMar>
          </w:tcPr>
          <w:p>
            <w:r>
              <w:rPr>
                <w:b w:val="false"/>
                <w:bCs w:val="false"/>
                <w:sz w:val="17"/>
                <w:szCs w:val="17"/>
              </w:rPr>
              <w:t xml:space="preserve">Resource Readiness</w:t>
            </w:r>
          </w:p>
        </w:tc>
        <w:tc>
          <w:tcPr>
            <w:shd w:fill="EFF3F7" w:val="clear"/>
            <w:tcMar>
              <w:top w:type="dxa" w:w="60"/>
              <w:left w:type="dxa" w:w="80"/>
              <w:bottom w:type="dxa" w:w="60"/>
              <w:right w:type="dxa" w:w="80"/>
            </w:tcMar>
          </w:tcPr>
          <w:p>
            <w:r>
              <w:rPr>
                <w:b w:val="false"/>
                <w:bCs w:val="false"/>
                <w:sz w:val="17"/>
                <w:szCs w:val="17"/>
              </w:rPr>
              <w:t xml:space="preserve">Roles identified (§9); zero currently named (KPI-08 = 0%) — this is the plan's single readiness gap.</w:t>
            </w:r>
          </w:p>
        </w:tc>
      </w:tr>
      <w:tr>
        <w:tc>
          <w:tcPr>
            <w:tcMar>
              <w:top w:type="dxa" w:w="60"/>
              <w:left w:type="dxa" w:w="80"/>
              <w:bottom w:type="dxa" w:w="60"/>
              <w:right w:type="dxa" w:w="80"/>
            </w:tcMar>
          </w:tcPr>
          <w:p>
            <w:r>
              <w:rPr>
                <w:b w:val="false"/>
                <w:bCs w:val="false"/>
                <w:sz w:val="17"/>
                <w:szCs w:val="17"/>
              </w:rPr>
              <w:t xml:space="preserve">Work Package Readiness</w:t>
            </w:r>
          </w:p>
        </w:tc>
        <w:tc>
          <w:tcPr>
            <w:tcMar>
              <w:top w:type="dxa" w:w="60"/>
              <w:left w:type="dxa" w:w="80"/>
              <w:bottom w:type="dxa" w:w="60"/>
              <w:right w:type="dxa" w:w="80"/>
            </w:tcMar>
          </w:tcPr>
          <w:p>
            <w:r>
              <w:rPr>
                <w:b w:val="false"/>
                <w:bCs w:val="false"/>
                <w:sz w:val="17"/>
                <w:szCs w:val="17"/>
              </w:rPr>
              <w:t xml:space="preserve">6 of 6 defined; 2 of 6 startable immediately with no blocking dependency.</w:t>
            </w:r>
          </w:p>
        </w:tc>
      </w:tr>
      <w:tr>
        <w:tc>
          <w:tcPr>
            <w:shd w:fill="EFF3F7" w:val="clear"/>
            <w:tcMar>
              <w:top w:type="dxa" w:w="60"/>
              <w:left w:type="dxa" w:w="80"/>
              <w:bottom w:type="dxa" w:w="60"/>
              <w:right w:type="dxa" w:w="80"/>
            </w:tcMar>
          </w:tcPr>
          <w:p>
            <w:r>
              <w:rPr>
                <w:b w:val="false"/>
                <w:bCs w:val="false"/>
                <w:sz w:val="17"/>
                <w:szCs w:val="17"/>
              </w:rPr>
              <w:t xml:space="preserve">Dependency Readiness</w:t>
            </w:r>
          </w:p>
        </w:tc>
        <w:tc>
          <w:tcPr>
            <w:shd w:fill="EFF3F7" w:val="clear"/>
            <w:tcMar>
              <w:top w:type="dxa" w:w="60"/>
              <w:left w:type="dxa" w:w="80"/>
              <w:bottom w:type="dxa" w:w="60"/>
              <w:right w:type="dxa" w:w="80"/>
            </w:tcMar>
          </w:tcPr>
          <w:p>
            <w:r>
              <w:rPr>
                <w:b w:val="false"/>
                <w:bCs w:val="false"/>
                <w:sz w:val="17"/>
                <w:szCs w:val="17"/>
              </w:rPr>
              <w:t xml:space="preserve">Fully mapped (§7); only external dependency is row-count/growth data for WP-0003, which does not block Waves 1–2.</w:t>
            </w:r>
          </w:p>
        </w:tc>
      </w:tr>
      <w:tr>
        <w:tc>
          <w:tcPr>
            <w:tcMar>
              <w:top w:type="dxa" w:w="60"/>
              <w:left w:type="dxa" w:w="80"/>
              <w:bottom w:type="dxa" w:w="60"/>
              <w:right w:type="dxa" w:w="80"/>
            </w:tcMar>
          </w:tcPr>
          <w:p>
            <w:r>
              <w:rPr>
                <w:b w:val="false"/>
                <w:bCs w:val="false"/>
                <w:sz w:val="17"/>
                <w:szCs w:val="17"/>
              </w:rPr>
              <w:t xml:space="preserve">Risk Readiness</w:t>
            </w:r>
          </w:p>
        </w:tc>
        <w:tc>
          <w:tcPr>
            <w:tcMar>
              <w:top w:type="dxa" w:w="60"/>
              <w:left w:type="dxa" w:w="80"/>
              <w:bottom w:type="dxa" w:w="60"/>
              <w:right w:type="dxa" w:w="80"/>
            </w:tcMar>
          </w:tcPr>
          <w:p>
            <w:r>
              <w:rPr>
                <w:b w:val="false"/>
                <w:bCs w:val="false"/>
                <w:sz w:val="17"/>
                <w:szCs w:val="17"/>
              </w:rPr>
              <w:t xml:space="preserve">All identified risks (§10) have a defined mitigation; none are unmitigated-and-unmonitored.</w:t>
            </w:r>
          </w:p>
        </w:tc>
      </w:tr>
      <w:tr>
        <w:tc>
          <w:tcPr>
            <w:shd w:fill="EFF3F7" w:val="clear"/>
            <w:tcMar>
              <w:top w:type="dxa" w:w="60"/>
              <w:left w:type="dxa" w:w="80"/>
              <w:bottom w:type="dxa" w:w="60"/>
              <w:right w:type="dxa" w:w="80"/>
            </w:tcMar>
          </w:tcPr>
          <w:p>
            <w:r>
              <w:rPr>
                <w:b w:val="false"/>
                <w:bCs w:val="false"/>
                <w:sz w:val="17"/>
                <w:szCs w:val="17"/>
              </w:rPr>
              <w:t xml:space="preserve">Architecture Readiness</w:t>
            </w:r>
          </w:p>
        </w:tc>
        <w:tc>
          <w:tcPr>
            <w:shd w:fill="EFF3F7" w:val="clear"/>
            <w:tcMar>
              <w:top w:type="dxa" w:w="60"/>
              <w:left w:type="dxa" w:w="80"/>
              <w:bottom w:type="dxa" w:w="60"/>
              <w:right w:type="dxa" w:w="80"/>
            </w:tcMar>
          </w:tcPr>
          <w:p>
            <w:r>
              <w:rPr>
                <w:b w:val="false"/>
                <w:bCs w:val="false"/>
                <w:sz w:val="17"/>
                <w:szCs w:val="17"/>
              </w:rPr>
              <w:t xml:space="preserve">Complete — Phase A.3 established full traceability (L1–L3 met) for every AR this roadmap plans against.</w:t>
            </w:r>
          </w:p>
        </w:tc>
      </w:tr>
    </w:tbl>
    <w:p>
      <w:pPr>
        <w:pStyle w:val="Heading2"/>
        <w:spacing w:after="100" w:before="220"/>
      </w:pPr>
      <w:r>
        <w:t xml:space="preserve">Recommendation: READY WITH CONDITIONS</w:t>
      </w:r>
    </w:p>
    <w:p>
      <w:pPr>
        <w:spacing w:after="120"/>
      </w:pPr>
      <w:r>
        <w:rPr>
          <w:b/>
          <w:bCs/>
          <w:sz w:val="20"/>
          <w:szCs w:val="20"/>
        </w:rPr>
        <w:t xml:space="preserve">Execution of Wave 1 (WP-0002, WP-0006) may begin immediately — both are fully specified, ungoverned by any open dependency, and address this roadmap's two highest-rated risks. The single condition attached to this recommendation is the same one Phase A.3 identified as universal: Resource Readiness is not met (0% ownership assigned). This roadmap should not be treated as fully executable — only as immediately startable — until WP-0006 closes that gap, at which point Wave 2 can proceed with a named, accountable owner rather than an implicit one.</w:t>
      </w:r>
    </w:p>
    <w:p>
      <w:pPr>
        <w:spacing w:after="120"/>
      </w:pPr>
      <w:r>
        <w:rPr>
          <w:sz w:val="20"/>
          <w:szCs w:val="20"/>
        </w:rPr>
        <w:t xml:space="preserve">Portfolios 3–7 are correctly assessed as Not Ready, not Ready with Conditions — they have no architecture readiness at all (no AR/EGD exists in those domains) and should not be scheduled until a future ERP-01 phase produces that evidence, per this program's own governance-first principle (§2).</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2026-07-08T11:45:20.016Z</dcterms:created>
  <dcterms:modified xsi:type="dcterms:W3CDTF">2026-07-08T11:45:20.029Z</dcterms:modified>
</cp:coreProperties>
</file>

<file path=docProps/custom.xml><?xml version="1.0" encoding="utf-8"?>
<Properties xmlns="http://schemas.openxmlformats.org/officeDocument/2006/custom-properties" xmlns:vt="http://schemas.openxmlformats.org/officeDocument/2006/docPropsVTypes"/>
</file>