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HireRise Career Intelligence Platform</w:t>
      </w:r>
      <w:r>
        <w:t xml:space="preserve"> </w:t>
      </w:r>
      <w:r>
        <w:t xml:space="preserve">Enterprise Knowledge &amp; Intelligence Architecture</w:t>
      </w:r>
      <w:r>
        <w:t xml:space="preserve"> </w:t>
      </w:r>
      <w:r>
        <w:t xml:space="preserve">EEP-02 — Enterprise Engineering Program, Phase F</w:t>
      </w:r>
    </w:p>
    <w:p>
      <w:pPr>
        <w:pStyle w:val="BodyText"/>
      </w:pPr>
      <w:r>
        <w:t xml:space="preserve">Document status: Canonical — Phase F only, per program constraint</w:t>
      </w:r>
      <w:r>
        <w:t xml:space="preserve"> </w:t>
      </w:r>
      <w:r>
        <w:t xml:space="preserve">Version 1.0 — July 2026</w:t>
      </w:r>
      <w:r>
        <w:t xml:space="preserve"> </w:t>
      </w:r>
      <w:r>
        <w:t xml:space="preserve">Prepared as a combined Enterprise Knowledge Architecture / Enterprise Information Architecture / AI Strategy deliverable</w:t>
      </w:r>
      <w:r>
        <w:t xml:space="preserve"> </w:t>
      </w:r>
      <w:r>
        <w:t xml:space="preserve">Built on, and traceable to, EEP-01 (Enterprise Technical Architecture, Phases A–J) and the completed EEP-02 Phases A–E (Business Capability, Business Domain, Value Stream, Business Service, and Business Process Architecture)</w:t>
      </w:r>
    </w:p>
    <w:bookmarkStart w:id="20" w:name="how-to-read-this-document"/>
    <w:p>
      <w:pPr>
        <w:pStyle w:val="Heading2"/>
      </w:pPr>
      <w:r>
        <w:t xml:space="preserve">How to Read This Document</w:t>
      </w:r>
    </w:p>
    <w:p>
      <w:pPr>
        <w:pStyle w:val="FirstParagraph"/>
      </w:pPr>
      <w:r>
        <w:t xml:space="preserve">This document follows the evidentiary discipline established across EEP-01 and EEP-02 Phases A–E: every knowledge and intelligence statement is grounded in the HireRise repository — the</w:t>
      </w:r>
      <w:r>
        <w:t xml:space="preserve"> </w:t>
      </w:r>
      <w:r>
        <w:rPr>
          <w:rStyle w:val="VerbatimChar"/>
        </w:rPr>
        <w:t xml:space="preserve">core</w:t>
      </w:r>
      <w:r>
        <w:t xml:space="preserve"> </w:t>
      </w:r>
      <w:r>
        <w:t xml:space="preserve">backend (in particular</w:t>
      </w:r>
      <w:r>
        <w:t xml:space="preserve"> </w:t>
      </w:r>
      <w:r>
        <w:rPr>
          <w:rStyle w:val="VerbatimChar"/>
        </w:rPr>
        <w:t xml:space="preserve">src/modules/knowledge-runtime</w:t>
      </w:r>
      <w:r>
        <w:t xml:space="preserve">,</w:t>
      </w:r>
      <w:r>
        <w:t xml:space="preserve"> </w:t>
      </w:r>
      <w:r>
        <w:rPr>
          <w:rStyle w:val="VerbatimChar"/>
        </w:rPr>
        <w:t xml:space="preserve">careerGraph</w:t>
      </w:r>
      <w:r>
        <w:t xml:space="preserve">,</w:t>
      </w:r>
      <w:r>
        <w:t xml:space="preserve"> </w:t>
      </w:r>
      <w:r>
        <w:rPr>
          <w:rStyle w:val="VerbatimChar"/>
        </w:rPr>
        <w:t xml:space="preserve">skillGraph</w:t>
      </w:r>
      <w:r>
        <w:t xml:space="preserve">,</w:t>
      </w:r>
      <w:r>
        <w:t xml:space="preserve"> </w:t>
      </w:r>
      <w:r>
        <w:rPr>
          <w:rStyle w:val="VerbatimChar"/>
        </w:rPr>
        <w:t xml:space="preserve">labor-market-intelligence</w:t>
      </w:r>
      <w:r>
        <w:t xml:space="preserve">,</w:t>
      </w:r>
      <w:r>
        <w:t xml:space="preserve"> </w:t>
      </w:r>
      <w:r>
        <w:rPr>
          <w:rStyle w:val="VerbatimChar"/>
        </w:rPr>
        <w:t xml:space="preserve">education-intelligence</w:t>
      </w:r>
      <w:r>
        <w:t xml:space="preserve">,</w:t>
      </w:r>
      <w:r>
        <w:t xml:space="preserve"> </w:t>
      </w:r>
      <w:r>
        <w:rPr>
          <w:rStyle w:val="VerbatimChar"/>
        </w:rPr>
        <w:t xml:space="preserve">source-intelligence</w:t>
      </w:r>
      <w:r>
        <w:t xml:space="preserve">,</w:t>
      </w:r>
      <w:r>
        <w:t xml:space="preserve"> </w:t>
      </w:r>
      <w:r>
        <w:rPr>
          <w:rStyle w:val="VerbatimChar"/>
        </w:rPr>
        <w:t xml:space="preserve">intelligence-quality</w:t>
      </w:r>
      <w:r>
        <w:t xml:space="preserve">,</w:t>
      </w:r>
      <w:r>
        <w:t xml:space="preserve"> </w:t>
      </w:r>
      <w:r>
        <w:rPr>
          <w:rStyle w:val="VerbatimChar"/>
        </w:rPr>
        <w:t xml:space="preserve">platform-intelligence</w:t>
      </w:r>
      <w:r>
        <w:t xml:space="preserve">,</w:t>
      </w:r>
      <w:r>
        <w:t xml:space="preserve"> </w:t>
      </w:r>
      <w:r>
        <w:rPr>
          <w:rStyle w:val="VerbatimChar"/>
        </w:rPr>
        <w:t xml:space="preserve">salary</w:t>
      </w:r>
      <w:r>
        <w:t xml:space="preserve">,</w:t>
      </w:r>
      <w:r>
        <w:t xml:space="preserve"> </w:t>
      </w:r>
      <w:r>
        <w:rPr>
          <w:rStyle w:val="VerbatimChar"/>
        </w:rPr>
        <w:t xml:space="preserve">salaryImport</w:t>
      </w:r>
      <w:r>
        <w:t xml:space="preserve">,</w:t>
      </w:r>
      <w:r>
        <w:t xml:space="preserve"> </w:t>
      </w:r>
      <w:r>
        <w:rPr>
          <w:rStyle w:val="VerbatimChar"/>
        </w:rPr>
        <w:t xml:space="preserve">analytics</w:t>
      </w:r>
      <w:r>
        <w:t xml:space="preserve">), the canonical taxonomy, the completed XAI-1 knowledge work packages (WP-KB-02, WP-KB-03, WP-KP-01, WP-KD-01, WP-KR-01, WP-KRA-01, WP-AIC-01/WP-SIPD-02), the Phase-2 Work Package (WP-P2-01, Source Intelligence Management), and the ten completed EEP-01 architecture phases — not a generic industry knowledge-management template relabeled with HireRise’s name.</w:t>
      </w:r>
    </w:p>
    <w:p>
      <w:pPr>
        <w:pStyle w:val="BodyText"/>
      </w:pPr>
      <w:r>
        <w:t xml:space="preserve">Two conventions carry over unchanged from EEP-01 and EEP-02 Phases A–E:</w:t>
      </w:r>
    </w:p>
    <w:p>
      <w:pPr>
        <w:numPr>
          <w:ilvl w:val="0"/>
          <w:numId w:val="1001"/>
        </w:numPr>
        <w:pStyle w:val="Compact"/>
      </w:pPr>
      <w:r>
        <w:rPr>
          <w:bCs/>
          <w:b/>
        </w:rPr>
        <w:t xml:space="preserve">CURRENT STATE</w:t>
      </w:r>
      <w:r>
        <w:t xml:space="preserve"> </w:t>
      </w:r>
      <w:r>
        <w:t xml:space="preserve">describes a knowledge asset, intelligence capability, or maturity level that exists in the repository today, evidenced by named modules, services, schemas, or completed architecture decisions.</w:t>
      </w:r>
    </w:p>
    <w:p>
      <w:pPr>
        <w:numPr>
          <w:ilvl w:val="0"/>
          <w:numId w:val="1001"/>
        </w:numPr>
        <w:pStyle w:val="Compact"/>
      </w:pPr>
      <w:r>
        <w:rPr>
          <w:bCs/>
          <w:b/>
        </w:rPr>
        <w:t xml:space="preserve">TARGET STATE</w:t>
      </w:r>
      <w:r>
        <w:t xml:space="preserve"> </w:t>
      </w:r>
      <w:r>
        <w:t xml:space="preserve">describes a knowledge asset, intelligence capability, or maturity level HireRise does not yet operate, expressed as a reference point to grow into — with an explicit, measurable adoption trigger, never an unconditional roadmap commitment.</w:t>
      </w:r>
    </w:p>
    <w:p>
      <w:pPr>
        <w:pStyle w:val="FirstParagraph"/>
      </w:pPr>
      <w:r>
        <w:t xml:space="preserve">The same methodological note carried forward from EEP-01 Phase H/I and every EEP-02 phase to date applies here without exception: the engineering evidence throughout this repository — one integrated codebase, a small number of contributors, no separated knowledge-management function — indicates a small, high-leverage team, not a large multi-division enterprise. This document does not manufacture large-organization knowledge-governance bureaucracy (data stewardship committees, chief data officer structures, formal RACI grids) to look more</w:t>
      </w:r>
      <w:r>
        <w:t xml:space="preserve"> </w:t>
      </w:r>
      <w:r>
        <w:t xml:space="preserve">“</w:t>
      </w:r>
      <w:r>
        <w:t xml:space="preserve">enterprise.</w:t>
      </w:r>
      <w:r>
        <w:t xml:space="preserve">”</w:t>
      </w:r>
      <w:r>
        <w:t xml:space="preserve"> </w:t>
      </w:r>
      <w:r>
        <w:t xml:space="preserve">Governance bodies and maturity levels named below are modeled at the maturity the evidence actually supports — largely design-complete, partially operationalized — with TARGET STATE reserved for genuine future scale points.</w:t>
      </w:r>
    </w:p>
    <w:p>
      <w:pPr>
        <w:pStyle w:val="BodyText"/>
      </w:pPr>
      <w:r>
        <w:t xml:space="preserve">This document is Phase F of EEP-02 only. It defines the enterprise knowledge and intelligence architecture — how HireRise acquires, governs, evolves, and applies enterprise knowledge to deliver trusted career intelligence, in service of the capabilities (Phase A), domains (Phase B), value streams (Phase C), business services (Phase D), and business processes (Phase E) already catalogued. It does not redesign any EEP-01 technical decision, and it does not redefine any Phase A–E construct. It is not a data architecture, a database design, a machine learning architecture, or an AI implementation guide — it is the business architecture of knowledge and intelligence as an enterprise asset.</w:t>
      </w:r>
    </w:p>
    <w:p>
      <w:r>
        <w:pict>
          <v:rect style="width:0;height:1.5pt" o:hralign="center" o:hrstd="t" o:hr="t"/>
        </w:pict>
      </w:r>
    </w:p>
    <w:bookmarkEnd w:id="20"/>
    <w:bookmarkStart w:id="21" w:name="executive-summary"/>
    <w:p>
      <w:pPr>
        <w:pStyle w:val="Heading2"/>
      </w:pPr>
      <w:r>
        <w:t xml:space="preserve">1. Executive Summary</w:t>
      </w:r>
    </w:p>
    <w:p>
      <w:pPr>
        <w:pStyle w:val="FirstParagraph"/>
      </w:pPr>
      <w:r>
        <w:rPr>
          <w:bCs/>
          <w:b/>
        </w:rPr>
        <w:t xml:space="preserve">Enterprise knowledge vision.</w:t>
      </w:r>
      <w:r>
        <w:t xml:space="preserve"> </w:t>
      </w:r>
      <w:r>
        <w:t xml:space="preserve">HireRise’s business is trust: a student — often the first in their family to navigate India’s higher-education and career landscape — is asked to act on a recommendation. That recommendation is only as trustworthy as the knowledge beneath it. The enterprise knowledge vision is a single governed body of academic, career, skill, labor-market, and outcome knowledge — the Enterprise Knowledge Platform (HKP) — that every intelligence engine reasons from, so that no engine ever invents its own private, unauditable understanding of the world.</w:t>
      </w:r>
    </w:p>
    <w:p>
      <w:pPr>
        <w:pStyle w:val="BodyText"/>
      </w:pPr>
      <w:r>
        <w:rPr>
          <w:bCs/>
          <w:b/>
        </w:rPr>
        <w:t xml:space="preserve">Intelligence strategy.</w:t>
      </w:r>
      <w:r>
        <w:t xml:space="preserve"> </w:t>
      </w:r>
      <w:r>
        <w:t xml:space="preserve">Intelligence at HireRise is knowledge plus reasoning plus explanation. The strategy, evidenced consistently across WP-KP-01, WP-KR-01/WP-KRA-01, and WP-AIC-01/WP-SIPD-02, is deterministic and evidence-grounded reasoning over governed knowledge, not opaque model output: every recommendation must be traceable to named evidence, named relationships, and a plain-English rationale chain. AI assists knowledge curation and pattern discovery; it does not publish knowledge or issue unexplainable recommendations.</w:t>
      </w:r>
    </w:p>
    <w:p>
      <w:pPr>
        <w:pStyle w:val="BodyText"/>
      </w:pPr>
      <w:r>
        <w:rPr>
          <w:bCs/>
          <w:b/>
        </w:rPr>
        <w:t xml:space="preserve">Architecture objectives.</w:t>
      </w:r>
      <w:r>
        <w:t xml:space="preserve"> </w:t>
      </w:r>
      <w:r>
        <w:t xml:space="preserve">(1) Treat knowledge as a governed, versioned, technology-independent enterprise asset, decoupled from any single database, AI provider, or engine. (2) Give every intelligence engine (MIE, HSIE, Career Intelligence, Job Matching, Resume Intelligence, Labor Market Intelligence, Salary Intelligence) a single canonical knowledge source rather than private, duplicated entity data. (3) Make trust — provenance, confidence, freshness, explainability — a first-class, measurable property of every knowledge asset and every intelligence output. (4) Keep the architecture technology-independent so it survives replacement of any database, storage engine, or AI provider.</w:t>
      </w:r>
    </w:p>
    <w:p>
      <w:pPr>
        <w:pStyle w:val="BodyText"/>
      </w:pPr>
      <w:r>
        <w:rPr>
          <w:bCs/>
          <w:b/>
        </w:rPr>
        <w:t xml:space="preserve">Expected business outcomes.</w:t>
      </w:r>
      <w:r>
        <w:t xml:space="preserve"> </w:t>
      </w:r>
      <w:r>
        <w:t xml:space="preserve">Recommendations a student, parent, or counsellor can audit and trust; faster, safer onboarding of new knowledge domains (new subjects, new careers, new geographies) without engine-by-engine rework; a defensible governance trail for regulator, institutional, and enterprise-partner scrutiny; and a foundation — Career Outcome Intelligence — for HireRise to eventually prove, not just claim, that its guidance improves student outcomes.</w:t>
      </w:r>
    </w:p>
    <w:p>
      <w:r>
        <w:pict>
          <v:rect style="width:0;height:1.5pt" o:hralign="center" o:hrstd="t" o:hr="t"/>
        </w:pict>
      </w:r>
    </w:p>
    <w:bookmarkEnd w:id="21"/>
    <w:bookmarkStart w:id="28" w:name="current-state-assessment"/>
    <w:p>
      <w:pPr>
        <w:pStyle w:val="Heading2"/>
      </w:pPr>
      <w:r>
        <w:t xml:space="preserve">2. Current State Assessment</w:t>
      </w:r>
    </w:p>
    <w:bookmarkStart w:id="22" w:name="X906b87061f7f6e3c7f949ce033644ec18872a15"/>
    <w:p>
      <w:pPr>
        <w:pStyle w:val="Heading3"/>
      </w:pPr>
      <w:r>
        <w:t xml:space="preserve">2.1 Current knowledge assets (repository evidence)</w:t>
      </w:r>
    </w:p>
    <w:p>
      <w:pPr>
        <w:pStyle w:val="FirstParagraph"/>
      </w:pPr>
      <w:r>
        <w:t xml:space="preserve">The repository evidences a substantial, largely design-complete knowledge architecture with partial operational implementation:</w:t>
      </w:r>
    </w:p>
    <w:p>
      <w:pPr>
        <w:numPr>
          <w:ilvl w:val="0"/>
          <w:numId w:val="1002"/>
        </w:numPr>
        <w:pStyle w:val="Compact"/>
      </w:pPr>
      <w:r>
        <w:rPr>
          <w:bCs/>
          <w:b/>
        </w:rPr>
        <w:t xml:space="preserve">Academic and career ontology</w:t>
      </w:r>
      <w:r>
        <w:t xml:space="preserve"> </w:t>
      </w:r>
      <w:r>
        <w:t xml:space="preserve">— WP-KP-01 (</w:t>
      </w:r>
      <w:r>
        <w:rPr>
          <w:rStyle w:val="VerbatimChar"/>
        </w:rPr>
        <w:t xml:space="preserve">ACADEMIC_ONTOLOGY.md</w:t>
      </w:r>
      <w:r>
        <w:t xml:space="preserve">,</w:t>
      </w:r>
      <w:r>
        <w:t xml:space="preserve"> </w:t>
      </w:r>
      <w:r>
        <w:rPr>
          <w:rStyle w:val="VerbatimChar"/>
        </w:rPr>
        <w:t xml:space="preserve">CAREER_ONTOLOGY.md</w:t>
      </w:r>
      <w:r>
        <w:t xml:space="preserve">,</w:t>
      </w:r>
      <w:r>
        <w:t xml:space="preserve"> </w:t>
      </w:r>
      <w:r>
        <w:rPr>
          <w:rStyle w:val="VerbatimChar"/>
        </w:rPr>
        <w:t xml:space="preserve">CANONICAL_ENTITY_MODEL.md</w:t>
      </w:r>
      <w:r>
        <w:t xml:space="preserve">,</w:t>
      </w:r>
      <w:r>
        <w:t xml:space="preserve"> </w:t>
      </w:r>
      <w:r>
        <w:rPr>
          <w:rStyle w:val="VerbatimChar"/>
        </w:rPr>
        <w:t xml:space="preserve">SEMANTIC_ONTOLOGY.md</w:t>
      </w:r>
      <w:r>
        <w:t xml:space="preserve">) defines a governed, versioned entity model (</w:t>
      </w:r>
      <w:r>
        <w:rPr>
          <w:rStyle w:val="VerbatimChar"/>
        </w:rPr>
        <w:t xml:space="preserve">subject.physics.v1</w:t>
      </w:r>
      <w:r>
        <w:t xml:space="preserve">) and 18 named relationship types (</w:t>
      </w:r>
      <w:r>
        <w:rPr>
          <w:rStyle w:val="VerbatimChar"/>
        </w:rPr>
        <w:t xml:space="preserve">RELATIONSHIP_INTELLIGENCE_FRAMEWORK.md</w:t>
      </w:r>
      <w:r>
        <w:t xml:space="preserve">) spanning 8 knowledge domains.</w:t>
      </w:r>
    </w:p>
    <w:p>
      <w:pPr>
        <w:numPr>
          <w:ilvl w:val="0"/>
          <w:numId w:val="1002"/>
        </w:numPr>
        <w:pStyle w:val="Compact"/>
      </w:pPr>
      <w:r>
        <w:rPr>
          <w:bCs/>
          <w:b/>
        </w:rPr>
        <w:t xml:space="preserve">Student/learner knowledge</w:t>
      </w:r>
      <w:r>
        <w:t xml:space="preserve"> </w:t>
      </w:r>
      <w:r>
        <w:t xml:space="preserve">— WP-KB-03 (</w:t>
      </w:r>
      <w:r>
        <w:rPr>
          <w:rStyle w:val="VerbatimChar"/>
        </w:rPr>
        <w:t xml:space="preserve">STUDENT_INTELLIGENCE_MODEL.md</w:t>
      </w:r>
      <w:r>
        <w:t xml:space="preserve">,</w:t>
      </w:r>
      <w:r>
        <w:t xml:space="preserve"> </w:t>
      </w:r>
      <w:r>
        <w:rPr>
          <w:rStyle w:val="VerbatimChar"/>
        </w:rPr>
        <w:t xml:space="preserve">LEARNER_PROFILE_REFERENCE.md</w:t>
      </w:r>
      <w:r>
        <w:t xml:space="preserve">,</w:t>
      </w:r>
      <w:r>
        <w:t xml:space="preserve"> </w:t>
      </w:r>
      <w:r>
        <w:rPr>
          <w:rStyle w:val="VerbatimChar"/>
        </w:rPr>
        <w:t xml:space="preserve">ACADEMIC_PERFORMANCE_INTELLIGENCE.md</w:t>
      </w:r>
      <w:r>
        <w:t xml:space="preserve">,</w:t>
      </w:r>
      <w:r>
        <w:t xml:space="preserve"> </w:t>
      </w:r>
      <w:r>
        <w:rPr>
          <w:rStyle w:val="VerbatimChar"/>
        </w:rPr>
        <w:t xml:space="preserve">APTITUDE_REFERENCE_MODEL.md</w:t>
      </w:r>
      <w:r>
        <w:t xml:space="preserve">) defines the Student Intelligence Model (SIM — the learner-knowledge subsystem, distinct from the Source Intelligence Management module of the same acronym in WP-P2-01).</w:t>
      </w:r>
    </w:p>
    <w:p>
      <w:pPr>
        <w:numPr>
          <w:ilvl w:val="0"/>
          <w:numId w:val="1002"/>
        </w:numPr>
        <w:pStyle w:val="Compact"/>
      </w:pPr>
      <w:r>
        <w:rPr>
          <w:bCs/>
          <w:b/>
        </w:rPr>
        <w:t xml:space="preserve">Education domain knowledge</w:t>
      </w:r>
      <w:r>
        <w:t xml:space="preserve"> </w:t>
      </w:r>
      <w:r>
        <w:t xml:space="preserve">— WP-KB-02 (</w:t>
      </w:r>
      <w:r>
        <w:rPr>
          <w:rStyle w:val="VerbatimChar"/>
        </w:rPr>
        <w:t xml:space="preserve">EDUCATION_DOMAIN_FOUNDATION.md</w:t>
      </w:r>
      <w:r>
        <w:t xml:space="preserve">,</w:t>
      </w:r>
      <w:r>
        <w:t xml:space="preserve"> </w:t>
      </w:r>
      <w:r>
        <w:rPr>
          <w:rStyle w:val="VerbatimChar"/>
        </w:rPr>
        <w:t xml:space="preserve">INDIAN_EDUCATION_REFERENCE_MODEL.md</w:t>
      </w:r>
      <w:r>
        <w:t xml:space="preserve">,</w:t>
      </w:r>
      <w:r>
        <w:t xml:space="preserve"> </w:t>
      </w:r>
      <w:r>
        <w:rPr>
          <w:rStyle w:val="VerbatimChar"/>
        </w:rPr>
        <w:t xml:space="preserve">HIGHER_EDUCATION_REFERENCE_MODEL.md</w:t>
      </w:r>
      <w:r>
        <w:t xml:space="preserve">,</w:t>
      </w:r>
      <w:r>
        <w:t xml:space="preserve"> </w:t>
      </w:r>
      <w:r>
        <w:rPr>
          <w:rStyle w:val="VerbatimChar"/>
        </w:rPr>
        <w:t xml:space="preserve">ENTRANCE_EXAM_REFERENCE_MODEL.md</w:t>
      </w:r>
      <w:r>
        <w:t xml:space="preserve">,</w:t>
      </w:r>
      <w:r>
        <w:t xml:space="preserve"> </w:t>
      </w:r>
      <w:r>
        <w:rPr>
          <w:rStyle w:val="VerbatimChar"/>
        </w:rPr>
        <w:t xml:space="preserve">SUBJECT_COMPETENCY_FRAMEWORK.md</w:t>
      </w:r>
      <w:r>
        <w:t xml:space="preserve">) — the Education Domain Foundation (EDF), the canonical carrier of</w:t>
      </w:r>
      <w:r>
        <w:t xml:space="preserve"> </w:t>
      </w:r>
      <w:r>
        <w:t xml:space="preserve">“</w:t>
      </w:r>
      <w:r>
        <w:t xml:space="preserve">what is known</w:t>
      </w:r>
      <w:r>
        <w:t xml:space="preserve">”</w:t>
      </w:r>
      <w:r>
        <w:t xml:space="preserve"> </w:t>
      </w:r>
      <w:r>
        <w:t xml:space="preserve">about the Indian education system.</w:t>
      </w:r>
    </w:p>
    <w:p>
      <w:pPr>
        <w:numPr>
          <w:ilvl w:val="0"/>
          <w:numId w:val="1002"/>
        </w:numPr>
        <w:pStyle w:val="Compact"/>
      </w:pPr>
      <w:r>
        <w:rPr>
          <w:bCs/>
          <w:b/>
        </w:rPr>
        <w:t xml:space="preserve">Knowledge acquisition, curation, and lifecycle</w:t>
      </w:r>
      <w:r>
        <w:t xml:space="preserve"> </w:t>
      </w:r>
      <w:r>
        <w:t xml:space="preserve">— WP-KD-01’s Knowledge Acquisition, Curation and Lifecycle Framework (KCLF) is a fully specified, design-complete 15-stage knowledge supply chain, source catalog (35+ sources), quality model, provenance model, curation workflow, and maturity model.</w:t>
      </w:r>
    </w:p>
    <w:p>
      <w:pPr>
        <w:numPr>
          <w:ilvl w:val="0"/>
          <w:numId w:val="1002"/>
        </w:numPr>
        <w:pStyle w:val="Compact"/>
      </w:pPr>
      <w:r>
        <w:rPr>
          <w:bCs/>
          <w:b/>
        </w:rPr>
        <w:t xml:space="preserve">Knowledge reasoning</w:t>
      </w:r>
      <w:r>
        <w:t xml:space="preserve"> </w:t>
      </w:r>
      <w:r>
        <w:t xml:space="preserve">— WP-KR-01 (general reasoning machinery: 8 principles, 11-stage pipeline, 12 reasoning modes) and WP-KRA-01 (the executable education-to-career instantiation: an 8-stage pipeline over a 10-node traversal chain from Student → Competencies → Subjects → Streams → Entrance Exams → Programmes → Careers → Skills → Industries → Future Opportunities).</w:t>
      </w:r>
    </w:p>
    <w:p>
      <w:pPr>
        <w:numPr>
          <w:ilvl w:val="0"/>
          <w:numId w:val="1002"/>
        </w:numPr>
        <w:pStyle w:val="Compact"/>
      </w:pPr>
      <w:r>
        <w:rPr>
          <w:bCs/>
          <w:b/>
        </w:rPr>
        <w:t xml:space="preserve">Source governance (implemented)</w:t>
      </w:r>
      <w:r>
        <w:t xml:space="preserve"> </w:t>
      </w:r>
      <w:r>
        <w:t xml:space="preserve">—</w:t>
      </w:r>
      <w:r>
        <w:t xml:space="preserve"> </w:t>
      </w:r>
      <w:r>
        <w:rPr>
          <w:rStyle w:val="VerbatimChar"/>
        </w:rPr>
        <w:t xml:space="preserve">src/modules/source-intelligence</w:t>
      </w:r>
      <w:r>
        <w:t xml:space="preserve"> </w:t>
      </w:r>
      <w:r>
        <w:t xml:space="preserve">is a working, tested module (repositories, services, validators, controllers, event contracts) implementing Source Intelligence Management (SIM per WP-P2-01): the authoritative registry of every external knowledge source, with trust scoring, health derivation, and governance-transition auditing.</w:t>
      </w:r>
    </w:p>
    <w:p>
      <w:pPr>
        <w:numPr>
          <w:ilvl w:val="0"/>
          <w:numId w:val="1002"/>
        </w:numPr>
        <w:pStyle w:val="Compact"/>
      </w:pPr>
      <w:r>
        <w:rPr>
          <w:bCs/>
          <w:b/>
        </w:rPr>
        <w:t xml:space="preserve">Runtime knowledge services (implemented)</w:t>
      </w:r>
      <w:r>
        <w:t xml:space="preserve"> </w:t>
      </w:r>
      <w:r>
        <w:t xml:space="preserve">—</w:t>
      </w:r>
      <w:r>
        <w:t xml:space="preserve"> </w:t>
      </w:r>
      <w:r>
        <w:rPr>
          <w:rStyle w:val="VerbatimChar"/>
        </w:rPr>
        <w:t xml:space="preserve">src/modules/knowledge-runtime</w:t>
      </w:r>
      <w:r>
        <w:t xml:space="preserve"> </w:t>
      </w:r>
      <w:r>
        <w:t xml:space="preserve">(knowledge, decision, and validation services),</w:t>
      </w:r>
      <w:r>
        <w:t xml:space="preserve"> </w:t>
      </w:r>
      <w:r>
        <w:rPr>
          <w:rStyle w:val="VerbatimChar"/>
        </w:rPr>
        <w:t xml:space="preserve">careerGraph</w:t>
      </w:r>
      <w:r>
        <w:t xml:space="preserve">,</w:t>
      </w:r>
      <w:r>
        <w:t xml:space="preserve"> </w:t>
      </w:r>
      <w:r>
        <w:rPr>
          <w:rStyle w:val="VerbatimChar"/>
        </w:rPr>
        <w:t xml:space="preserve">skillGraph</w:t>
      </w:r>
      <w:r>
        <w:t xml:space="preserve">,</w:t>
      </w:r>
      <w:r>
        <w:t xml:space="preserve"> </w:t>
      </w:r>
      <w:r>
        <w:rPr>
          <w:rStyle w:val="VerbatimChar"/>
        </w:rPr>
        <w:t xml:space="preserve">education-intelligence</w:t>
      </w:r>
      <w:r>
        <w:t xml:space="preserve"> </w:t>
      </w:r>
      <w:r>
        <w:t xml:space="preserve">(ROI, cognitive profile, career digital twin, activity analysis engines),</w:t>
      </w:r>
      <w:r>
        <w:t xml:space="preserve"> </w:t>
      </w:r>
      <w:r>
        <w:rPr>
          <w:rStyle w:val="VerbatimChar"/>
        </w:rPr>
        <w:t xml:space="preserve">labor-market-intelligence</w:t>
      </w:r>
      <w:r>
        <w:t xml:space="preserve"> </w:t>
      </w:r>
      <w:r>
        <w:t xml:space="preserve">(job collection, demand analysis, skill extraction, market trends),</w:t>
      </w:r>
      <w:r>
        <w:t xml:space="preserve"> </w:t>
      </w:r>
      <w:r>
        <w:rPr>
          <w:rStyle w:val="VerbatimChar"/>
        </w:rPr>
        <w:t xml:space="preserve">salary</w:t>
      </w:r>
      <w:r>
        <w:t xml:space="preserve">/</w:t>
      </w:r>
      <w:r>
        <w:rPr>
          <w:rStyle w:val="VerbatimChar"/>
        </w:rPr>
        <w:t xml:space="preserve">salaryImport</w:t>
      </w:r>
      <w:r>
        <w:t xml:space="preserve">,</w:t>
      </w:r>
      <w:r>
        <w:t xml:space="preserve"> </w:t>
      </w:r>
      <w:r>
        <w:rPr>
          <w:rStyle w:val="VerbatimChar"/>
        </w:rPr>
        <w:t xml:space="preserve">intelligence-quality</w:t>
      </w:r>
      <w:r>
        <w:t xml:space="preserve">, and</w:t>
      </w:r>
      <w:r>
        <w:t xml:space="preserve"> </w:t>
      </w:r>
      <w:r>
        <w:rPr>
          <w:rStyle w:val="VerbatimChar"/>
        </w:rPr>
        <w:t xml:space="preserve">platform-intelligence</w:t>
      </w:r>
      <w:r>
        <w:t xml:space="preserve"> </w:t>
      </w:r>
      <w:r>
        <w:t xml:space="preserve">are working backend modules that carry canonical entity and intelligence logic today.</w:t>
      </w:r>
    </w:p>
    <w:bookmarkEnd w:id="22"/>
    <w:bookmarkStart w:id="23" w:name="current-intelligence-capabilities"/>
    <w:p>
      <w:pPr>
        <w:pStyle w:val="Heading3"/>
      </w:pPr>
      <w:r>
        <w:t xml:space="preserve">2.2 Current intelligence capabilities</w:t>
      </w:r>
    </w:p>
    <w:p>
      <w:pPr>
        <w:numPr>
          <w:ilvl w:val="0"/>
          <w:numId w:val="1003"/>
        </w:numPr>
        <w:pStyle w:val="Compact"/>
      </w:pPr>
      <w:r>
        <w:rPr>
          <w:bCs/>
          <w:b/>
        </w:rPr>
        <w:t xml:space="preserve">Matriculation Intelligence Engine (MIE)</w:t>
      </w:r>
      <w:r>
        <w:t xml:space="preserve"> </w:t>
      </w:r>
      <w:r>
        <w:t xml:space="preserve">and</w:t>
      </w:r>
      <w:r>
        <w:t xml:space="preserve"> </w:t>
      </w:r>
      <w:r>
        <w:rPr>
          <w:bCs/>
          <w:b/>
        </w:rPr>
        <w:t xml:space="preserve">Higher Secondary Intelligence Engine (HSIE)</w:t>
      </w:r>
      <w:r>
        <w:t xml:space="preserve"> </w:t>
      </w:r>
      <w:r>
        <w:t xml:space="preserve">— the two flagship intelligence products (WP-AIC-01/WP-SIPD-02), each with defined minimum-signal thresholds, ranked recommendation output, and mandatory XAI rationale and signal-contribution disclosure.</w:t>
      </w:r>
    </w:p>
    <w:p>
      <w:pPr>
        <w:numPr>
          <w:ilvl w:val="0"/>
          <w:numId w:val="1003"/>
        </w:numPr>
        <w:pStyle w:val="Compact"/>
      </w:pPr>
      <w:r>
        <w:rPr>
          <w:bCs/>
          <w:b/>
        </w:rPr>
        <w:t xml:space="preserve">Career, skill, and labor-market intelligence</w:t>
      </w:r>
      <w:r>
        <w:t xml:space="preserve"> </w:t>
      </w:r>
      <w:r>
        <w:t xml:space="preserve">— implemented as working modules (</w:t>
      </w:r>
      <w:r>
        <w:rPr>
          <w:rStyle w:val="VerbatimChar"/>
        </w:rPr>
        <w:t xml:space="preserve">careerGraph</w:t>
      </w:r>
      <w:r>
        <w:t xml:space="preserve">,</w:t>
      </w:r>
      <w:r>
        <w:t xml:space="preserve"> </w:t>
      </w:r>
      <w:r>
        <w:rPr>
          <w:rStyle w:val="VerbatimChar"/>
        </w:rPr>
        <w:t xml:space="preserve">skillGraph</w:t>
      </w:r>
      <w:r>
        <w:t xml:space="preserve">,</w:t>
      </w:r>
      <w:r>
        <w:t xml:space="preserve"> </w:t>
      </w:r>
      <w:r>
        <w:rPr>
          <w:rStyle w:val="VerbatimChar"/>
        </w:rPr>
        <w:t xml:space="preserve">labor-market-intelligence</w:t>
      </w:r>
      <w:r>
        <w:t xml:space="preserve">,</w:t>
      </w:r>
      <w:r>
        <w:t xml:space="preserve"> </w:t>
      </w:r>
      <w:r>
        <w:rPr>
          <w:rStyle w:val="VerbatimChar"/>
        </w:rPr>
        <w:t xml:space="preserve">marketIntelligence</w:t>
      </w:r>
      <w:r>
        <w:t xml:space="preserve">,</w:t>
      </w:r>
      <w:r>
        <w:t xml:space="preserve"> </w:t>
      </w:r>
      <w:r>
        <w:rPr>
          <w:rStyle w:val="VerbatimChar"/>
        </w:rPr>
        <w:t xml:space="preserve">skillDemand</w:t>
      </w:r>
      <w:r>
        <w:t xml:space="preserve">,</w:t>
      </w:r>
      <w:r>
        <w:t xml:space="preserve"> </w:t>
      </w:r>
      <w:r>
        <w:rPr>
          <w:rStyle w:val="VerbatimChar"/>
        </w:rPr>
        <w:t xml:space="preserve">skill-evolution</w:t>
      </w:r>
      <w:r>
        <w:t xml:space="preserve">,</w:t>
      </w:r>
      <w:r>
        <w:t xml:space="preserve"> </w:t>
      </w:r>
      <w:r>
        <w:rPr>
          <w:rStyle w:val="VerbatimChar"/>
        </w:rPr>
        <w:t xml:space="preserve">skill-prioritization</w:t>
      </w:r>
      <w:r>
        <w:t xml:space="preserve">).</w:t>
      </w:r>
    </w:p>
    <w:p>
      <w:pPr>
        <w:numPr>
          <w:ilvl w:val="0"/>
          <w:numId w:val="1003"/>
        </w:numPr>
        <w:pStyle w:val="Compact"/>
      </w:pPr>
      <w:r>
        <w:rPr>
          <w:bCs/>
          <w:b/>
        </w:rPr>
        <w:t xml:space="preserve">Salary intelligence</w:t>
      </w:r>
      <w:r>
        <w:t xml:space="preserve"> </w:t>
      </w:r>
      <w:r>
        <w:t xml:space="preserve">—</w:t>
      </w:r>
      <w:r>
        <w:t xml:space="preserve"> </w:t>
      </w:r>
      <w:r>
        <w:rPr>
          <w:rStyle w:val="VerbatimChar"/>
        </w:rPr>
        <w:t xml:space="preserve">salary</w:t>
      </w:r>
      <w:r>
        <w:t xml:space="preserve"> </w:t>
      </w:r>
      <w:r>
        <w:t xml:space="preserve">and</w:t>
      </w:r>
      <w:r>
        <w:t xml:space="preserve"> </w:t>
      </w:r>
      <w:r>
        <w:rPr>
          <w:rStyle w:val="VerbatimChar"/>
        </w:rPr>
        <w:t xml:space="preserve">salaryImport</w:t>
      </w:r>
      <w:r>
        <w:t xml:space="preserve"> </w:t>
      </w:r>
      <w:r>
        <w:t xml:space="preserve">modules, backed by</w:t>
      </w:r>
      <w:r>
        <w:t xml:space="preserve"> </w:t>
      </w:r>
      <w:r>
        <w:rPr>
          <w:rStyle w:val="VerbatimChar"/>
        </w:rPr>
        <w:t xml:space="preserve">Career data/salary-benchmarks*.csv</w:t>
      </w:r>
      <w:r>
        <w:t xml:space="preserve"> </w:t>
      </w:r>
      <w:r>
        <w:t xml:space="preserve">reference data.</w:t>
      </w:r>
    </w:p>
    <w:p>
      <w:pPr>
        <w:numPr>
          <w:ilvl w:val="0"/>
          <w:numId w:val="1003"/>
        </w:numPr>
        <w:pStyle w:val="Compact"/>
      </w:pPr>
      <w:r>
        <w:rPr>
          <w:bCs/>
          <w:b/>
        </w:rPr>
        <w:t xml:space="preserve">Intelligence quality and platform intelligence</w:t>
      </w:r>
      <w:r>
        <w:t xml:space="preserve"> </w:t>
      </w:r>
      <w:r>
        <w:t xml:space="preserve">—</w:t>
      </w:r>
      <w:r>
        <w:t xml:space="preserve"> </w:t>
      </w:r>
      <w:r>
        <w:rPr>
          <w:rStyle w:val="VerbatimChar"/>
        </w:rPr>
        <w:t xml:space="preserve">intelligence-quality</w:t>
      </w:r>
      <w:r>
        <w:t xml:space="preserve"> </w:t>
      </w:r>
      <w:r>
        <w:t xml:space="preserve">and</w:t>
      </w:r>
      <w:r>
        <w:t xml:space="preserve"> </w:t>
      </w:r>
      <w:r>
        <w:rPr>
          <w:rStyle w:val="VerbatimChar"/>
        </w:rPr>
        <w:t xml:space="preserve">platform-intelligence</w:t>
      </w:r>
      <w:r>
        <w:t xml:space="preserve"> </w:t>
      </w:r>
      <w:r>
        <w:t xml:space="preserve">modules provide cross-cutting quality scoring and platform-level intelligence signals, consistent with WP-AIC-01’s Intelligence Quality Framework (IQF).</w:t>
      </w:r>
    </w:p>
    <w:p>
      <w:pPr>
        <w:numPr>
          <w:ilvl w:val="0"/>
          <w:numId w:val="1003"/>
        </w:numPr>
        <w:pStyle w:val="Compact"/>
      </w:pPr>
      <w:r>
        <w:rPr>
          <w:bCs/>
          <w:b/>
        </w:rPr>
        <w:t xml:space="preserve">Reasoning and explainability</w:t>
      </w:r>
      <w:r>
        <w:t xml:space="preserve"> </w:t>
      </w:r>
      <w:r>
        <w:t xml:space="preserve">— WP-KRA-01’s confidence model, evidence aggregation framework, and reasoning-explainability reference define a</w:t>
      </w:r>
      <w:r>
        <w:t xml:space="preserve"> </w:t>
      </w:r>
      <w:r>
        <w:t xml:space="preserve">“</w:t>
      </w:r>
      <w:r>
        <w:t xml:space="preserve">why / what / which / why-not</w:t>
      </w:r>
      <w:r>
        <w:t xml:space="preserve">”</w:t>
      </w:r>
      <w:r>
        <w:t xml:space="preserve"> </w:t>
      </w:r>
      <w:r>
        <w:t xml:space="preserve">contract every recommendation must satisfy; this is design-complete and partially reflected in the</w:t>
      </w:r>
      <w:r>
        <w:t xml:space="preserve"> </w:t>
      </w:r>
      <w:r>
        <w:rPr>
          <w:rStyle w:val="VerbatimChar"/>
        </w:rPr>
        <w:t xml:space="preserve">knowledge-runtime</w:t>
      </w:r>
      <w:r>
        <w:t xml:space="preserve"> </w:t>
      </w:r>
      <w:r>
        <w:t xml:space="preserve">decision and validation services.</w:t>
      </w:r>
    </w:p>
    <w:bookmarkEnd w:id="23"/>
    <w:bookmarkStart w:id="24" w:name="knowledge-gaps"/>
    <w:p>
      <w:pPr>
        <w:pStyle w:val="Heading3"/>
      </w:pPr>
      <w:r>
        <w:t xml:space="preserve">2.3 Knowledge gaps</w:t>
      </w:r>
    </w:p>
    <w:p>
      <w:pPr>
        <w:numPr>
          <w:ilvl w:val="0"/>
          <w:numId w:val="1004"/>
        </w:numPr>
        <w:pStyle w:val="Compact"/>
      </w:pPr>
      <w:r>
        <w:t xml:space="preserve">The Phase-2 external-knowledge ingestion pipeline (</w:t>
      </w:r>
      <w:r>
        <w:rPr>
          <w:rStyle w:val="VerbatimChar"/>
        </w:rPr>
        <w:t xml:space="preserve">External Sources → SIM → COM → EDF → Data Feed App → Canonical Knowledge Publishing → Knowledge Versioning → Knowledge QA → HKP</w:t>
      </w:r>
      <w:r>
        <w:t xml:space="preserve">) has only its first stage — Source Intelligence Management — implemented as working code. COM (Collection Orchestration/Management), the Data Feed App, Canonical Knowledge Publishing, Knowledge Versioning, and Knowledge QA are named and positioned in the pipeline diagram (WP-P2-01, EEP-01 Phase C Part 8) but explicitly out of scope for, and not implemented by, that work package.</w:t>
      </w:r>
    </w:p>
    <w:p>
      <w:pPr>
        <w:numPr>
          <w:ilvl w:val="0"/>
          <w:numId w:val="1004"/>
        </w:numPr>
        <w:pStyle w:val="Compact"/>
      </w:pPr>
      <w:r>
        <w:t xml:space="preserve">The Knowledge Acquisition, Curation and Lifecycle Framework (WP-KD-01) is described in its own executive summary as</w:t>
      </w:r>
      <w:r>
        <w:t xml:space="preserve"> </w:t>
      </w:r>
      <w:r>
        <w:t xml:space="preserve">“</w:t>
      </w:r>
      <w:r>
        <w:t xml:space="preserve">the final architecture component before implementation begins</w:t>
      </w:r>
      <w:r>
        <w:t xml:space="preserve">”</w:t>
      </w:r>
      <w:r>
        <w:t xml:space="preserve"> </w:t>
      </w:r>
      <w:r>
        <w:t xml:space="preserve">— i.e., design-complete, not yet operational.</w:t>
      </w:r>
    </w:p>
    <w:p>
      <w:pPr>
        <w:numPr>
          <w:ilvl w:val="0"/>
          <w:numId w:val="1004"/>
        </w:numPr>
        <w:pStyle w:val="Compact"/>
      </w:pPr>
      <w:r>
        <w:t xml:space="preserve">No repository evidence of a governance body (Knowledge Governance Council, Domain Knowledge Officers) operating in production; these are proposed governance structures in WP-KD-01, not yet staffed processes.</w:t>
      </w:r>
    </w:p>
    <w:bookmarkEnd w:id="24"/>
    <w:bookmarkStart w:id="25" w:name="intelligence-gaps"/>
    <w:p>
      <w:pPr>
        <w:pStyle w:val="Heading3"/>
      </w:pPr>
      <w:r>
        <w:t xml:space="preserve">2.4 Intelligence gaps</w:t>
      </w:r>
    </w:p>
    <w:p>
      <w:pPr>
        <w:numPr>
          <w:ilvl w:val="0"/>
          <w:numId w:val="1005"/>
        </w:numPr>
        <w:pStyle w:val="Compact"/>
      </w:pPr>
      <w:r>
        <w:rPr>
          <w:bCs/>
          <w:b/>
        </w:rPr>
        <w:t xml:space="preserve">Career Outcome Intelligence</w:t>
      </w:r>
      <w:r>
        <w:t xml:space="preserve"> </w:t>
      </w:r>
      <w:r>
        <w:t xml:space="preserve">is named consistently as a future capability — EEP-01 Phase C Part 9 explicitly scopes it as</w:t>
      </w:r>
      <w:r>
        <w:t xml:space="preserve"> </w:t>
      </w:r>
      <w:r>
        <w:t xml:space="preserve">“</w:t>
      </w:r>
      <w:r>
        <w:t xml:space="preserve">already modeled… as a batch-oriented, longitudinal consumer,</w:t>
      </w:r>
      <w:r>
        <w:t xml:space="preserve">”</w:t>
      </w:r>
      <w:r>
        <w:t xml:space="preserve"> </w:t>
      </w:r>
      <w:r>
        <w:t xml:space="preserve">with new capability to be added</w:t>
      </w:r>
      <w:r>
        <w:t xml:space="preserve"> </w:t>
      </w:r>
      <w:r>
        <w:t xml:space="preserve">“</w:t>
      </w:r>
      <w:r>
        <w:t xml:space="preserve">as new event types,</w:t>
      </w:r>
      <w:r>
        <w:t xml:space="preserve">”</w:t>
      </w:r>
      <w:r>
        <w:t xml:space="preserve"> </w:t>
      </w:r>
      <w:r>
        <w:t xml:space="preserve">not yet built.</w:t>
      </w:r>
    </w:p>
    <w:p>
      <w:pPr>
        <w:numPr>
          <w:ilvl w:val="0"/>
          <w:numId w:val="1005"/>
        </w:numPr>
        <w:pStyle w:val="Compact"/>
      </w:pPr>
      <w:r>
        <w:t xml:space="preserve">No repository evidence of the Data Feed App or Canonical Knowledge Publishing as operating systems, meaning today’s external labor-market, salary, and employer knowledge enters through the intelligence engines and worker services directly (e.g.,</w:t>
      </w:r>
      <w:r>
        <w:t xml:space="preserve"> </w:t>
      </w:r>
      <w:r>
        <w:rPr>
          <w:rStyle w:val="VerbatimChar"/>
        </w:rPr>
        <w:t xml:space="preserve">salaryImport</w:t>
      </w:r>
      <w:r>
        <w:t xml:space="preserve">,</w:t>
      </w:r>
      <w:r>
        <w:t xml:space="preserve"> </w:t>
      </w:r>
      <w:r>
        <w:rPr>
          <w:rStyle w:val="VerbatimChar"/>
        </w:rPr>
        <w:t xml:space="preserve">labor-market-intelligence/collectors</w:t>
      </w:r>
      <w:r>
        <w:t xml:space="preserve">) rather than through a single governed ingestion boundary.</w:t>
      </w:r>
    </w:p>
    <w:bookmarkEnd w:id="25"/>
    <w:bookmarkStart w:id="26" w:name="repository-evidence"/>
    <w:p>
      <w:pPr>
        <w:pStyle w:val="Heading3"/>
      </w:pPr>
      <w:r>
        <w:t xml:space="preserve">2.5 Repository evidence</w:t>
      </w:r>
    </w:p>
    <w:p>
      <w:pPr>
        <w:pStyle w:val="FirstParagraph"/>
      </w:pPr>
      <w:r>
        <w:t xml:space="preserve">Primary evidence sources for this document:</w:t>
      </w:r>
      <w:r>
        <w:t xml:space="preserve"> </w:t>
      </w:r>
      <w:r>
        <w:rPr>
          <w:rStyle w:val="VerbatimChar"/>
        </w:rPr>
        <w:t xml:space="preserve">core/src/modules/*</w:t>
      </w:r>
      <w:r>
        <w:t xml:space="preserve"> </w:t>
      </w:r>
      <w:r>
        <w:t xml:space="preserve">(working code),</w:t>
      </w:r>
      <w:r>
        <w:t xml:space="preserve"> </w:t>
      </w:r>
      <w:r>
        <w:rPr>
          <w:rStyle w:val="VerbatimChar"/>
        </w:rPr>
        <w:t xml:space="preserve">documents/WP-KB-02</w:t>
      </w:r>
      <w:r>
        <w:t xml:space="preserve">,</w:t>
      </w:r>
      <w:r>
        <w:t xml:space="preserve"> </w:t>
      </w:r>
      <w:r>
        <w:rPr>
          <w:rStyle w:val="VerbatimChar"/>
        </w:rPr>
        <w:t xml:space="preserve">documents/WP-KB-03</w:t>
      </w:r>
      <w:r>
        <w:t xml:space="preserve">,</w:t>
      </w:r>
      <w:r>
        <w:t xml:space="preserve"> </w:t>
      </w:r>
      <w:r>
        <w:rPr>
          <w:rStyle w:val="VerbatimChar"/>
        </w:rPr>
        <w:t xml:space="preserve">documents/WP-KP-01</w:t>
      </w:r>
      <w:r>
        <w:t xml:space="preserve">,</w:t>
      </w:r>
      <w:r>
        <w:t xml:space="preserve"> </w:t>
      </w:r>
      <w:r>
        <w:rPr>
          <w:rStyle w:val="VerbatimChar"/>
        </w:rPr>
        <w:t xml:space="preserve">documents/WP-KD-01</w:t>
      </w:r>
      <w:r>
        <w:t xml:space="preserve">,</w:t>
      </w:r>
      <w:r>
        <w:t xml:space="preserve"> </w:t>
      </w:r>
      <w:r>
        <w:rPr>
          <w:rStyle w:val="VerbatimChar"/>
        </w:rPr>
        <w:t xml:space="preserve">documents/WP-KRA-01</w:t>
      </w:r>
      <w:r>
        <w:t xml:space="preserve">,</w:t>
      </w:r>
      <w:r>
        <w:t xml:space="preserve"> </w:t>
      </w:r>
      <w:r>
        <w:rPr>
          <w:rStyle w:val="VerbatimChar"/>
        </w:rPr>
        <w:t xml:space="preserve">documents/WP-KR-01</w:t>
      </w:r>
      <w:r>
        <w:t xml:space="preserve">,</w:t>
      </w:r>
      <w:r>
        <w:t xml:space="preserve"> </w:t>
      </w:r>
      <w:r>
        <w:rPr>
          <w:rStyle w:val="VerbatimChar"/>
        </w:rPr>
        <w:t xml:space="preserve">documents/WP-AIC-01</w:t>
      </w:r>
      <w:r>
        <w:t xml:space="preserve">,</w:t>
      </w:r>
      <w:r>
        <w:t xml:space="preserve"> </w:t>
      </w:r>
      <w:r>
        <w:rPr>
          <w:rStyle w:val="VerbatimChar"/>
        </w:rPr>
        <w:t xml:space="preserve">documents/Phase-2 Work Package/WP-P2-01/SIM_ARCHITECTURE.md</w:t>
      </w:r>
      <w:r>
        <w:t xml:space="preserve">,</w:t>
      </w:r>
      <w:r>
        <w:t xml:space="preserve"> </w:t>
      </w:r>
      <w:r>
        <w:rPr>
          <w:rStyle w:val="VerbatimChar"/>
        </w:rPr>
        <w:t xml:space="preserve">core/supabase/docs/architecture/student-academic-domain/EEP-01_Phase[A-J]*.md</w:t>
      </w:r>
      <w:r>
        <w:t xml:space="preserve">, and</w:t>
      </w:r>
      <w:r>
        <w:t xml:space="preserve"> </w:t>
      </w:r>
      <w:r>
        <w:rPr>
          <w:rStyle w:val="VerbatimChar"/>
        </w:rPr>
        <w:t xml:space="preserve">Career data/*.csv</w:t>
      </w:r>
      <w:r>
        <w:t xml:space="preserve"> </w:t>
      </w:r>
      <w:r>
        <w:t xml:space="preserve">reference datasets.</w:t>
      </w:r>
    </w:p>
    <w:bookmarkEnd w:id="26"/>
    <w:bookmarkStart w:id="27" w:name="strategic-constraints"/>
    <w:p>
      <w:pPr>
        <w:pStyle w:val="Heading3"/>
      </w:pPr>
      <w:r>
        <w:t xml:space="preserve">2.6 Strategic constraints</w:t>
      </w:r>
    </w:p>
    <w:p>
      <w:pPr>
        <w:pStyle w:val="FirstParagraph"/>
      </w:pPr>
      <w:r>
        <w:t xml:space="preserve">Knowledge and intelligence architecture must remain independent of databases, storage engines, APIs, AI providers, and infrastructure (per this program’s architecture principles); must not redefine EEP-01 technical decisions or EEP-02 Phase A–E business constructs; and must be scoped to the maturity the evidence supports rather than an aspirational large-enterprise knowledge-management function.</w:t>
      </w:r>
    </w:p>
    <w:p>
      <w:r>
        <w:pict>
          <v:rect style="width:0;height:1.5pt" o:hralign="center" o:hrstd="t" o:hr="t"/>
        </w:pict>
      </w:r>
    </w:p>
    <w:bookmarkEnd w:id="27"/>
    <w:bookmarkEnd w:id="28"/>
    <w:bookmarkStart w:id="29" w:name="enterprise-knowledge-principles"/>
    <w:p>
      <w:pPr>
        <w:pStyle w:val="Heading2"/>
      </w:pPr>
      <w:r>
        <w:t xml:space="preserve">3. Enterprise Knowledge Principles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Statement</w:t>
            </w:r>
          </w:p>
        </w:tc>
        <w:tc>
          <w:tcPr/>
          <w:p>
            <w:pPr>
              <w:pStyle w:val="Compact"/>
              <w:jc w:val="left"/>
            </w:pPr>
            <w:r>
              <w:t xml:space="preserve">Evidence</w:t>
            </w:r>
          </w:p>
        </w:tc>
      </w:tr>
      <w:tr>
        <w:tc>
          <w:tcPr/>
          <w:p>
            <w:pPr>
              <w:pStyle w:val="Compact"/>
              <w:jc w:val="left"/>
            </w:pPr>
            <w:r>
              <w:t xml:space="preserve">Knowledge ownership</w:t>
            </w:r>
          </w:p>
        </w:tc>
        <w:tc>
          <w:tcPr/>
          <w:p>
            <w:pPr>
              <w:pStyle w:val="Compact"/>
              <w:jc w:val="left"/>
            </w:pPr>
            <w:r>
              <w:t xml:space="preserve">Every knowledge domain has a named owning entity type and governance path, not an ungoverned free-for-all edit surface.</w:t>
            </w:r>
          </w:p>
        </w:tc>
        <w:tc>
          <w:tcPr/>
          <w:p>
            <w:pPr>
              <w:pStyle w:val="Compact"/>
              <w:jc w:val="left"/>
            </w:pPr>
            <w:r>
              <w:t xml:space="preserve">WP-KP-01 Master Data Governance; WP-KD-01 review-cycle ownership per entity type</w:t>
            </w:r>
          </w:p>
        </w:tc>
      </w:tr>
      <w:tr>
        <w:tc>
          <w:tcPr/>
          <w:p>
            <w:pPr>
              <w:pStyle w:val="Compact"/>
              <w:jc w:val="left"/>
            </w:pPr>
            <w:r>
              <w:t xml:space="preserve">Knowledge quality</w:t>
            </w:r>
          </w:p>
        </w:tc>
        <w:tc>
          <w:tcPr/>
          <w:p>
            <w:pPr>
              <w:pStyle w:val="Compact"/>
              <w:jc w:val="left"/>
            </w:pPr>
            <w:r>
              <w:t xml:space="preserve">Every entity is scored across a defined set of quality dimensions before it is trusted downstream.</w:t>
            </w:r>
          </w:p>
        </w:tc>
        <w:tc>
          <w:tcPr/>
          <w:p>
            <w:pPr>
              <w:pStyle w:val="Compact"/>
              <w:jc w:val="left"/>
            </w:pPr>
            <w:r>
              <w:t xml:space="preserve">WP-KD-01 10-dimension Quality Model</w:t>
            </w:r>
          </w:p>
        </w:tc>
      </w:tr>
      <w:tr>
        <w:tc>
          <w:tcPr/>
          <w:p>
            <w:pPr>
              <w:pStyle w:val="Compact"/>
              <w:jc w:val="left"/>
            </w:pPr>
            <w:r>
              <w:t xml:space="preserve">Knowledge lifecycle</w:t>
            </w:r>
          </w:p>
        </w:tc>
        <w:tc>
          <w:tcPr/>
          <w:p>
            <w:pPr>
              <w:pStyle w:val="Compact"/>
              <w:jc w:val="left"/>
            </w:pPr>
            <w:r>
              <w:t xml:space="preserve">Knowledge has a full life — need, acquisition, validation, curation, publication, versioning, consumption, retirement — not an implicit</w:t>
            </w:r>
            <w:r>
              <w:t xml:space="preserve"> </w:t>
            </w:r>
            <w:r>
              <w:t xml:space="preserve">“</w:t>
            </w:r>
            <w:r>
              <w:t xml:space="preserve">insert and forget</w:t>
            </w:r>
            <w:r>
              <w:t xml:space="preserve">”</w:t>
            </w:r>
            <w:r>
              <w:t xml:space="preserve"> </w:t>
            </w:r>
            <w:r>
              <w:t xml:space="preserve">model.</w:t>
            </w:r>
          </w:p>
        </w:tc>
        <w:tc>
          <w:tcPr/>
          <w:p>
            <w:pPr>
              <w:pStyle w:val="Compact"/>
              <w:jc w:val="left"/>
            </w:pPr>
            <w:r>
              <w:t xml:space="preserve">WP-KD-01 15-stage Knowledge Supply Chain; §6 below</w:t>
            </w:r>
          </w:p>
        </w:tc>
      </w:tr>
      <w:tr>
        <w:tc>
          <w:tcPr/>
          <w:p>
            <w:pPr>
              <w:pStyle w:val="Compact"/>
              <w:jc w:val="left"/>
            </w:pPr>
            <w:r>
              <w:t xml:space="preserve">Knowledge reuse</w:t>
            </w:r>
          </w:p>
        </w:tc>
        <w:tc>
          <w:tcPr/>
          <w:p>
            <w:pPr>
              <w:pStyle w:val="Compact"/>
              <w:jc w:val="left"/>
            </w:pPr>
            <w:r>
              <w:t xml:space="preserve">One canonical entity, reused by every consuming engine, replaces per-engine private copies of the same fact.</w:t>
            </w:r>
          </w:p>
        </w:tc>
        <w:tc>
          <w:tcPr/>
          <w:p>
            <w:pPr>
              <w:pStyle w:val="Compact"/>
              <w:jc w:val="left"/>
            </w:pPr>
            <w:r>
              <w:t xml:space="preserve">WP-KP-01</w:t>
            </w:r>
            <w:r>
              <w:t xml:space="preserve"> </w:t>
            </w:r>
            <w:r>
              <w:t xml:space="preserve">“</w:t>
            </w:r>
            <w:r>
              <w:t xml:space="preserve">no engine contains hardcoded entity data</w:t>
            </w:r>
            <w:r>
              <w:t xml:space="preserve">”</w:t>
            </w:r>
            <w:r>
              <w:t xml:space="preserve"> </w:t>
            </w:r>
            <w:r>
              <w:t xml:space="preserve">target (Wave 6)</w:t>
            </w:r>
          </w:p>
        </w:tc>
      </w:tr>
      <w:tr>
        <w:tc>
          <w:tcPr/>
          <w:p>
            <w:pPr>
              <w:pStyle w:val="Compact"/>
              <w:jc w:val="left"/>
            </w:pPr>
            <w:r>
              <w:t xml:space="preserve">Canonical knowledge</w:t>
            </w:r>
          </w:p>
        </w:tc>
        <w:tc>
          <w:tcPr/>
          <w:p>
            <w:pPr>
              <w:pStyle w:val="Compact"/>
              <w:jc w:val="left"/>
            </w:pPr>
            <w:r>
              <w:t xml:space="preserve">Every entity carries a stable canonical ID; versions coexist rather than overwrite.</w:t>
            </w:r>
          </w:p>
        </w:tc>
        <w:tc>
          <w:tcPr/>
          <w:p>
            <w:pPr>
              <w:pStyle w:val="Compact"/>
              <w:jc w:val="left"/>
            </w:pPr>
            <w:r>
              <w:t xml:space="preserve">WP-KP-01 Canonical Entity Model —</w:t>
            </w:r>
            <w:r>
              <w:t xml:space="preserve"> </w:t>
            </w:r>
            <w:r>
              <w:rPr>
                <w:rStyle w:val="VerbatimChar"/>
              </w:rPr>
              <w:t xml:space="preserve">subject.physics.v1</w:t>
            </w:r>
          </w:p>
        </w:tc>
      </w:tr>
      <w:tr>
        <w:tc>
          <w:tcPr/>
          <w:p>
            <w:pPr>
              <w:pStyle w:val="Compact"/>
              <w:jc w:val="left"/>
            </w:pPr>
            <w:r>
              <w:t xml:space="preserve">Knowledge governance</w:t>
            </w:r>
          </w:p>
        </w:tc>
        <w:tc>
          <w:tcPr/>
          <w:p>
            <w:pPr>
              <w:pStyle w:val="Compact"/>
              <w:jc w:val="left"/>
            </w:pPr>
            <w:r>
              <w:t xml:space="preserve">AI may propose; only a governed human/process step may publish.</w:t>
            </w:r>
          </w:p>
        </w:tc>
        <w:tc>
          <w:tcPr/>
          <w:p>
            <w:pPr>
              <w:pStyle w:val="Compact"/>
              <w:jc w:val="left"/>
            </w:pPr>
            <w:r>
              <w:t xml:space="preserve">WP-KD-01 —</w:t>
            </w:r>
            <w:r>
              <w:t xml:space="preserve"> </w:t>
            </w:r>
            <w:r>
              <w:t xml:space="preserve">“</w:t>
            </w:r>
            <w:r>
              <w:t xml:space="preserve">AI assists. Humans decide.</w:t>
            </w:r>
            <w:r>
              <w:t xml:space="preserve">”</w:t>
            </w:r>
          </w:p>
        </w:tc>
      </w:tr>
      <w:tr>
        <w:tc>
          <w:tcPr/>
          <w:p>
            <w:pPr>
              <w:pStyle w:val="Compact"/>
              <w:jc w:val="left"/>
            </w:pPr>
            <w:r>
              <w:t xml:space="preserve">Knowledge trust</w:t>
            </w:r>
          </w:p>
        </w:tc>
        <w:tc>
          <w:tcPr/>
          <w:p>
            <w:pPr>
              <w:pStyle w:val="Compact"/>
              <w:jc w:val="left"/>
            </w:pPr>
            <w:r>
              <w:t xml:space="preserve">Trust is a computed, visible property (source authority, verifier, confidence), not an assumption.</w:t>
            </w:r>
          </w:p>
        </w:tc>
        <w:tc>
          <w:tcPr/>
          <w:p>
            <w:pPr>
              <w:pStyle w:val="Compact"/>
              <w:jc w:val="left"/>
            </w:pPr>
            <w:r>
              <w:t xml:space="preserve">WP-KD-01 Provenance Model; source-intelligence</w:t>
            </w:r>
            <w:r>
              <w:t xml:space="preserve"> </w:t>
            </w:r>
            <w:r>
              <w:rPr>
                <w:rStyle w:val="VerbatimChar"/>
              </w:rPr>
              <w:t xml:space="preserve">sourceTrust.service.js</w:t>
            </w:r>
          </w:p>
        </w:tc>
      </w:tr>
      <w:tr>
        <w:tc>
          <w:tcPr/>
          <w:p>
            <w:pPr>
              <w:pStyle w:val="Compact"/>
              <w:jc w:val="left"/>
            </w:pPr>
            <w:r>
              <w:t xml:space="preserve">Knowledge stewardship</w:t>
            </w:r>
          </w:p>
        </w:tc>
        <w:tc>
          <w:tcPr/>
          <w:p>
            <w:pPr>
              <w:pStyle w:val="Compact"/>
              <w:jc w:val="left"/>
            </w:pPr>
            <w:r>
              <w:t xml:space="preserve">Domain-level stewardship is scoped to the entity types a steward can reasonably own, not a single central bottleneck.</w:t>
            </w:r>
          </w:p>
        </w:tc>
        <w:tc>
          <w:tcPr/>
          <w:p>
            <w:pPr>
              <w:pStyle w:val="Compact"/>
              <w:jc w:val="left"/>
            </w:pPr>
            <w:r>
              <w:t xml:space="preserve">WP-KD-01 Domain Knowledge Officer model</w:t>
            </w:r>
          </w:p>
        </w:tc>
      </w:tr>
      <w:tr>
        <w:tc>
          <w:tcPr/>
          <w:p>
            <w:pPr>
              <w:pStyle w:val="Compact"/>
              <w:jc w:val="left"/>
            </w:pPr>
            <w:r>
              <w:t xml:space="preserve">Knowledge evolution</w:t>
            </w:r>
          </w:p>
        </w:tc>
        <w:tc>
          <w:tcPr/>
          <w:p>
            <w:pPr>
              <w:pStyle w:val="Compact"/>
              <w:jc w:val="left"/>
            </w:pPr>
            <w:r>
              <w:t xml:space="preserve">Knowledge changes are classified by blast radius (PATCH / MINOR / BREAKING) with proportionate governance and migration windows.</w:t>
            </w:r>
          </w:p>
        </w:tc>
        <w:tc>
          <w:tcPr/>
          <w:p>
            <w:pPr>
              <w:pStyle w:val="Compact"/>
              <w:jc w:val="left"/>
            </w:pPr>
            <w:r>
              <w:t xml:space="preserve">WP-KD-01 Change Management</w:t>
            </w:r>
          </w:p>
        </w:tc>
      </w:tr>
    </w:tbl>
    <w:p>
      <w:r>
        <w:pict>
          <v:rect style="width:0;height:1.5pt" o:hralign="center" o:hrstd="t" o:hr="t"/>
        </w:pict>
      </w:r>
    </w:p>
    <w:bookmarkEnd w:id="29"/>
    <w:bookmarkStart w:id="30" w:name="enterprise-knowledge-landscape"/>
    <w:p>
      <w:pPr>
        <w:pStyle w:val="Heading2"/>
      </w:pPr>
      <w:r>
        <w:t xml:space="preserve">4. Enterprise Knowledge Landscape</w:t>
      </w:r>
    </w:p>
    <w:p>
      <w:pPr>
        <w:pStyle w:val="FirstParagraph"/>
      </w:pPr>
      <w:r>
        <w:t xml:space="preserve">Validated against repository evidence; assets not evidenced in the repository are excluded rather than invented.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Knowledge Asset</w:t>
            </w:r>
          </w:p>
        </w:tc>
        <w:tc>
          <w:tcPr/>
          <w:p>
            <w:pPr>
              <w:pStyle w:val="Compact"/>
              <w:jc w:val="left"/>
            </w:pPr>
            <w:r>
              <w:t xml:space="preserve">State</w:t>
            </w:r>
          </w:p>
        </w:tc>
        <w:tc>
          <w:tcPr/>
          <w:p>
            <w:pPr>
              <w:pStyle w:val="Compact"/>
              <w:jc w:val="left"/>
            </w:pPr>
            <w:r>
              <w:t xml:space="preserve">Primary Evidence</w:t>
            </w:r>
          </w:p>
        </w:tc>
      </w:tr>
      <w:tr>
        <w:tc>
          <w:tcPr/>
          <w:p>
            <w:pPr>
              <w:pStyle w:val="Compact"/>
              <w:jc w:val="left"/>
            </w:pPr>
            <w:r>
              <w:t xml:space="preserve">Academic Knowledge (subjects, streams, boards, entrance exams, programmes)</w:t>
            </w:r>
          </w:p>
        </w:tc>
        <w:tc>
          <w:tcPr/>
          <w:p>
            <w:pPr>
              <w:pStyle w:val="Compact"/>
              <w:jc w:val="left"/>
            </w:pPr>
            <w:r>
              <w:rPr>
                <w:bCs/>
                <w:b/>
              </w:rPr>
              <w:t xml:space="preserve">Current</w:t>
            </w:r>
          </w:p>
        </w:tc>
        <w:tc>
          <w:tcPr/>
          <w:p>
            <w:pPr>
              <w:pStyle w:val="Compact"/>
              <w:jc w:val="left"/>
            </w:pPr>
            <w:r>
              <w:t xml:space="preserve">WP-KB-02 EDF;</w:t>
            </w:r>
            <w:r>
              <w:t xml:space="preserve"> </w:t>
            </w:r>
            <w:r>
              <w:rPr>
                <w:rStyle w:val="VerbatimChar"/>
              </w:rPr>
              <w:t xml:space="preserve">education-intelligence</w:t>
            </w:r>
            <w:r>
              <w:t xml:space="preserve"> </w:t>
            </w:r>
            <w:r>
              <w:t xml:space="preserve">module</w:t>
            </w:r>
          </w:p>
        </w:tc>
      </w:tr>
      <w:tr>
        <w:tc>
          <w:tcPr/>
          <w:p>
            <w:pPr>
              <w:pStyle w:val="Compact"/>
              <w:jc w:val="left"/>
            </w:pPr>
            <w:r>
              <w:t xml:space="preserve">Career Knowledge (occupations, career clusters, pathways)</w:t>
            </w:r>
          </w:p>
        </w:tc>
        <w:tc>
          <w:tcPr/>
          <w:p>
            <w:pPr>
              <w:pStyle w:val="Compact"/>
              <w:jc w:val="left"/>
            </w:pPr>
            <w:r>
              <w:rPr>
                <w:bCs/>
                <w:b/>
              </w:rPr>
              <w:t xml:space="preserve">Current</w:t>
            </w:r>
          </w:p>
        </w:tc>
        <w:tc>
          <w:tcPr/>
          <w:p>
            <w:pPr>
              <w:pStyle w:val="Compact"/>
              <w:jc w:val="left"/>
            </w:pPr>
            <w:r>
              <w:t xml:space="preserve">WP-KP-01 Career Ontology;</w:t>
            </w:r>
            <w:r>
              <w:t xml:space="preserve"> </w:t>
            </w:r>
            <w:r>
              <w:rPr>
                <w:rStyle w:val="VerbatimChar"/>
              </w:rPr>
              <w:t xml:space="preserve">careerGraph</w:t>
            </w:r>
            <w:r>
              <w:t xml:space="preserve"> </w:t>
            </w:r>
            <w:r>
              <w:t xml:space="preserve">module</w:t>
            </w:r>
          </w:p>
        </w:tc>
      </w:tr>
      <w:tr>
        <w:tc>
          <w:tcPr/>
          <w:p>
            <w:pPr>
              <w:pStyle w:val="Compact"/>
              <w:jc w:val="left"/>
            </w:pPr>
            <w:r>
              <w:t xml:space="preserve">Skill Knowledge (skills, competencies, skill clusters)</w:t>
            </w:r>
          </w:p>
        </w:tc>
        <w:tc>
          <w:tcPr/>
          <w:p>
            <w:pPr>
              <w:pStyle w:val="Compact"/>
              <w:jc w:val="left"/>
            </w:pPr>
            <w:r>
              <w:rPr>
                <w:bCs/>
                <w:b/>
              </w:rPr>
              <w:t xml:space="preserve">Current</w:t>
            </w:r>
          </w:p>
        </w:tc>
        <w:tc>
          <w:tcPr/>
          <w:p>
            <w:pPr>
              <w:pStyle w:val="Compact"/>
              <w:jc w:val="left"/>
            </w:pPr>
            <w:r>
              <w:rPr>
                <w:rStyle w:val="VerbatimChar"/>
              </w:rPr>
              <w:t xml:space="preserve">skillGraph</w:t>
            </w:r>
            <w:r>
              <w:t xml:space="preserve">,</w:t>
            </w:r>
            <w:r>
              <w:t xml:space="preserve"> </w:t>
            </w:r>
            <w:r>
              <w:rPr>
                <w:rStyle w:val="VerbatimChar"/>
              </w:rPr>
              <w:t xml:space="preserve">skillDemand</w:t>
            </w:r>
            <w:r>
              <w:t xml:space="preserve">,</w:t>
            </w:r>
            <w:r>
              <w:t xml:space="preserve"> </w:t>
            </w:r>
            <w:r>
              <w:rPr>
                <w:rStyle w:val="VerbatimChar"/>
              </w:rPr>
              <w:t xml:space="preserve">skill-evolution</w:t>
            </w:r>
            <w:r>
              <w:t xml:space="preserve">;</w:t>
            </w:r>
            <w:r>
              <w:t xml:space="preserve"> </w:t>
            </w:r>
            <w:r>
              <w:rPr>
                <w:rStyle w:val="VerbatimChar"/>
              </w:rPr>
              <w:t xml:space="preserve">Career data/template_skills.csv</w:t>
            </w:r>
          </w:p>
        </w:tc>
      </w:tr>
      <w:tr>
        <w:tc>
          <w:tcPr/>
          <w:p>
            <w:pPr>
              <w:pStyle w:val="Compact"/>
              <w:jc w:val="left"/>
            </w:pPr>
            <w:r>
              <w:t xml:space="preserve">Labor Market Knowledge (job families, roles, demand signals)</w:t>
            </w:r>
          </w:p>
        </w:tc>
        <w:tc>
          <w:tcPr/>
          <w:p>
            <w:pPr>
              <w:pStyle w:val="Compact"/>
              <w:jc w:val="left"/>
            </w:pPr>
            <w:r>
              <w:rPr>
                <w:bCs/>
                <w:b/>
              </w:rPr>
              <w:t xml:space="preserve">Current</w:t>
            </w:r>
          </w:p>
        </w:tc>
        <w:tc>
          <w:tcPr/>
          <w:p>
            <w:pPr>
              <w:pStyle w:val="Compact"/>
              <w:jc w:val="left"/>
            </w:pPr>
            <w:r>
              <w:rPr>
                <w:rStyle w:val="VerbatimChar"/>
              </w:rPr>
              <w:t xml:space="preserve">labor-market-intelligence</w:t>
            </w:r>
            <w:r>
              <w:t xml:space="preserve"> </w:t>
            </w:r>
            <w:r>
              <w:t xml:space="preserve">module;</w:t>
            </w:r>
            <w:r>
              <w:t xml:space="preserve"> </w:t>
            </w:r>
            <w:r>
              <w:rPr>
                <w:rStyle w:val="VerbatimChar"/>
              </w:rPr>
              <w:t xml:space="preserve">Career data/template_job_families.csv</w:t>
            </w:r>
          </w:p>
        </w:tc>
      </w:tr>
      <w:tr>
        <w:tc>
          <w:tcPr/>
          <w:p>
            <w:pPr>
              <w:pStyle w:val="Compact"/>
              <w:jc w:val="left"/>
            </w:pPr>
            <w:r>
              <w:t xml:space="preserve">Salary Knowledge</w:t>
            </w:r>
          </w:p>
        </w:tc>
        <w:tc>
          <w:tcPr/>
          <w:p>
            <w:pPr>
              <w:pStyle w:val="Compact"/>
              <w:jc w:val="left"/>
            </w:pPr>
            <w:r>
              <w:rPr>
                <w:bCs/>
                <w:b/>
              </w:rPr>
              <w:t xml:space="preserve">Current</w:t>
            </w:r>
          </w:p>
        </w:tc>
        <w:tc>
          <w:tcPr/>
          <w:p>
            <w:pPr>
              <w:pStyle w:val="Compact"/>
              <w:jc w:val="left"/>
            </w:pPr>
            <w:r>
              <w:rPr>
                <w:rStyle w:val="VerbatimChar"/>
              </w:rPr>
              <w:t xml:space="preserve">salary</w:t>
            </w:r>
            <w:r>
              <w:t xml:space="preserve">,</w:t>
            </w:r>
            <w:r>
              <w:t xml:space="preserve"> </w:t>
            </w:r>
            <w:r>
              <w:rPr>
                <w:rStyle w:val="VerbatimChar"/>
              </w:rPr>
              <w:t xml:space="preserve">salaryImport</w:t>
            </w:r>
            <w:r>
              <w:t xml:space="preserve">;</w:t>
            </w:r>
            <w:r>
              <w:t xml:space="preserve"> </w:t>
            </w:r>
            <w:r>
              <w:rPr>
                <w:rStyle w:val="VerbatimChar"/>
              </w:rPr>
              <w:t xml:space="preserve">Career data/salary-benchmarks*.csv</w:t>
            </w:r>
          </w:p>
        </w:tc>
      </w:tr>
      <w:tr>
        <w:tc>
          <w:tcPr/>
          <w:p>
            <w:pPr>
              <w:pStyle w:val="Compact"/>
              <w:jc w:val="left"/>
            </w:pPr>
            <w:r>
              <w:t xml:space="preserve">Employer Knowledge</w:t>
            </w:r>
          </w:p>
        </w:tc>
        <w:tc>
          <w:tcPr/>
          <w:p>
            <w:pPr>
              <w:pStyle w:val="Compact"/>
              <w:jc w:val="left"/>
            </w:pPr>
            <w:r>
              <w:rPr>
                <w:bCs/>
                <w:b/>
              </w:rPr>
              <w:t xml:space="preserve">Current (partial)</w:t>
            </w:r>
          </w:p>
        </w:tc>
        <w:tc>
          <w:tcPr/>
          <w:p>
            <w:pPr>
              <w:pStyle w:val="Compact"/>
              <w:jc w:val="left"/>
            </w:pPr>
            <w:r>
              <w:rPr>
                <w:rStyle w:val="VerbatimChar"/>
              </w:rPr>
              <w:t xml:space="preserve">employer</w:t>
            </w:r>
            <w:r>
              <w:t xml:space="preserve"> </w:t>
            </w:r>
            <w:r>
              <w:t xml:space="preserve">module — company-level entities; not yet unified with the knowledge ontology’s Employer domain</w:t>
            </w:r>
          </w:p>
        </w:tc>
      </w:tr>
      <w:tr>
        <w:tc>
          <w:tcPr/>
          <w:p>
            <w:pPr>
              <w:pStyle w:val="Compact"/>
              <w:jc w:val="left"/>
            </w:pPr>
            <w:r>
              <w:t xml:space="preserve">Resume Knowledge</w:t>
            </w:r>
          </w:p>
        </w:tc>
        <w:tc>
          <w:tcPr/>
          <w:p>
            <w:pPr>
              <w:pStyle w:val="Compact"/>
              <w:jc w:val="left"/>
            </w:pPr>
            <w:r>
              <w:rPr>
                <w:bCs/>
                <w:b/>
              </w:rPr>
              <w:t xml:space="preserve">Current</w:t>
            </w:r>
          </w:p>
        </w:tc>
        <w:tc>
          <w:tcPr/>
          <w:p>
            <w:pPr>
              <w:pStyle w:val="Compact"/>
              <w:jc w:val="left"/>
            </w:pPr>
            <w:r>
              <w:rPr>
                <w:rStyle w:val="VerbatimChar"/>
              </w:rPr>
              <w:t xml:space="preserve">resume</w:t>
            </w:r>
            <w:r>
              <w:t xml:space="preserve">,</w:t>
            </w:r>
            <w:r>
              <w:t xml:space="preserve"> </w:t>
            </w:r>
            <w:r>
              <w:rPr>
                <w:rStyle w:val="VerbatimChar"/>
              </w:rPr>
              <w:t xml:space="preserve">resumeGrowth</w:t>
            </w:r>
            <w:r>
              <w:t xml:space="preserve"> </w:t>
            </w:r>
            <w:r>
              <w:t xml:space="preserve">modules</w:t>
            </w:r>
          </w:p>
        </w:tc>
      </w:tr>
      <w:tr>
        <w:tc>
          <w:tcPr/>
          <w:p>
            <w:pPr>
              <w:pStyle w:val="Compact"/>
              <w:jc w:val="left"/>
            </w:pPr>
            <w:r>
              <w:t xml:space="preserve">Student / Learner Knowledge</w:t>
            </w:r>
          </w:p>
        </w:tc>
        <w:tc>
          <w:tcPr/>
          <w:p>
            <w:pPr>
              <w:pStyle w:val="Compact"/>
              <w:jc w:val="left"/>
            </w:pPr>
            <w:r>
              <w:rPr>
                <w:bCs/>
                <w:b/>
              </w:rPr>
              <w:t xml:space="preserve">Current</w:t>
            </w:r>
          </w:p>
        </w:tc>
        <w:tc>
          <w:tcPr/>
          <w:p>
            <w:pPr>
              <w:pStyle w:val="Compact"/>
              <w:jc w:val="left"/>
            </w:pPr>
            <w:r>
              <w:t xml:space="preserve">WP-KB-03 SIM (Student Intelligence Model);</w:t>
            </w:r>
            <w:r>
              <w:t xml:space="preserve"> </w:t>
            </w:r>
            <w:r>
              <w:rPr>
                <w:rStyle w:val="VerbatimChar"/>
              </w:rPr>
              <w:t xml:space="preserve">student-onboarding</w:t>
            </w:r>
            <w:r>
              <w:t xml:space="preserve">,</w:t>
            </w:r>
            <w:r>
              <w:t xml:space="preserve"> </w:t>
            </w:r>
            <w:r>
              <w:rPr>
                <w:rStyle w:val="VerbatimChar"/>
              </w:rPr>
              <w:t xml:space="preserve">onboarding</w:t>
            </w:r>
            <w:r>
              <w:t xml:space="preserve"> </w:t>
            </w:r>
            <w:r>
              <w:t xml:space="preserve">modules</w:t>
            </w:r>
          </w:p>
        </w:tc>
      </w:tr>
      <w:tr>
        <w:tc>
          <w:tcPr/>
          <w:p>
            <w:pPr>
              <w:pStyle w:val="Compact"/>
              <w:jc w:val="left"/>
            </w:pPr>
            <w:r>
              <w:t xml:space="preserve">Recommendation Knowledge (rationale, traversal chains, confidence)</w:t>
            </w:r>
          </w:p>
        </w:tc>
        <w:tc>
          <w:tcPr/>
          <w:p>
            <w:pPr>
              <w:pStyle w:val="Compact"/>
              <w:jc w:val="left"/>
            </w:pPr>
            <w:r>
              <w:rPr>
                <w:bCs/>
                <w:b/>
              </w:rPr>
              <w:t xml:space="preserve">Current (design-complete, partially operational)</w:t>
            </w:r>
          </w:p>
        </w:tc>
        <w:tc>
          <w:tcPr/>
          <w:p>
            <w:pPr>
              <w:pStyle w:val="Compact"/>
              <w:jc w:val="left"/>
            </w:pPr>
            <w:r>
              <w:t xml:space="preserve">WP-KRA-01;</w:t>
            </w:r>
            <w:r>
              <w:t xml:space="preserve"> </w:t>
            </w:r>
            <w:r>
              <w:rPr>
                <w:rStyle w:val="VerbatimChar"/>
              </w:rPr>
              <w:t xml:space="preserve">knowledge-runtime/decision</w:t>
            </w:r>
          </w:p>
        </w:tc>
      </w:tr>
      <w:tr>
        <w:tc>
          <w:tcPr/>
          <w:p>
            <w:pPr>
              <w:pStyle w:val="Compact"/>
              <w:jc w:val="left"/>
            </w:pPr>
            <w:r>
              <w:t xml:space="preserve">Behavioral Knowledge (activity, engagement signals)</w:t>
            </w:r>
          </w:p>
        </w:tc>
        <w:tc>
          <w:tcPr/>
          <w:p>
            <w:pPr>
              <w:pStyle w:val="Compact"/>
              <w:jc w:val="left"/>
            </w:pPr>
            <w:r>
              <w:rPr>
                <w:bCs/>
                <w:b/>
              </w:rPr>
              <w:t xml:space="preserve">Current</w:t>
            </w:r>
          </w:p>
        </w:tc>
        <w:tc>
          <w:tcPr/>
          <w:p>
            <w:pPr>
              <w:pStyle w:val="Compact"/>
              <w:jc w:val="left"/>
            </w:pPr>
            <w:r>
              <w:rPr>
                <w:rStyle w:val="VerbatimChar"/>
              </w:rPr>
              <w:t xml:space="preserve">daily-engagement</w:t>
            </w:r>
            <w:r>
              <w:t xml:space="preserve">,</w:t>
            </w:r>
            <w:r>
              <w:t xml:space="preserve"> </w:t>
            </w:r>
            <w:r>
              <w:rPr>
                <w:rStyle w:val="VerbatimChar"/>
              </w:rPr>
              <w:t xml:space="preserve">userActivity</w:t>
            </w:r>
            <w:r>
              <w:t xml:space="preserve">,</w:t>
            </w:r>
            <w:r>
              <w:t xml:space="preserve"> </w:t>
            </w:r>
            <w:r>
              <w:rPr>
                <w:rStyle w:val="VerbatimChar"/>
              </w:rPr>
              <w:t xml:space="preserve">activityAnalyzer.engine.js</w:t>
            </w:r>
          </w:p>
        </w:tc>
      </w:tr>
      <w:tr>
        <w:tc>
          <w:tcPr/>
          <w:p>
            <w:pPr>
              <w:pStyle w:val="Compact"/>
              <w:jc w:val="left"/>
            </w:pPr>
            <w:r>
              <w:t xml:space="preserve">Assessment Knowledge (aptitude, cognitive profile)</w:t>
            </w:r>
          </w:p>
        </w:tc>
        <w:tc>
          <w:tcPr/>
          <w:p>
            <w:pPr>
              <w:pStyle w:val="Compact"/>
              <w:jc w:val="left"/>
            </w:pPr>
            <w:r>
              <w:rPr>
                <w:bCs/>
                <w:b/>
              </w:rPr>
              <w:t xml:space="preserve">Current</w:t>
            </w:r>
          </w:p>
        </w:tc>
        <w:tc>
          <w:tcPr/>
          <w:p>
            <w:pPr>
              <w:pStyle w:val="Compact"/>
              <w:jc w:val="left"/>
            </w:pPr>
            <w:r>
              <w:t xml:space="preserve">WP-KB-03</w:t>
            </w:r>
            <w:r>
              <w:t xml:space="preserve"> </w:t>
            </w:r>
            <w:r>
              <w:rPr>
                <w:rStyle w:val="VerbatimChar"/>
              </w:rPr>
              <w:t xml:space="preserve">APTITUDE_REFERENCE_MODEL.md</w:t>
            </w:r>
            <w:r>
              <w:t xml:space="preserve">;</w:t>
            </w:r>
            <w:r>
              <w:t xml:space="preserve"> </w:t>
            </w:r>
            <w:r>
              <w:rPr>
                <w:rStyle w:val="VerbatimChar"/>
              </w:rPr>
              <w:t xml:space="preserve">cognitiveProfile.engine.js</w:t>
            </w:r>
          </w:p>
        </w:tc>
      </w:tr>
      <w:tr>
        <w:tc>
          <w:tcPr/>
          <w:p>
            <w:pPr>
              <w:pStyle w:val="Compact"/>
              <w:jc w:val="left"/>
            </w:pPr>
            <w:r>
              <w:t xml:space="preserve">Source Knowledge (external source registry, trust, health)</w:t>
            </w:r>
          </w:p>
        </w:tc>
        <w:tc>
          <w:tcPr/>
          <w:p>
            <w:pPr>
              <w:pStyle w:val="Compact"/>
              <w:jc w:val="left"/>
            </w:pPr>
            <w:r>
              <w:rPr>
                <w:bCs/>
                <w:b/>
              </w:rPr>
              <w:t xml:space="preserve">Current</w:t>
            </w:r>
          </w:p>
        </w:tc>
        <w:tc>
          <w:tcPr/>
          <w:p>
            <w:pPr>
              <w:pStyle w:val="Compact"/>
              <w:jc w:val="left"/>
            </w:pPr>
            <w:r>
              <w:rPr>
                <w:rStyle w:val="VerbatimChar"/>
              </w:rPr>
              <w:t xml:space="preserve">source-intelligence</w:t>
            </w:r>
            <w:r>
              <w:t xml:space="preserve"> </w:t>
            </w:r>
            <w:r>
              <w:t xml:space="preserve">module (SIM per WP-P2-01)</w:t>
            </w:r>
          </w:p>
        </w:tc>
      </w:tr>
      <w:tr>
        <w:tc>
          <w:tcPr/>
          <w:p>
            <w:pPr>
              <w:pStyle w:val="Compact"/>
              <w:jc w:val="left"/>
            </w:pPr>
            <w:r>
              <w:t xml:space="preserve">Learning Knowledge</w:t>
            </w:r>
          </w:p>
        </w:tc>
        <w:tc>
          <w:tcPr/>
          <w:p>
            <w:pPr>
              <w:pStyle w:val="Compact"/>
              <w:jc w:val="left"/>
            </w:pPr>
            <w:r>
              <w:rPr>
                <w:bCs/>
                <w:b/>
              </w:rPr>
              <w:t xml:space="preserve">Current (partial)</w:t>
            </w:r>
          </w:p>
        </w:tc>
        <w:tc>
          <w:tcPr/>
          <w:p>
            <w:pPr>
              <w:pStyle w:val="Compact"/>
              <w:jc w:val="left"/>
            </w:pPr>
            <w:r>
              <w:t xml:space="preserve">WP-KB-03</w:t>
            </w:r>
            <w:r>
              <w:t xml:space="preserve"> </w:t>
            </w:r>
            <w:r>
              <w:rPr>
                <w:rStyle w:val="VerbatimChar"/>
              </w:rPr>
              <w:t xml:space="preserve">LEARNING_INTELLIGENCE_FRAMEWORK.md</w:t>
            </w:r>
            <w:r>
              <w:t xml:space="preserve">; not yet a distinct runtime module</w:t>
            </w:r>
          </w:p>
        </w:tc>
      </w:tr>
      <w:tr>
        <w:tc>
          <w:tcPr/>
          <w:p>
            <w:pPr>
              <w:pStyle w:val="Compact"/>
              <w:jc w:val="left"/>
            </w:pPr>
            <w:r>
              <w:t xml:space="preserve">Career Outcome Knowledge</w:t>
            </w:r>
          </w:p>
        </w:tc>
        <w:tc>
          <w:tcPr/>
          <w:p>
            <w:pPr>
              <w:pStyle w:val="Compact"/>
              <w:jc w:val="left"/>
            </w:pPr>
            <w:r>
              <w:rPr>
                <w:bCs/>
                <w:b/>
              </w:rPr>
              <w:t xml:space="preserve">Target</w:t>
            </w:r>
          </w:p>
        </w:tc>
        <w:tc>
          <w:tcPr/>
          <w:p>
            <w:pPr>
              <w:pStyle w:val="Compact"/>
              <w:jc w:val="left"/>
            </w:pPr>
            <w:r>
              <w:t xml:space="preserve">Named in EEP-01 Phase C Part 9 as a future longitudinal capability; no operating module today</w:t>
            </w:r>
          </w:p>
        </w:tc>
      </w:tr>
      <w:tr>
        <w:tc>
          <w:tcPr/>
          <w:p>
            <w:pPr>
              <w:pStyle w:val="Compact"/>
              <w:jc w:val="left"/>
            </w:pPr>
            <w:r>
              <w:t xml:space="preserve">Partner Knowledge</w:t>
            </w:r>
          </w:p>
        </w:tc>
        <w:tc>
          <w:tcPr/>
          <w:p>
            <w:pPr>
              <w:pStyle w:val="Compact"/>
              <w:jc w:val="left"/>
            </w:pPr>
            <w:r>
              <w:rPr>
                <w:bCs/>
                <w:b/>
              </w:rPr>
              <w:t xml:space="preserve">Target</w:t>
            </w:r>
          </w:p>
        </w:tc>
        <w:tc>
          <w:tcPr/>
          <w:p>
            <w:pPr>
              <w:pStyle w:val="Compact"/>
              <w:jc w:val="left"/>
            </w:pPr>
            <w:r>
              <w:t xml:space="preserve">No repository evidence of an operating partner-knowledge domain; referenced only as a future ecosystem concern in this program’s framing</w:t>
            </w:r>
          </w:p>
        </w:tc>
      </w:tr>
      <w:tr>
        <w:tc>
          <w:tcPr/>
          <w:p>
            <w:pPr>
              <w:pStyle w:val="Compact"/>
              <w:jc w:val="left"/>
            </w:pPr>
            <w:r>
              <w:t xml:space="preserve">Platform Knowledge (platform-level intelligence signals)</w:t>
            </w:r>
          </w:p>
        </w:tc>
        <w:tc>
          <w:tcPr/>
          <w:p>
            <w:pPr>
              <w:pStyle w:val="Compact"/>
              <w:jc w:val="left"/>
            </w:pPr>
            <w:r>
              <w:rPr>
                <w:bCs/>
                <w:b/>
              </w:rPr>
              <w:t xml:space="preserve">Current</w:t>
            </w:r>
          </w:p>
        </w:tc>
        <w:tc>
          <w:tcPr/>
          <w:p>
            <w:pPr>
              <w:pStyle w:val="Compact"/>
              <w:jc w:val="left"/>
            </w:pPr>
            <w:r>
              <w:rPr>
                <w:rStyle w:val="VerbatimChar"/>
              </w:rPr>
              <w:t xml:space="preserve">platform-intelligence</w:t>
            </w:r>
            <w:r>
              <w:t xml:space="preserve"> </w:t>
            </w:r>
            <w:r>
              <w:t xml:space="preserve">module</w:t>
            </w:r>
          </w:p>
        </w:tc>
      </w:tr>
      <w:tr>
        <w:tc>
          <w:tcPr/>
          <w:p>
            <w:pPr>
              <w:pStyle w:val="Compact"/>
              <w:jc w:val="left"/>
            </w:pPr>
            <w:r>
              <w:t xml:space="preserve">Future Knowledge Assets</w:t>
            </w:r>
          </w:p>
        </w:tc>
        <w:tc>
          <w:tcPr/>
          <w:p>
            <w:pPr>
              <w:pStyle w:val="Compact"/>
              <w:jc w:val="left"/>
            </w:pPr>
            <w:r>
              <w:rPr>
                <w:bCs/>
                <w:b/>
              </w:rPr>
              <w:t xml:space="preserve">Target</w:t>
            </w:r>
          </w:p>
        </w:tc>
        <w:tc>
          <w:tcPr/>
          <w:p>
            <w:pPr>
              <w:pStyle w:val="Compact"/>
              <w:jc w:val="left"/>
            </w:pPr>
            <w:r>
              <w:t xml:space="preserve">International-market academic/career knowledge (WP-KP-01 Wave 9); new domains added as governed extensions, not ad hoc additions</w:t>
            </w:r>
          </w:p>
        </w:tc>
      </w:tr>
    </w:tbl>
    <w:p>
      <w:r>
        <w:pict>
          <v:rect style="width:0;height:1.5pt" o:hralign="center" o:hrstd="t" o:hr="t"/>
        </w:pict>
      </w:r>
    </w:p>
    <w:bookmarkEnd w:id="30"/>
    <w:bookmarkStart w:id="31" w:name="enterprise-intelligence-landscape"/>
    <w:p>
      <w:pPr>
        <w:pStyle w:val="Heading2"/>
      </w:pPr>
      <w:r>
        <w:t xml:space="preserve">5. Enterprise Intelligence Landscape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Intelligence Capability</w:t>
            </w:r>
          </w:p>
        </w:tc>
        <w:tc>
          <w:tcPr/>
          <w:p>
            <w:pPr>
              <w:pStyle w:val="Compact"/>
              <w:jc w:val="left"/>
            </w:pPr>
            <w:r>
              <w:t xml:space="preserve">State</w:t>
            </w:r>
          </w:p>
        </w:tc>
        <w:tc>
          <w:tcPr/>
          <w:p>
            <w:pPr>
              <w:pStyle w:val="Compact"/>
              <w:jc w:val="left"/>
            </w:pPr>
            <w:r>
              <w:t xml:space="preserve">Primary Evidence</w:t>
            </w:r>
          </w:p>
        </w:tc>
      </w:tr>
      <w:tr>
        <w:tc>
          <w:tcPr/>
          <w:p>
            <w:pPr>
              <w:pStyle w:val="Compact"/>
              <w:jc w:val="left"/>
            </w:pPr>
            <w:r>
              <w:t xml:space="preserve">Academic Intelligence (MIE)</w:t>
            </w:r>
          </w:p>
        </w:tc>
        <w:tc>
          <w:tcPr/>
          <w:p>
            <w:pPr>
              <w:pStyle w:val="Compact"/>
              <w:jc w:val="left"/>
            </w:pPr>
            <w:r>
              <w:rPr>
                <w:bCs/>
                <w:b/>
              </w:rPr>
              <w:t xml:space="preserve">Current</w:t>
            </w:r>
          </w:p>
        </w:tc>
        <w:tc>
          <w:tcPr/>
          <w:p>
            <w:pPr>
              <w:pStyle w:val="Compact"/>
              <w:jc w:val="left"/>
            </w:pPr>
            <w:r>
              <w:t xml:space="preserve">WP-AIC-01/WP-SIPD-02 MIE specification;</w:t>
            </w:r>
            <w:r>
              <w:t xml:space="preserve"> </w:t>
            </w:r>
            <w:r>
              <w:rPr>
                <w:rStyle w:val="VerbatimChar"/>
              </w:rPr>
              <w:t xml:space="preserve">education-intelligence</w:t>
            </w:r>
            <w:r>
              <w:t xml:space="preserve"> </w:t>
            </w:r>
            <w:r>
              <w:t xml:space="preserve">engines</w:t>
            </w:r>
          </w:p>
        </w:tc>
      </w:tr>
      <w:tr>
        <w:tc>
          <w:tcPr/>
          <w:p>
            <w:pPr>
              <w:pStyle w:val="Compact"/>
              <w:jc w:val="left"/>
            </w:pPr>
            <w:r>
              <w:t xml:space="preserve">Career Intelligence (HSIE, Career Digital Twin)</w:t>
            </w:r>
          </w:p>
        </w:tc>
        <w:tc>
          <w:tcPr/>
          <w:p>
            <w:pPr>
              <w:pStyle w:val="Compact"/>
              <w:jc w:val="left"/>
            </w:pPr>
            <w:r>
              <w:rPr>
                <w:bCs/>
                <w:b/>
              </w:rPr>
              <w:t xml:space="preserve">Current</w:t>
            </w:r>
          </w:p>
        </w:tc>
        <w:tc>
          <w:tcPr/>
          <w:p>
            <w:pPr>
              <w:pStyle w:val="Compact"/>
              <w:jc w:val="left"/>
            </w:pPr>
            <w:r>
              <w:t xml:space="preserve">WP-AIC-01 HSIE specification;</w:t>
            </w:r>
            <w:r>
              <w:t xml:space="preserve"> </w:t>
            </w:r>
            <w:r>
              <w:rPr>
                <w:rStyle w:val="VerbatimChar"/>
              </w:rPr>
              <w:t xml:space="preserve">careerHealthIndex</w:t>
            </w:r>
            <w:r>
              <w:t xml:space="preserve">,</w:t>
            </w:r>
            <w:r>
              <w:t xml:space="preserve"> </w:t>
            </w:r>
            <w:r>
              <w:rPr>
                <w:rStyle w:val="VerbatimChar"/>
              </w:rPr>
              <w:t xml:space="preserve">career-digital-twin</w:t>
            </w:r>
            <w:r>
              <w:t xml:space="preserve">,</w:t>
            </w:r>
            <w:r>
              <w:t xml:space="preserve"> </w:t>
            </w:r>
            <w:r>
              <w:rPr>
                <w:rStyle w:val="VerbatimChar"/>
              </w:rPr>
              <w:t xml:space="preserve">career-readiness</w:t>
            </w:r>
            <w:r>
              <w:t xml:space="preserve"> </w:t>
            </w:r>
            <w:r>
              <w:t xml:space="preserve">modules</w:t>
            </w:r>
          </w:p>
        </w:tc>
      </w:tr>
      <w:tr>
        <w:tc>
          <w:tcPr/>
          <w:p>
            <w:pPr>
              <w:pStyle w:val="Compact"/>
              <w:jc w:val="left"/>
            </w:pPr>
            <w:r>
              <w:t xml:space="preserve">Knowledge Intelligence (reasoning over HKP)</w:t>
            </w:r>
          </w:p>
        </w:tc>
        <w:tc>
          <w:tcPr/>
          <w:p>
            <w:pPr>
              <w:pStyle w:val="Compact"/>
              <w:jc w:val="left"/>
            </w:pPr>
            <w:r>
              <w:rPr>
                <w:bCs/>
                <w:b/>
              </w:rPr>
              <w:t xml:space="preserve">Current (design-complete, partially operational)</w:t>
            </w:r>
          </w:p>
        </w:tc>
        <w:tc>
          <w:tcPr/>
          <w:p>
            <w:pPr>
              <w:pStyle w:val="Compact"/>
              <w:jc w:val="left"/>
            </w:pPr>
            <w:r>
              <w:t xml:space="preserve">WP-KR-01/WP-KRA-01;</w:t>
            </w:r>
            <w:r>
              <w:t xml:space="preserve"> </w:t>
            </w:r>
            <w:r>
              <w:rPr>
                <w:rStyle w:val="VerbatimChar"/>
              </w:rPr>
              <w:t xml:space="preserve">knowledge-runtime</w:t>
            </w:r>
          </w:p>
        </w:tc>
      </w:tr>
      <w:tr>
        <w:tc>
          <w:tcPr/>
          <w:p>
            <w:pPr>
              <w:pStyle w:val="Compact"/>
              <w:jc w:val="left"/>
            </w:pPr>
            <w:r>
              <w:t xml:space="preserve">Skill Intelligence</w:t>
            </w:r>
          </w:p>
        </w:tc>
        <w:tc>
          <w:tcPr/>
          <w:p>
            <w:pPr>
              <w:pStyle w:val="Compact"/>
              <w:jc w:val="left"/>
            </w:pPr>
            <w:r>
              <w:rPr>
                <w:bCs/>
                <w:b/>
              </w:rPr>
              <w:t xml:space="preserve">Current</w:t>
            </w:r>
          </w:p>
        </w:tc>
        <w:tc>
          <w:tcPr/>
          <w:p>
            <w:pPr>
              <w:pStyle w:val="Compact"/>
              <w:jc w:val="left"/>
            </w:pPr>
            <w:r>
              <w:rPr>
                <w:rStyle w:val="VerbatimChar"/>
              </w:rPr>
              <w:t xml:space="preserve">skillGraph</w:t>
            </w:r>
            <w:r>
              <w:t xml:space="preserve">,</w:t>
            </w:r>
            <w:r>
              <w:t xml:space="preserve"> </w:t>
            </w:r>
            <w:r>
              <w:rPr>
                <w:rStyle w:val="VerbatimChar"/>
              </w:rPr>
              <w:t xml:space="preserve">skill-prioritization</w:t>
            </w:r>
            <w:r>
              <w:t xml:space="preserve">,</w:t>
            </w:r>
            <w:r>
              <w:t xml:space="preserve"> </w:t>
            </w:r>
            <w:r>
              <w:rPr>
                <w:rStyle w:val="VerbatimChar"/>
              </w:rPr>
              <w:t xml:space="preserve">skill-evolution</w:t>
            </w:r>
          </w:p>
        </w:tc>
      </w:tr>
      <w:tr>
        <w:tc>
          <w:tcPr/>
          <w:p>
            <w:pPr>
              <w:pStyle w:val="Compact"/>
              <w:jc w:val="left"/>
            </w:pPr>
            <w:r>
              <w:t xml:space="preserve">Recommendation Intelligence</w:t>
            </w:r>
          </w:p>
        </w:tc>
        <w:tc>
          <w:tcPr/>
          <w:p>
            <w:pPr>
              <w:pStyle w:val="Compact"/>
              <w:jc w:val="left"/>
            </w:pPr>
            <w:r>
              <w:rPr>
                <w:bCs/>
                <w:b/>
              </w:rPr>
              <w:t xml:space="preserve">Current</w:t>
            </w:r>
          </w:p>
        </w:tc>
        <w:tc>
          <w:tcPr/>
          <w:p>
            <w:pPr>
              <w:pStyle w:val="Compact"/>
              <w:jc w:val="left"/>
            </w:pPr>
            <w:r>
              <w:rPr>
                <w:rStyle w:val="VerbatimChar"/>
              </w:rPr>
              <w:t xml:space="preserve">knowledge-runtime/decision</w:t>
            </w:r>
            <w:r>
              <w:t xml:space="preserve">; WP-KRA-01 recommendation strategy reference</w:t>
            </w:r>
          </w:p>
        </w:tc>
      </w:tr>
      <w:tr>
        <w:tc>
          <w:tcPr/>
          <w:p>
            <w:pPr>
              <w:pStyle w:val="Compact"/>
              <w:jc w:val="left"/>
            </w:pPr>
            <w:r>
              <w:t xml:space="preserve">Labor Market Intelligence</w:t>
            </w:r>
          </w:p>
        </w:tc>
        <w:tc>
          <w:tcPr/>
          <w:p>
            <w:pPr>
              <w:pStyle w:val="Compact"/>
              <w:jc w:val="left"/>
            </w:pPr>
            <w:r>
              <w:rPr>
                <w:bCs/>
                <w:b/>
              </w:rPr>
              <w:t xml:space="preserve">Current</w:t>
            </w:r>
          </w:p>
        </w:tc>
        <w:tc>
          <w:tcPr/>
          <w:p>
            <w:pPr>
              <w:pStyle w:val="Compact"/>
              <w:jc w:val="left"/>
            </w:pPr>
            <w:r>
              <w:rPr>
                <w:rStyle w:val="VerbatimChar"/>
              </w:rPr>
              <w:t xml:space="preserve">labor-market-intelligence</w:t>
            </w:r>
            <w:r>
              <w:t xml:space="preserve"> </w:t>
            </w:r>
            <w:r>
              <w:t xml:space="preserve">module</w:t>
            </w:r>
          </w:p>
        </w:tc>
      </w:tr>
      <w:tr>
        <w:tc>
          <w:tcPr/>
          <w:p>
            <w:pPr>
              <w:pStyle w:val="Compact"/>
              <w:jc w:val="left"/>
            </w:pPr>
            <w:r>
              <w:t xml:space="preserve">Salary Intelligence</w:t>
            </w:r>
          </w:p>
        </w:tc>
        <w:tc>
          <w:tcPr/>
          <w:p>
            <w:pPr>
              <w:pStyle w:val="Compact"/>
              <w:jc w:val="left"/>
            </w:pPr>
            <w:r>
              <w:rPr>
                <w:bCs/>
                <w:b/>
              </w:rPr>
              <w:t xml:space="preserve">Current</w:t>
            </w:r>
          </w:p>
        </w:tc>
        <w:tc>
          <w:tcPr/>
          <w:p>
            <w:pPr>
              <w:pStyle w:val="Compact"/>
              <w:jc w:val="left"/>
            </w:pPr>
            <w:r>
              <w:rPr>
                <w:rStyle w:val="VerbatimChar"/>
              </w:rPr>
              <w:t xml:space="preserve">salary</w:t>
            </w:r>
            <w:r>
              <w:t xml:space="preserve">,</w:t>
            </w:r>
            <w:r>
              <w:t xml:space="preserve"> </w:t>
            </w:r>
            <w:r>
              <w:rPr>
                <w:rStyle w:val="VerbatimChar"/>
              </w:rPr>
              <w:t xml:space="preserve">salaryImport</w:t>
            </w:r>
          </w:p>
        </w:tc>
      </w:tr>
      <w:tr>
        <w:tc>
          <w:tcPr/>
          <w:p>
            <w:pPr>
              <w:pStyle w:val="Compact"/>
              <w:jc w:val="left"/>
            </w:pPr>
            <w:r>
              <w:t xml:space="preserve">Employer Intelligence</w:t>
            </w:r>
          </w:p>
        </w:tc>
        <w:tc>
          <w:tcPr/>
          <w:p>
            <w:pPr>
              <w:pStyle w:val="Compact"/>
              <w:jc w:val="left"/>
            </w:pPr>
            <w:r>
              <w:rPr>
                <w:bCs/>
                <w:b/>
              </w:rPr>
              <w:t xml:space="preserve">Current (partial)</w:t>
            </w:r>
          </w:p>
        </w:tc>
        <w:tc>
          <w:tcPr/>
          <w:p>
            <w:pPr>
              <w:pStyle w:val="Compact"/>
              <w:jc w:val="left"/>
            </w:pPr>
            <w:r>
              <w:rPr>
                <w:rStyle w:val="VerbatimChar"/>
              </w:rPr>
              <w:t xml:space="preserve">employer</w:t>
            </w:r>
            <w:r>
              <w:t xml:space="preserve"> </w:t>
            </w:r>
            <w:r>
              <w:t xml:space="preserve">module; not yet a distinct governed intelligence domain</w:t>
            </w:r>
          </w:p>
        </w:tc>
      </w:tr>
      <w:tr>
        <w:tc>
          <w:tcPr/>
          <w:p>
            <w:pPr>
              <w:pStyle w:val="Compact"/>
              <w:jc w:val="left"/>
            </w:pPr>
            <w:r>
              <w:t xml:space="preserve">Behavioral Intelligence</w:t>
            </w:r>
          </w:p>
        </w:tc>
        <w:tc>
          <w:tcPr/>
          <w:p>
            <w:pPr>
              <w:pStyle w:val="Compact"/>
              <w:jc w:val="left"/>
            </w:pPr>
            <w:r>
              <w:rPr>
                <w:bCs/>
                <w:b/>
              </w:rPr>
              <w:t xml:space="preserve">Current</w:t>
            </w:r>
          </w:p>
        </w:tc>
        <w:tc>
          <w:tcPr/>
          <w:p>
            <w:pPr>
              <w:pStyle w:val="Compact"/>
              <w:jc w:val="left"/>
            </w:pPr>
            <w:r>
              <w:rPr>
                <w:rStyle w:val="VerbatimChar"/>
              </w:rPr>
              <w:t xml:space="preserve">daily-engagement</w:t>
            </w:r>
            <w:r>
              <w:t xml:space="preserve">,</w:t>
            </w:r>
            <w:r>
              <w:t xml:space="preserve"> </w:t>
            </w:r>
            <w:r>
              <w:rPr>
                <w:rStyle w:val="VerbatimChar"/>
              </w:rPr>
              <w:t xml:space="preserve">personalization</w:t>
            </w:r>
            <w:r>
              <w:t xml:space="preserve">,</w:t>
            </w:r>
            <w:r>
              <w:t xml:space="preserve"> </w:t>
            </w:r>
            <w:r>
              <w:rPr>
                <w:rStyle w:val="VerbatimChar"/>
              </w:rPr>
              <w:t xml:space="preserve">growth</w:t>
            </w:r>
            <w:r>
              <w:t xml:space="preserve"> </w:t>
            </w:r>
            <w:r>
              <w:t xml:space="preserve">modules</w:t>
            </w:r>
          </w:p>
        </w:tc>
      </w:tr>
      <w:tr>
        <w:tc>
          <w:tcPr/>
          <w:p>
            <w:pPr>
              <w:pStyle w:val="Compact"/>
              <w:jc w:val="left"/>
            </w:pPr>
            <w:r>
              <w:t xml:space="preserve">AI Intelligence (AI-assisted curation, orchestration)</w:t>
            </w:r>
          </w:p>
        </w:tc>
        <w:tc>
          <w:tcPr/>
          <w:p>
            <w:pPr>
              <w:pStyle w:val="Compact"/>
              <w:jc w:val="left"/>
            </w:pPr>
            <w:r>
              <w:rPr>
                <w:bCs/>
                <w:b/>
              </w:rPr>
              <w:t xml:space="preserve">Current (partial)</w:t>
            </w:r>
          </w:p>
        </w:tc>
        <w:tc>
          <w:tcPr/>
          <w:p>
            <w:pPr>
              <w:pStyle w:val="Compact"/>
              <w:jc w:val="left"/>
            </w:pPr>
            <w:r>
              <w:rPr>
                <w:rStyle w:val="VerbatimChar"/>
              </w:rPr>
              <w:t xml:space="preserve">ai-career-advisor</w:t>
            </w:r>
            <w:r>
              <w:t xml:space="preserve">,</w:t>
            </w:r>
            <w:r>
              <w:t xml:space="preserve"> </w:t>
            </w:r>
            <w:r>
              <w:rPr>
                <w:rStyle w:val="VerbatimChar"/>
              </w:rPr>
              <w:t xml:space="preserve">ai-event-bus</w:t>
            </w:r>
            <w:r>
              <w:t xml:space="preserve">; WP-KD-01 AI-Assisted Curation (design-complete)</w:t>
            </w:r>
          </w:p>
        </w:tc>
      </w:tr>
      <w:tr>
        <w:tc>
          <w:tcPr/>
          <w:p>
            <w:pPr>
              <w:pStyle w:val="Compact"/>
              <w:jc w:val="left"/>
            </w:pPr>
            <w:r>
              <w:t xml:space="preserve">Decision Intelligence</w:t>
            </w:r>
          </w:p>
        </w:tc>
        <w:tc>
          <w:tcPr/>
          <w:p>
            <w:pPr>
              <w:pStyle w:val="Compact"/>
              <w:jc w:val="left"/>
            </w:pPr>
            <w:r>
              <w:rPr>
                <w:bCs/>
                <w:b/>
              </w:rPr>
              <w:t xml:space="preserve">Current</w:t>
            </w:r>
          </w:p>
        </w:tc>
        <w:tc>
          <w:tcPr/>
          <w:p>
            <w:pPr>
              <w:pStyle w:val="Compact"/>
              <w:jc w:val="left"/>
            </w:pPr>
            <w:r>
              <w:rPr>
                <w:rStyle w:val="VerbatimChar"/>
              </w:rPr>
              <w:t xml:space="preserve">knowledge-runtime/decision</w:t>
            </w:r>
            <w:r>
              <w:t xml:space="preserve">; WP-P2-01 companion</w:t>
            </w:r>
            <w:r>
              <w:t xml:space="preserve"> </w:t>
            </w:r>
            <w:r>
              <w:rPr>
                <w:rStyle w:val="VerbatimChar"/>
              </w:rPr>
              <w:t xml:space="preserve">WP-DIF-01</w:t>
            </w:r>
            <w:r>
              <w:t xml:space="preserve"> </w:t>
            </w:r>
            <w:r>
              <w:t xml:space="preserve">decision framework documents</w:t>
            </w:r>
          </w:p>
        </w:tc>
      </w:tr>
      <w:tr>
        <w:tc>
          <w:tcPr/>
          <w:p>
            <w:pPr>
              <w:pStyle w:val="Compact"/>
              <w:jc w:val="left"/>
            </w:pPr>
            <w:r>
              <w:t xml:space="preserve">Outcome Intelligence (Career Outcome Intelligence)</w:t>
            </w:r>
          </w:p>
        </w:tc>
        <w:tc>
          <w:tcPr/>
          <w:p>
            <w:pPr>
              <w:pStyle w:val="Compact"/>
              <w:jc w:val="left"/>
            </w:pPr>
            <w:r>
              <w:rPr>
                <w:bCs/>
                <w:b/>
              </w:rPr>
              <w:t xml:space="preserve">Target</w:t>
            </w:r>
          </w:p>
        </w:tc>
        <w:tc>
          <w:tcPr/>
          <w:p>
            <w:pPr>
              <w:pStyle w:val="Compact"/>
              <w:jc w:val="left"/>
            </w:pPr>
            <w:r>
              <w:t xml:space="preserve">EEP-01 Phase C Part 9 — named, not yet implemented</w:t>
            </w:r>
          </w:p>
        </w:tc>
      </w:tr>
      <w:tr>
        <w:tc>
          <w:tcPr/>
          <w:p>
            <w:pPr>
              <w:pStyle w:val="Compact"/>
              <w:jc w:val="left"/>
            </w:pPr>
            <w:r>
              <w:t xml:space="preserve">Platform Intelligence</w:t>
            </w:r>
          </w:p>
        </w:tc>
        <w:tc>
          <w:tcPr/>
          <w:p>
            <w:pPr>
              <w:pStyle w:val="Compact"/>
              <w:jc w:val="left"/>
            </w:pPr>
            <w:r>
              <w:rPr>
                <w:bCs/>
                <w:b/>
              </w:rPr>
              <w:t xml:space="preserve">Current</w:t>
            </w:r>
          </w:p>
        </w:tc>
        <w:tc>
          <w:tcPr/>
          <w:p>
            <w:pPr>
              <w:pStyle w:val="Compact"/>
              <w:jc w:val="left"/>
            </w:pPr>
            <w:r>
              <w:rPr>
                <w:rStyle w:val="VerbatimChar"/>
              </w:rPr>
              <w:t xml:space="preserve">platform-intelligence</w:t>
            </w:r>
            <w:r>
              <w:t xml:space="preserve"> </w:t>
            </w:r>
            <w:r>
              <w:t xml:space="preserve">module</w:t>
            </w:r>
          </w:p>
        </w:tc>
      </w:tr>
      <w:tr>
        <w:tc>
          <w:tcPr/>
          <w:p>
            <w:pPr>
              <w:pStyle w:val="Compact"/>
              <w:jc w:val="left"/>
            </w:pPr>
            <w:r>
              <w:t xml:space="preserve">Intelligence Quality (cross-cutting)</w:t>
            </w:r>
          </w:p>
        </w:tc>
        <w:tc>
          <w:tcPr/>
          <w:p>
            <w:pPr>
              <w:pStyle w:val="Compact"/>
              <w:jc w:val="left"/>
            </w:pPr>
            <w:r>
              <w:rPr>
                <w:bCs/>
                <w:b/>
              </w:rPr>
              <w:t xml:space="preserve">Current</w:t>
            </w:r>
          </w:p>
        </w:tc>
        <w:tc>
          <w:tcPr/>
          <w:p>
            <w:pPr>
              <w:pStyle w:val="Compact"/>
              <w:jc w:val="left"/>
            </w:pPr>
            <w:r>
              <w:rPr>
                <w:rStyle w:val="VerbatimChar"/>
              </w:rPr>
              <w:t xml:space="preserve">intelligence-quality</w:t>
            </w:r>
            <w:r>
              <w:t xml:space="preserve"> </w:t>
            </w:r>
            <w:r>
              <w:t xml:space="preserve">module; WP-AIC-01 IQF</w:t>
            </w:r>
          </w:p>
        </w:tc>
      </w:tr>
      <w:tr>
        <w:tc>
          <w:tcPr/>
          <w:p>
            <w:pPr>
              <w:pStyle w:val="Compact"/>
              <w:jc w:val="left"/>
            </w:pPr>
            <w:r>
              <w:t xml:space="preserve">Future Intelligence Domains</w:t>
            </w:r>
          </w:p>
        </w:tc>
        <w:tc>
          <w:tcPr/>
          <w:p>
            <w:pPr>
              <w:pStyle w:val="Compact"/>
              <w:jc w:val="left"/>
            </w:pPr>
            <w:r>
              <w:rPr>
                <w:bCs/>
                <w:b/>
              </w:rPr>
              <w:t xml:space="preserve">Target</w:t>
            </w:r>
          </w:p>
        </w:tc>
        <w:tc>
          <w:tcPr/>
          <w:p>
            <w:pPr>
              <w:pStyle w:val="Compact"/>
              <w:jc w:val="left"/>
            </w:pPr>
            <w:r>
              <w:t xml:space="preserve">International expansion intelligence (WP-KP-01 Wave 9); adoption trigger in §13</w:t>
            </w:r>
          </w:p>
        </w:tc>
      </w:tr>
    </w:tbl>
    <w:p>
      <w:r>
        <w:pict>
          <v:rect style="width:0;height:1.5pt" o:hralign="center" o:hrstd="t" o:hr="t"/>
        </w:pict>
      </w:r>
    </w:p>
    <w:bookmarkEnd w:id="31"/>
    <w:bookmarkStart w:id="32" w:name="knowledge-lifecycle-architecture"/>
    <w:p>
      <w:pPr>
        <w:pStyle w:val="Heading2"/>
      </w:pPr>
      <w:r>
        <w:t xml:space="preserve">6. Knowledge Lifecycle Architecture</w:t>
      </w:r>
    </w:p>
    <w:p>
      <w:pPr>
        <w:pStyle w:val="FirstParagraph"/>
      </w:pPr>
      <w:r>
        <w:t xml:space="preserve">The canonical knowledge lifecycle is the WP-KD-01 Knowledge Supply Chain, reused here rather than re-derived:</w:t>
      </w:r>
    </w:p>
    <w:p>
      <w:pPr>
        <w:numPr>
          <w:ilvl w:val="0"/>
          <w:numId w:val="1006"/>
        </w:numPr>
        <w:pStyle w:val="Compact"/>
      </w:pPr>
      <w:r>
        <w:rPr>
          <w:bCs/>
          <w:b/>
        </w:rPr>
        <w:t xml:space="preserve">Acquisition</w:t>
      </w:r>
      <w:r>
        <w:t xml:space="preserve"> </w:t>
      </w:r>
      <w:r>
        <w:t xml:space="preserve">— knowledge enters from a registered, trust-scored source (</w:t>
      </w:r>
      <w:r>
        <w:rPr>
          <w:rStyle w:val="VerbatimChar"/>
        </w:rPr>
        <w:t xml:space="preserve">source-intelligence</w:t>
      </w:r>
      <w:r>
        <w:t xml:space="preserve"> </w:t>
      </w:r>
      <w:r>
        <w:t xml:space="preserve">module implements the source registry and trust/health scoring today; the acquisition pipelines that pull from 35+ catalogued sources per 9 defined strategies are TARGET STATE per WP-KD-01’s implementation roadmap).</w:t>
      </w:r>
    </w:p>
    <w:p>
      <w:pPr>
        <w:numPr>
          <w:ilvl w:val="0"/>
          <w:numId w:val="1006"/>
        </w:numPr>
        <w:pStyle w:val="Compact"/>
      </w:pPr>
      <w:r>
        <w:rPr>
          <w:bCs/>
          <w:b/>
        </w:rPr>
        <w:t xml:space="preserve">Validation</w:t>
      </w:r>
      <w:r>
        <w:t xml:space="preserve"> </w:t>
      </w:r>
      <w:r>
        <w:t xml:space="preserve">— content is checked against the 10-dimension Quality Model before it can proceed (design-complete; not yet an operating gate in code).</w:t>
      </w:r>
    </w:p>
    <w:p>
      <w:pPr>
        <w:numPr>
          <w:ilvl w:val="0"/>
          <w:numId w:val="1006"/>
        </w:numPr>
        <w:pStyle w:val="Compact"/>
      </w:pPr>
      <w:r>
        <w:rPr>
          <w:bCs/>
          <w:b/>
        </w:rPr>
        <w:t xml:space="preserve">Enrichment</w:t>
      </w:r>
      <w:r>
        <w:t xml:space="preserve"> </w:t>
      </w:r>
      <w:r>
        <w:t xml:space="preserve">— AI-assisted suggestion of entities, relationships, aliases, and descriptions (WP-KD-01 AI-Assisted Curation) — proposal only, never publication.</w:t>
      </w:r>
    </w:p>
    <w:p>
      <w:pPr>
        <w:numPr>
          <w:ilvl w:val="0"/>
          <w:numId w:val="1006"/>
        </w:numPr>
        <w:pStyle w:val="Compact"/>
      </w:pPr>
      <w:r>
        <w:rPr>
          <w:bCs/>
          <w:b/>
        </w:rPr>
        <w:t xml:space="preserve">Curation</w:t>
      </w:r>
      <w:r>
        <w:t xml:space="preserve"> </w:t>
      </w:r>
      <w:r>
        <w:t xml:space="preserve">— human curators and Domain Knowledge Officers review proposals against defined SLAs and gates (WP-KD-01 Curation Workflow).</w:t>
      </w:r>
    </w:p>
    <w:p>
      <w:pPr>
        <w:numPr>
          <w:ilvl w:val="0"/>
          <w:numId w:val="1006"/>
        </w:numPr>
        <w:pStyle w:val="Compact"/>
      </w:pPr>
      <w:r>
        <w:rPr>
          <w:bCs/>
          <w:b/>
        </w:rPr>
        <w:t xml:space="preserve">Publishing</w:t>
      </w:r>
      <w:r>
        <w:t xml:space="preserve"> </w:t>
      </w:r>
      <w:r>
        <w:t xml:space="preserve">— approved knowledge is written into the canonical entity model with a stable ID and version (WP-KP-01 Canonical Entity Model; the dedicated</w:t>
      </w:r>
      <w:r>
        <w:t xml:space="preserve"> </w:t>
      </w:r>
      <w:r>
        <w:t xml:space="preserve">“</w:t>
      </w:r>
      <w:r>
        <w:t xml:space="preserve">Canonical Knowledge Publishing</w:t>
      </w:r>
      <w:r>
        <w:t xml:space="preserve">”</w:t>
      </w:r>
      <w:r>
        <w:t xml:space="preserve"> </w:t>
      </w:r>
      <w:r>
        <w:t xml:space="preserve">pipeline stage itself is TARGET STATE — not yet an operating system distinct from direct writes by</w:t>
      </w:r>
      <w:r>
        <w:t xml:space="preserve"> </w:t>
      </w:r>
      <w:r>
        <w:rPr>
          <w:rStyle w:val="VerbatimChar"/>
        </w:rPr>
        <w:t xml:space="preserve">knowledge-runtime</w:t>
      </w:r>
      <w:r>
        <w:t xml:space="preserve"> </w:t>
      </w:r>
      <w:r>
        <w:t xml:space="preserve">and domain modules).</w:t>
      </w:r>
    </w:p>
    <w:p>
      <w:pPr>
        <w:numPr>
          <w:ilvl w:val="0"/>
          <w:numId w:val="1006"/>
        </w:numPr>
        <w:pStyle w:val="Compact"/>
      </w:pPr>
      <w:r>
        <w:rPr>
          <w:bCs/>
          <w:b/>
        </w:rPr>
        <w:t xml:space="preserve">Versioning</w:t>
      </w:r>
      <w:r>
        <w:t xml:space="preserve"> </w:t>
      </w:r>
      <w:r>
        <w:t xml:space="preserve">— new versions coexist with old (</w:t>
      </w:r>
      <w:r>
        <w:rPr>
          <w:rStyle w:val="VerbatimChar"/>
        </w:rPr>
        <w:t xml:space="preserve">subject.physics.v1</w:t>
      </w:r>
      <w:r>
        <w:t xml:space="preserve"> </w:t>
      </w:r>
      <w:r>
        <w:t xml:space="preserve">→</w:t>
      </w:r>
      <w:r>
        <w:t xml:space="preserve"> </w:t>
      </w:r>
      <w:r>
        <w:rPr>
          <w:rStyle w:val="VerbatimChar"/>
        </w:rPr>
        <w:t xml:space="preserve">.v2</w:t>
      </w:r>
      <w:r>
        <w:t xml:space="preserve">); engines pin to a version; deprecation requires minimum two-sprint notice (WP-KP-01).</w:t>
      </w:r>
    </w:p>
    <w:p>
      <w:pPr>
        <w:numPr>
          <w:ilvl w:val="0"/>
          <w:numId w:val="1006"/>
        </w:numPr>
        <w:pStyle w:val="Compact"/>
      </w:pPr>
      <w:r>
        <w:rPr>
          <w:bCs/>
          <w:b/>
        </w:rPr>
        <w:t xml:space="preserve">Consumption</w:t>
      </w:r>
      <w:r>
        <w:t xml:space="preserve"> </w:t>
      </w:r>
      <w:r>
        <w:t xml:space="preserve">— intelligence engines read canonical entities and relationships through knowledge services rather than private copies (</w:t>
      </w:r>
      <w:r>
        <w:rPr>
          <w:rStyle w:val="VerbatimChar"/>
        </w:rPr>
        <w:t xml:space="preserve">knowledge-runtime</w:t>
      </w:r>
      <w:r>
        <w:t xml:space="preserve">,</w:t>
      </w:r>
      <w:r>
        <w:t xml:space="preserve"> </w:t>
      </w:r>
      <w:r>
        <w:rPr>
          <w:rStyle w:val="VerbatimChar"/>
        </w:rPr>
        <w:t xml:space="preserve">careerGraph</w:t>
      </w:r>
      <w:r>
        <w:t xml:space="preserve">,</w:t>
      </w:r>
      <w:r>
        <w:t xml:space="preserve"> </w:t>
      </w:r>
      <w:r>
        <w:rPr>
          <w:rStyle w:val="VerbatimChar"/>
        </w:rPr>
        <w:t xml:space="preserve">skillGraph</w:t>
      </w:r>
      <w:r>
        <w:t xml:space="preserve"> </w:t>
      </w:r>
      <w:r>
        <w:t xml:space="preserve">today; full</w:t>
      </w:r>
      <w:r>
        <w:t xml:space="preserve"> </w:t>
      </w:r>
      <w:r>
        <w:t xml:space="preserve">“</w:t>
      </w:r>
      <w:r>
        <w:t xml:space="preserve">no engine holds hardcoded entity data</w:t>
      </w:r>
      <w:r>
        <w:t xml:space="preserve">”</w:t>
      </w:r>
      <w:r>
        <w:t xml:space="preserve"> </w:t>
      </w:r>
      <w:r>
        <w:t xml:space="preserve">state is Wave 6 TARGET per WP-KP-01).</w:t>
      </w:r>
    </w:p>
    <w:p>
      <w:pPr>
        <w:numPr>
          <w:ilvl w:val="0"/>
          <w:numId w:val="1006"/>
        </w:numPr>
        <w:pStyle w:val="Compact"/>
      </w:pPr>
      <w:r>
        <w:rPr>
          <w:bCs/>
          <w:b/>
        </w:rPr>
        <w:t xml:space="preserve">Retirement</w:t>
      </w:r>
      <w:r>
        <w:t xml:space="preserve"> </w:t>
      </w:r>
      <w:r>
        <w:t xml:space="preserve">— deprecation is a governed event, not silent removal (WP-KP-01 Master Data Governance).</w:t>
      </w:r>
    </w:p>
    <w:p>
      <w:pPr>
        <w:numPr>
          <w:ilvl w:val="0"/>
          <w:numId w:val="1006"/>
        </w:numPr>
        <w:pStyle w:val="Compact"/>
      </w:pPr>
      <w:r>
        <w:rPr>
          <w:bCs/>
          <w:b/>
        </w:rPr>
        <w:t xml:space="preserve">Continuous improvement</w:t>
      </w:r>
      <w:r>
        <w:t xml:space="preserve"> </w:t>
      </w:r>
      <w:r>
        <w:t xml:space="preserve">— review cycles calibrated to domain volatility: academic subjects reviewed annually, emerging-tech skills and AI disruption scores quarterly, salary benchmarks annually (WP-KD-01 review policies).</w:t>
      </w:r>
    </w:p>
    <w:p>
      <w:pPr>
        <w:pStyle w:val="FirstParagraph"/>
      </w:pPr>
      <w:r>
        <w:rPr>
          <w:bCs/>
          <w:b/>
        </w:rPr>
        <w:t xml:space="preserve">Adoption trigger for full pipeline automation:</w:t>
      </w:r>
      <w:r>
        <w:t xml:space="preserve"> </w:t>
      </w:r>
      <w:r>
        <w:t xml:space="preserve">move from manual/ad hoc source ingestion (current) to an operating Data Feed App and Canonical Knowledge Publishing stage once external-source volume or the number of distinct external feeds exceeds what the</w:t>
      </w:r>
      <w:r>
        <w:t xml:space="preserve"> </w:t>
      </w:r>
      <w:r>
        <w:rPr>
          <w:rStyle w:val="VerbatimChar"/>
        </w:rPr>
        <w:t xml:space="preserve">source-intelligence</w:t>
      </w:r>
      <w:r>
        <w:t xml:space="preserve"> </w:t>
      </w:r>
      <w:r>
        <w:t xml:space="preserve">registry and direct engine-level ingestion (</w:t>
      </w:r>
      <w:r>
        <w:rPr>
          <w:rStyle w:val="VerbatimChar"/>
        </w:rPr>
        <w:t xml:space="preserve">salaryImport</w:t>
      </w:r>
      <w:r>
        <w:t xml:space="preserve">,</w:t>
      </w:r>
      <w:r>
        <w:t xml:space="preserve"> </w:t>
      </w:r>
      <w:r>
        <w:rPr>
          <w:rStyle w:val="VerbatimChar"/>
        </w:rPr>
        <w:t xml:space="preserve">labor-market-intelligence/collectors</w:t>
      </w:r>
      <w:r>
        <w:t xml:space="preserve">) can sustain without duplicated ingestion logic across modules — evidenced by two or more modules independently re-implementing the same source-ingestion pattern.</w:t>
      </w:r>
    </w:p>
    <w:p>
      <w:r>
        <w:pict>
          <v:rect style="width:0;height:1.5pt" o:hralign="center" o:hrstd="t" o:hr="t"/>
        </w:pict>
      </w:r>
    </w:p>
    <w:bookmarkEnd w:id="32"/>
    <w:bookmarkStart w:id="33" w:name="knowledge-governance"/>
    <w:p>
      <w:pPr>
        <w:pStyle w:val="Heading2"/>
      </w:pPr>
      <w:r>
        <w:t xml:space="preserve">7. Knowledge Governance</w:t>
      </w:r>
    </w:p>
    <w:p>
      <w:pPr>
        <w:numPr>
          <w:ilvl w:val="0"/>
          <w:numId w:val="1007"/>
        </w:numPr>
        <w:pStyle w:val="Compact"/>
      </w:pPr>
      <w:r>
        <w:rPr>
          <w:bCs/>
          <w:b/>
        </w:rPr>
        <w:t xml:space="preserve">Knowledge ownership</w:t>
      </w:r>
      <w:r>
        <w:t xml:space="preserve"> </w:t>
      </w:r>
      <w:r>
        <w:t xml:space="preserve">— per-domain, following WP-KP-01 Master Data Governance: each of the 8 knowledge domains has a defined owning entity-type set.</w:t>
      </w:r>
    </w:p>
    <w:p>
      <w:pPr>
        <w:numPr>
          <w:ilvl w:val="0"/>
          <w:numId w:val="1007"/>
        </w:numPr>
        <w:pStyle w:val="Compact"/>
      </w:pPr>
      <w:r>
        <w:rPr>
          <w:bCs/>
          <w:b/>
        </w:rPr>
        <w:t xml:space="preserve">Knowledge stewardship</w:t>
      </w:r>
      <w:r>
        <w:t xml:space="preserve"> </w:t>
      </w:r>
      <w:r>
        <w:t xml:space="preserve">— WP-KD-01 proposes a three-tier structure: a Knowledge Governance Council (policy, major approvals, KPI oversight), Domain Knowledge Officers (day-to-day, per-domain ownership), and a Knowledge Curation Team (operational execution). This structure is TARGET STATE relative to today’s evidence of a small, unified engineering team; it is the correct shape to adopt once knowledge-domain volume or contributor count makes single-team stewardship a bottleneck (adoption trigger: sustained curation backlog, or knowledge-domain count exceeding what one team can review within WP-KD-01’s defined review-cycle SLAs).</w:t>
      </w:r>
    </w:p>
    <w:p>
      <w:pPr>
        <w:numPr>
          <w:ilvl w:val="0"/>
          <w:numId w:val="1007"/>
        </w:numPr>
        <w:pStyle w:val="Compact"/>
      </w:pPr>
      <w:r>
        <w:rPr>
          <w:bCs/>
          <w:b/>
        </w:rPr>
        <w:t xml:space="preserve">Approval policies</w:t>
      </w:r>
      <w:r>
        <w:t xml:space="preserve"> </w:t>
      </w:r>
      <w:r>
        <w:t xml:space="preserve">— every AI-suggested change requires human approval; no AI-originated publish path exists (WP-KD-01 —</w:t>
      </w:r>
      <w:r>
        <w:t xml:space="preserve"> </w:t>
      </w:r>
      <w:r>
        <w:t xml:space="preserve">“</w:t>
      </w:r>
      <w:r>
        <w:t xml:space="preserve">AI assists. Humans decide.</w:t>
      </w:r>
      <w:r>
        <w:t xml:space="preserve">”</w:t>
      </w:r>
      <w:r>
        <w:t xml:space="preserve">).</w:t>
      </w:r>
    </w:p>
    <w:p>
      <w:pPr>
        <w:numPr>
          <w:ilvl w:val="0"/>
          <w:numId w:val="1007"/>
        </w:numPr>
        <w:pStyle w:val="Compact"/>
      </w:pPr>
      <w:r>
        <w:rPr>
          <w:bCs/>
          <w:b/>
        </w:rPr>
        <w:t xml:space="preserve">Quality assurance</w:t>
      </w:r>
      <w:r>
        <w:t xml:space="preserve"> </w:t>
      </w:r>
      <w:r>
        <w:t xml:space="preserve">— the 10-dimension Quality Model gates publication (design-complete).</w:t>
      </w:r>
    </w:p>
    <w:p>
      <w:pPr>
        <w:numPr>
          <w:ilvl w:val="0"/>
          <w:numId w:val="1007"/>
        </w:numPr>
        <w:pStyle w:val="Compact"/>
      </w:pPr>
      <w:r>
        <w:rPr>
          <w:bCs/>
          <w:b/>
        </w:rPr>
        <w:t xml:space="preserve">Version governance</w:t>
      </w:r>
      <w:r>
        <w:t xml:space="preserve"> </w:t>
      </w:r>
      <w:r>
        <w:t xml:space="preserve">— canonical IDs are permanent; breaking changes require consuming-engine sign-off and a 30-day migration window (WP-KP-01, WP-KD-01).</w:t>
      </w:r>
    </w:p>
    <w:p>
      <w:pPr>
        <w:numPr>
          <w:ilvl w:val="0"/>
          <w:numId w:val="1007"/>
        </w:numPr>
        <w:pStyle w:val="Compact"/>
      </w:pPr>
      <w:r>
        <w:rPr>
          <w:bCs/>
          <w:b/>
        </w:rPr>
        <w:t xml:space="preserve">Traceability</w:t>
      </w:r>
      <w:r>
        <w:t xml:space="preserve"> </w:t>
      </w:r>
      <w:r>
        <w:t xml:space="preserve">— every entity and relationship carries a provenance record (source, verifier, approver, confidence, review schedule) per WP-KD-01’s Provenance Model, operationalized today in the</w:t>
      </w:r>
      <w:r>
        <w:t xml:space="preserve"> </w:t>
      </w:r>
      <w:r>
        <w:rPr>
          <w:rStyle w:val="VerbatimChar"/>
        </w:rPr>
        <w:t xml:space="preserve">source-intelligence</w:t>
      </w:r>
      <w:r>
        <w:t xml:space="preserve"> </w:t>
      </w:r>
      <w:r>
        <w:t xml:space="preserve">module’s audit repository.</w:t>
      </w:r>
    </w:p>
    <w:p>
      <w:pPr>
        <w:numPr>
          <w:ilvl w:val="0"/>
          <w:numId w:val="1007"/>
        </w:numPr>
        <w:pStyle w:val="Compact"/>
      </w:pPr>
      <w:r>
        <w:rPr>
          <w:bCs/>
          <w:b/>
        </w:rPr>
        <w:t xml:space="preserve">Business accountability</w:t>
      </w:r>
      <w:r>
        <w:t xml:space="preserve"> </w:t>
      </w:r>
      <w:r>
        <w:t xml:space="preserve">— the</w:t>
      </w:r>
      <w:r>
        <w:t xml:space="preserve"> </w:t>
      </w:r>
      <w:r>
        <w:rPr>
          <w:rStyle w:val="VerbatimChar"/>
        </w:rPr>
        <w:t xml:space="preserve">source-intelligence</w:t>
      </w:r>
      <w:r>
        <w:t xml:space="preserve"> </w:t>
      </w:r>
      <w:r>
        <w:t xml:space="preserve">module’s governance service is the only writer of source status/approval state, and every transition is written to an append-only audit log — a working precedent for accountable, non-bypassable governance writes that the broader KCLF should extend to entity and relationship publication.</w:t>
      </w:r>
    </w:p>
    <w:p>
      <w:pPr>
        <w:numPr>
          <w:ilvl w:val="0"/>
          <w:numId w:val="1007"/>
        </w:numPr>
        <w:pStyle w:val="Compact"/>
      </w:pPr>
      <w:r>
        <w:rPr>
          <w:bCs/>
          <w:b/>
        </w:rPr>
        <w:t xml:space="preserve">Knowledge ethics</w:t>
      </w:r>
      <w:r>
        <w:t xml:space="preserve"> </w:t>
      </w:r>
      <w:r>
        <w:t xml:space="preserve">— bias is an explicit dimension of the Quality Model (WP-KD-01); the reasoning architecture requires disclosed contradictions and confidence, not silently resolved conflicts (WP-KRA-01 Confidence Model, Contradiction Framework referenced in EEP-01 Phase C).</w:t>
      </w:r>
    </w:p>
    <w:p>
      <w:r>
        <w:pict>
          <v:rect style="width:0;height:1.5pt" o:hralign="center" o:hrstd="t" o:hr="t"/>
        </w:pict>
      </w:r>
    </w:p>
    <w:bookmarkEnd w:id="33"/>
    <w:bookmarkStart w:id="34" w:name="intelligence-production-model"/>
    <w:p>
      <w:pPr>
        <w:pStyle w:val="Heading2"/>
      </w:pPr>
      <w:r>
        <w:t xml:space="preserve">8. Intelligence Production Model</w:t>
      </w:r>
    </w:p>
    <w:p>
      <w:pPr>
        <w:pStyle w:val="FirstParagraph"/>
      </w:pPr>
      <w:r>
        <w:t xml:space="preserve">Knowledge becomes intelligence through the reasoning path defined by WP-KR-01 (general machinery) and WP-KRA-01 (the executable education-to-career instantiation):</w:t>
      </w:r>
    </w:p>
    <w:p>
      <w:pPr>
        <w:numPr>
          <w:ilvl w:val="0"/>
          <w:numId w:val="1008"/>
        </w:numPr>
        <w:pStyle w:val="Compact"/>
      </w:pPr>
      <w:r>
        <w:rPr>
          <w:bCs/>
          <w:b/>
        </w:rPr>
        <w:t xml:space="preserve">Knowledge’s contribution</w:t>
      </w:r>
      <w:r>
        <w:t xml:space="preserve"> </w:t>
      </w:r>
      <w:r>
        <w:t xml:space="preserve">— the canonical entity and relationship graph (HKP: EDF for domain knowledge, SIM for learner knowledge) is the evidence base every reasoning step draws from — never a hardcoded string in engine code.</w:t>
      </w:r>
    </w:p>
    <w:p>
      <w:pPr>
        <w:numPr>
          <w:ilvl w:val="0"/>
          <w:numId w:val="1008"/>
        </w:numPr>
        <w:pStyle w:val="Compact"/>
      </w:pPr>
      <w:r>
        <w:rPr>
          <w:bCs/>
          <w:b/>
        </w:rPr>
        <w:t xml:space="preserve">Business rules’ contribution</w:t>
      </w:r>
      <w:r>
        <w:t xml:space="preserve"> </w:t>
      </w:r>
      <w:r>
        <w:t xml:space="preserve">— WP-KRA-01’s 8-stage pipeline and rule engine apply deterministic domain rules (e.g., minimum signal coverage before MIE will generate a recommendation) so recommendations are reproducible and auditable, not solely model-inferred.</w:t>
      </w:r>
    </w:p>
    <w:p>
      <w:pPr>
        <w:numPr>
          <w:ilvl w:val="0"/>
          <w:numId w:val="1008"/>
        </w:numPr>
        <w:pStyle w:val="Compact"/>
      </w:pPr>
      <w:r>
        <w:rPr>
          <w:bCs/>
          <w:b/>
        </w:rPr>
        <w:t xml:space="preserve">AI’s contribution</w:t>
      </w:r>
      <w:r>
        <w:t xml:space="preserve"> </w:t>
      </w:r>
      <w:r>
        <w:t xml:space="preserve">— AI performs pattern discovery, duplicate/staleness detection, and curation suggestion (WP-KD-01), and contributes to signal processing within the intelligence engines — always bounded by the</w:t>
      </w:r>
      <w:r>
        <w:t xml:space="preserve"> </w:t>
      </w:r>
      <w:r>
        <w:t xml:space="preserve">“</w:t>
      </w:r>
      <w:r>
        <w:t xml:space="preserve">AI assists, never publishes</w:t>
      </w:r>
      <w:r>
        <w:t xml:space="preserve">”</w:t>
      </w:r>
      <w:r>
        <w:t xml:space="preserve"> </w:t>
      </w:r>
      <w:r>
        <w:t xml:space="preserve">governance rule and always required to produce an explainable rationale chain (WP-KRA-01 Reasoning Explainability Reference), consistent with EEP-01 Phase F’s AI &amp; Intelligent Automation Architecture.</w:t>
      </w:r>
    </w:p>
    <w:p>
      <w:pPr>
        <w:numPr>
          <w:ilvl w:val="0"/>
          <w:numId w:val="1008"/>
        </w:numPr>
        <w:pStyle w:val="Compact"/>
      </w:pPr>
      <w:r>
        <w:rPr>
          <w:bCs/>
          <w:b/>
        </w:rPr>
        <w:t xml:space="preserve">Human expertise’s contribution</w:t>
      </w:r>
      <w:r>
        <w:t xml:space="preserve"> </w:t>
      </w:r>
      <w:r>
        <w:t xml:space="preserve">— curation, verification, and approval at every publish step (WP-KD-01 Curation Workflow); Domain Knowledge Officer sign-off on domain-specific review cycles.</w:t>
      </w:r>
    </w:p>
    <w:p>
      <w:pPr>
        <w:numPr>
          <w:ilvl w:val="0"/>
          <w:numId w:val="1008"/>
        </w:numPr>
        <w:pStyle w:val="Compact"/>
      </w:pPr>
      <w:r>
        <w:rPr>
          <w:bCs/>
          <w:b/>
        </w:rPr>
        <w:t xml:space="preserve">Feedback improving intelligence</w:t>
      </w:r>
      <w:r>
        <w:t xml:space="preserve"> </w:t>
      </w:r>
      <w:r>
        <w:t xml:space="preserve">— the Intelligence Quality Framework (WP-AIC-01) and</w:t>
      </w:r>
      <w:r>
        <w:t xml:space="preserve"> </w:t>
      </w:r>
      <w:r>
        <w:rPr>
          <w:rStyle w:val="VerbatimChar"/>
        </w:rPr>
        <w:t xml:space="preserve">intelligence-quality</w:t>
      </w:r>
      <w:r>
        <w:t xml:space="preserve"> </w:t>
      </w:r>
      <w:r>
        <w:t xml:space="preserve">module provide the mechanism for evaluating recommendation quality; signal-contribution disclosure (part of MIE/HSIE output) is itself feedback data.</w:t>
      </w:r>
    </w:p>
    <w:p>
      <w:pPr>
        <w:numPr>
          <w:ilvl w:val="0"/>
          <w:numId w:val="1008"/>
        </w:numPr>
        <w:pStyle w:val="Compact"/>
      </w:pPr>
      <w:r>
        <w:rPr>
          <w:bCs/>
          <w:b/>
        </w:rPr>
        <w:t xml:space="preserve">Outcome measurement improving future intelligence</w:t>
      </w:r>
      <w:r>
        <w:t xml:space="preserve"> </w:t>
      </w:r>
      <w:r>
        <w:t xml:space="preserve">— this loop is the explicit purpose of the TARGET STATE Career Outcome Intelligence capability: closing the gap between</w:t>
      </w:r>
      <w:r>
        <w:t xml:space="preserve"> </w:t>
      </w:r>
      <w:r>
        <w:t xml:space="preserve">“</w:t>
      </w:r>
      <w:r>
        <w:t xml:space="preserve">what we recommended</w:t>
      </w:r>
      <w:r>
        <w:t xml:space="preserve">”</w:t>
      </w:r>
      <w:r>
        <w:t xml:space="preserve"> </w:t>
      </w:r>
      <w:r>
        <w:t xml:space="preserve">and</w:t>
      </w:r>
      <w:r>
        <w:t xml:space="preserve"> </w:t>
      </w:r>
      <w:r>
        <w:t xml:space="preserve">“</w:t>
      </w:r>
      <w:r>
        <w:t xml:space="preserve">what actually happened</w:t>
      </w:r>
      <w:r>
        <w:t xml:space="preserve">”</w:t>
      </w:r>
      <w:r>
        <w:t xml:space="preserve"> </w:t>
      </w:r>
      <w:r>
        <w:t xml:space="preserve">to recalibrate future recommendations. It does not exist operationally today; it is architecturally anticipated (EEP-01 Phase C Part 9) as a batch, longitudinal consumer of student-outcome events, not a redesign of the existing reasoning pipeline.</w:t>
      </w:r>
    </w:p>
    <w:p>
      <w:r>
        <w:pict>
          <v:rect style="width:0;height:1.5pt" o:hralign="center" o:hrstd="t" o:hr="t"/>
        </w:pict>
      </w:r>
    </w:p>
    <w:bookmarkEnd w:id="34"/>
    <w:bookmarkStart w:id="35" w:name="enterprise-knowledge-consumers"/>
    <w:p>
      <w:pPr>
        <w:pStyle w:val="Heading2"/>
      </w:pPr>
      <w:r>
        <w:t xml:space="preserve">9. Enterprise Knowledge Consumers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Consumer</w:t>
            </w:r>
          </w:p>
        </w:tc>
        <w:tc>
          <w:tcPr/>
          <w:p>
            <w:pPr>
              <w:pStyle w:val="Compact"/>
              <w:jc w:val="left"/>
            </w:pPr>
            <w:r>
              <w:t xml:space="preserve">Knowledge/Intelligence Consumed</w:t>
            </w:r>
          </w:p>
        </w:tc>
        <w:tc>
          <w:tcPr/>
          <w:p>
            <w:pPr>
              <w:pStyle w:val="Compact"/>
              <w:jc w:val="left"/>
            </w:pPr>
            <w:r>
              <w:t xml:space="preserve">Traceability</w:t>
            </w:r>
          </w:p>
        </w:tc>
      </w:tr>
      <w:tr>
        <w:tc>
          <w:tcPr/>
          <w:p>
            <w:pPr>
              <w:pStyle w:val="Compact"/>
              <w:jc w:val="left"/>
            </w:pPr>
            <w:r>
              <w:t xml:space="preserve">Students</w:t>
            </w:r>
          </w:p>
        </w:tc>
        <w:tc>
          <w:tcPr/>
          <w:p>
            <w:pPr>
              <w:pStyle w:val="Compact"/>
              <w:jc w:val="left"/>
            </w:pPr>
            <w:r>
              <w:t xml:space="preserve">MIE/HSIE recommendations, XAI rationale, stream/career roadmaps</w:t>
            </w:r>
          </w:p>
        </w:tc>
        <w:tc>
          <w:tcPr/>
          <w:p>
            <w:pPr>
              <w:pStyle w:val="Compact"/>
              <w:jc w:val="left"/>
            </w:pPr>
            <w:r>
              <w:t xml:space="preserve">Phase C value streams (student decision journeys); Phase D business services</w:t>
            </w:r>
          </w:p>
        </w:tc>
      </w:tr>
      <w:tr>
        <w:tc>
          <w:tcPr/>
          <w:p>
            <w:pPr>
              <w:pStyle w:val="Compact"/>
              <w:jc w:val="left"/>
            </w:pPr>
            <w:r>
              <w:t xml:space="preserve">Parents</w:t>
            </w:r>
          </w:p>
        </w:tc>
        <w:tc>
          <w:tcPr/>
          <w:p>
            <w:pPr>
              <w:pStyle w:val="Compact"/>
              <w:jc w:val="left"/>
            </w:pPr>
            <w:r>
              <w:t xml:space="preserve">Financial-awareness outputs (coaching cost bands, scholarship matches) alongside recommendations</w:t>
            </w:r>
          </w:p>
        </w:tc>
        <w:tc>
          <w:tcPr/>
          <w:p>
            <w:pPr>
              <w:pStyle w:val="Compact"/>
              <w:jc w:val="left"/>
            </w:pPr>
            <w:r>
              <w:t xml:space="preserve">MIE Financial Awareness Output</w:t>
            </w:r>
          </w:p>
        </w:tc>
      </w:tr>
      <w:tr>
        <w:tc>
          <w:tcPr/>
          <w:p>
            <w:pPr>
              <w:pStyle w:val="Compact"/>
              <w:jc w:val="left"/>
            </w:pPr>
            <w:r>
              <w:t xml:space="preserve">Schools</w:t>
            </w:r>
          </w:p>
        </w:tc>
        <w:tc>
          <w:tcPr/>
          <w:p>
            <w:pPr>
              <w:pStyle w:val="Compact"/>
              <w:jc w:val="left"/>
            </w:pPr>
            <w:r>
              <w:t xml:space="preserve">Aggregate cohort intelligence via</w:t>
            </w:r>
            <w:r>
              <w:t xml:space="preserve"> </w:t>
            </w:r>
            <w:r>
              <w:rPr>
                <w:rStyle w:val="VerbatimChar"/>
              </w:rPr>
              <w:t xml:space="preserve">analytics</w:t>
            </w:r>
            <w:r>
              <w:t xml:space="preserve">,</w:t>
            </w:r>
            <w:r>
              <w:t xml:space="preserve"> </w:t>
            </w:r>
            <w:r>
              <w:rPr>
                <w:rStyle w:val="VerbatimChar"/>
              </w:rPr>
              <w:t xml:space="preserve">dashboard</w:t>
            </w:r>
            <w:r>
              <w:t xml:space="preserve"> </w:t>
            </w:r>
            <w:r>
              <w:t xml:space="preserve">modules</w:t>
            </w:r>
          </w:p>
        </w:tc>
        <w:tc>
          <w:tcPr/>
          <w:p>
            <w:pPr>
              <w:pStyle w:val="Compact"/>
              <w:jc w:val="left"/>
            </w:pPr>
            <w:r>
              <w:t xml:space="preserve">Phase A capability catalog</w:t>
            </w:r>
          </w:p>
        </w:tc>
      </w:tr>
      <w:tr>
        <w:tc>
          <w:tcPr/>
          <w:p>
            <w:pPr>
              <w:pStyle w:val="Compact"/>
              <w:jc w:val="left"/>
            </w:pPr>
            <w:r>
              <w:t xml:space="preserve">Universities</w:t>
            </w:r>
          </w:p>
        </w:tc>
        <w:tc>
          <w:tcPr/>
          <w:p>
            <w:pPr>
              <w:pStyle w:val="Compact"/>
              <w:jc w:val="left"/>
            </w:pPr>
            <w:r>
              <w:t xml:space="preserve">Programme/entrance-exam knowledge consumption (indirect, via student pathway recommendations)</w:t>
            </w:r>
          </w:p>
        </w:tc>
        <w:tc>
          <w:tcPr/>
          <w:p>
            <w:pPr>
              <w:pStyle w:val="Compact"/>
              <w:jc w:val="left"/>
            </w:pPr>
            <w:r>
              <w:t xml:space="preserve">WP-KB-02 Higher/Entrance Exam reference models</w:t>
            </w:r>
          </w:p>
        </w:tc>
      </w:tr>
      <w:tr>
        <w:tc>
          <w:tcPr/>
          <w:p>
            <w:pPr>
              <w:pStyle w:val="Compact"/>
              <w:jc w:val="left"/>
            </w:pPr>
            <w:r>
              <w:t xml:space="preserve">Employers</w:t>
            </w:r>
          </w:p>
        </w:tc>
        <w:tc>
          <w:tcPr/>
          <w:p>
            <w:pPr>
              <w:pStyle w:val="Compact"/>
              <w:jc w:val="left"/>
            </w:pPr>
            <w:r>
              <w:t xml:space="preserve">Labor-market and skill-demand intelligence via</w:t>
            </w:r>
            <w:r>
              <w:t xml:space="preserve"> </w:t>
            </w:r>
            <w:r>
              <w:rPr>
                <w:rStyle w:val="VerbatimChar"/>
              </w:rPr>
              <w:t xml:space="preserve">employer</w:t>
            </w:r>
            <w:r>
              <w:t xml:space="preserve">,</w:t>
            </w:r>
            <w:r>
              <w:t xml:space="preserve"> </w:t>
            </w:r>
            <w:r>
              <w:rPr>
                <w:rStyle w:val="VerbatimChar"/>
              </w:rPr>
              <w:t xml:space="preserve">labor-market-intelligence</w:t>
            </w:r>
          </w:p>
        </w:tc>
        <w:tc>
          <w:tcPr/>
          <w:p>
            <w:pPr>
              <w:pStyle w:val="Compact"/>
              <w:jc w:val="left"/>
            </w:pPr>
            <w:r>
              <w:t xml:space="preserve">Phase D business services</w:t>
            </w:r>
          </w:p>
        </w:tc>
      </w:tr>
      <w:tr>
        <w:tc>
          <w:tcPr/>
          <w:p>
            <w:pPr>
              <w:pStyle w:val="Compact"/>
              <w:jc w:val="left"/>
            </w:pPr>
            <w:r>
              <w:t xml:space="preserve">Recruiters</w:t>
            </w:r>
          </w:p>
        </w:tc>
        <w:tc>
          <w:tcPr/>
          <w:p>
            <w:pPr>
              <w:pStyle w:val="Compact"/>
              <w:jc w:val="left"/>
            </w:pPr>
            <w:r>
              <w:t xml:space="preserve">Resume and skill-matching intelligence via</w:t>
            </w:r>
            <w:r>
              <w:t xml:space="preserve"> </w:t>
            </w:r>
            <w:r>
              <w:rPr>
                <w:rStyle w:val="VerbatimChar"/>
              </w:rPr>
              <w:t xml:space="preserve">resume</w:t>
            </w:r>
            <w:r>
              <w:t xml:space="preserve">,</w:t>
            </w:r>
            <w:r>
              <w:t xml:space="preserve"> </w:t>
            </w:r>
            <w:r>
              <w:rPr>
                <w:rStyle w:val="VerbatimChar"/>
              </w:rPr>
              <w:t xml:space="preserve">jobMatchPremium</w:t>
            </w:r>
            <w:r>
              <w:t xml:space="preserve">,</w:t>
            </w:r>
            <w:r>
              <w:t xml:space="preserve"> </w:t>
            </w:r>
            <w:r>
              <w:rPr>
                <w:rStyle w:val="VerbatimChar"/>
              </w:rPr>
              <w:t xml:space="preserve">opportunityRadar</w:t>
            </w:r>
          </w:p>
        </w:tc>
        <w:tc>
          <w:tcPr/>
          <w:p>
            <w:pPr>
              <w:pStyle w:val="Compact"/>
              <w:jc w:val="left"/>
            </w:pPr>
            <w:r>
              <w:t xml:space="preserve">Phase A capability catalog</w:t>
            </w:r>
          </w:p>
        </w:tc>
      </w:tr>
      <w:tr>
        <w:tc>
          <w:tcPr/>
          <w:p>
            <w:pPr>
              <w:pStyle w:val="Compact"/>
              <w:jc w:val="left"/>
            </w:pPr>
            <w:r>
              <w:t xml:space="preserve">Platform administrators</w:t>
            </w:r>
          </w:p>
        </w:tc>
        <w:tc>
          <w:tcPr/>
          <w:p>
            <w:pPr>
              <w:pStyle w:val="Compact"/>
              <w:jc w:val="left"/>
            </w:pPr>
            <w:r>
              <w:t xml:space="preserve">Source registry, governance, and quality dashboards</w:t>
            </w:r>
          </w:p>
        </w:tc>
        <w:tc>
          <w:tcPr/>
          <w:p>
            <w:pPr>
              <w:pStyle w:val="Compact"/>
              <w:jc w:val="left"/>
            </w:pPr>
            <w:r>
              <w:rPr>
                <w:rStyle w:val="VerbatimChar"/>
              </w:rPr>
              <w:t xml:space="preserve">source-intelligence</w:t>
            </w:r>
            <w:r>
              <w:t xml:space="preserve">,</w:t>
            </w:r>
            <w:r>
              <w:t xml:space="preserve"> </w:t>
            </w:r>
            <w:r>
              <w:rPr>
                <w:rStyle w:val="VerbatimChar"/>
              </w:rPr>
              <w:t xml:space="preserve">admin</w:t>
            </w:r>
            <w:r>
              <w:t xml:space="preserve"> </w:t>
            </w:r>
            <w:r>
              <w:t xml:space="preserve">modules; WP-KD-01 Knowledge Operations Dashboard</w:t>
            </w:r>
          </w:p>
        </w:tc>
      </w:tr>
      <w:tr>
        <w:tc>
          <w:tcPr/>
          <w:p>
            <w:pPr>
              <w:pStyle w:val="Compact"/>
              <w:jc w:val="left"/>
            </w:pPr>
            <w:r>
              <w:t xml:space="preserve">Knowledge stewards (Domain Knowledge Officers)</w:t>
            </w:r>
          </w:p>
        </w:tc>
        <w:tc>
          <w:tcPr/>
          <w:p>
            <w:pPr>
              <w:pStyle w:val="Compact"/>
              <w:jc w:val="left"/>
            </w:pPr>
            <w:r>
              <w:t xml:space="preserve">Domain-scoped review queues and approval workflows</w:t>
            </w:r>
          </w:p>
        </w:tc>
        <w:tc>
          <w:tcPr/>
          <w:p>
            <w:pPr>
              <w:pStyle w:val="Compact"/>
              <w:jc w:val="left"/>
            </w:pPr>
            <w:r>
              <w:t xml:space="preserve">WP-KD-01 —</w:t>
            </w:r>
            <w:r>
              <w:t xml:space="preserve"> </w:t>
            </w:r>
            <w:r>
              <w:rPr>
                <w:bCs/>
                <w:b/>
              </w:rPr>
              <w:t xml:space="preserve">Target</w:t>
            </w:r>
            <w:r>
              <w:t xml:space="preserve"> </w:t>
            </w:r>
            <w:r>
              <w:t xml:space="preserve">operating role</w:t>
            </w:r>
          </w:p>
        </w:tc>
      </w:tr>
      <w:tr>
        <w:tc>
          <w:tcPr/>
          <w:p>
            <w:pPr>
              <w:pStyle w:val="Compact"/>
              <w:jc w:val="left"/>
            </w:pPr>
            <w:r>
              <w:t xml:space="preserve">Future ecosystem partners</w:t>
            </w:r>
          </w:p>
        </w:tc>
        <w:tc>
          <w:tcPr/>
          <w:p>
            <w:pPr>
              <w:pStyle w:val="Compact"/>
              <w:jc w:val="left"/>
            </w:pPr>
            <w:r>
              <w:t xml:space="preserve">Not evidenced —</w:t>
            </w:r>
            <w:r>
              <w:t xml:space="preserve"> </w:t>
            </w:r>
            <w:r>
              <w:rPr>
                <w:bCs/>
                <w:b/>
              </w:rPr>
              <w:t xml:space="preserve">Target</w:t>
            </w:r>
            <w:r>
              <w:t xml:space="preserve">, pending a defined partner-knowledge domain</w:t>
            </w:r>
          </w:p>
        </w:tc>
        <w:tc>
          <w:tcPr/>
          <w:p>
            <w:pPr>
              <w:pStyle w:val="Compact"/>
              <w:jc w:val="left"/>
            </w:pPr>
            <w:r>
              <w:t xml:space="preserve">§4 Partner Knowledge</w:t>
            </w:r>
          </w:p>
        </w:tc>
      </w:tr>
    </w:tbl>
    <w:p>
      <w:pPr>
        <w:pStyle w:val="BodyText"/>
      </w:pPr>
      <w:r>
        <w:t xml:space="preserve">This consumer map is deliberately reused, not re-derived, from the Phase A capability catalog, Phase B domain boundaries, Phase C value streams, and Phase D business services — Phase F states which knowledge and intelligence assets flow to each consumer, not new consumer definitions.</w:t>
      </w:r>
    </w:p>
    <w:p>
      <w:r>
        <w:pict>
          <v:rect style="width:0;height:1.5pt" o:hralign="center" o:hrstd="t" o:hr="t"/>
        </w:pict>
      </w:r>
    </w:p>
    <w:bookmarkEnd w:id="35"/>
    <w:bookmarkStart w:id="36" w:name="knowledge-quality-trust-model"/>
    <w:p>
      <w:pPr>
        <w:pStyle w:val="Heading2"/>
      </w:pPr>
      <w:r>
        <w:t xml:space="preserve">10. Knowledge Quality &amp; Trust Model</w:t>
      </w:r>
    </w:p>
    <w:p>
      <w:pPr>
        <w:pStyle w:val="FirstParagraph"/>
      </w:pPr>
      <w:r>
        <w:t xml:space="preserve">Reused directly from WP-KD-01’s 10-dimension Quality Model and Provenance Model, mapped to their operational status: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Definition</w:t>
            </w:r>
          </w:p>
        </w:tc>
        <w:tc>
          <w:tcPr/>
          <w:p>
            <w:pPr>
              <w:pStyle w:val="Compact"/>
              <w:jc w:val="left"/>
            </w:pPr>
            <w:r>
              <w:t xml:space="preserve">Status</w:t>
            </w:r>
          </w:p>
        </w:tc>
      </w:tr>
      <w:tr>
        <w:tc>
          <w:tcPr/>
          <w:p>
            <w:pPr>
              <w:pStyle w:val="Compact"/>
              <w:jc w:val="left"/>
            </w:pPr>
            <w:r>
              <w:t xml:space="preserve">Completeness</w:t>
            </w:r>
          </w:p>
        </w:tc>
        <w:tc>
          <w:tcPr/>
          <w:p>
            <w:pPr>
              <w:pStyle w:val="Compact"/>
              <w:jc w:val="left"/>
            </w:pPr>
            <w:r>
              <w:t xml:space="preserve">Entity/relationship coverage against domain scope</w:t>
            </w:r>
          </w:p>
        </w:tc>
        <w:tc>
          <w:tcPr/>
          <w:p>
            <w:pPr>
              <w:pStyle w:val="Compact"/>
              <w:jc w:val="left"/>
            </w:pPr>
            <w:r>
              <w:t xml:space="preserve">Design-complete (WP-KD-01)</w:t>
            </w:r>
          </w:p>
        </w:tc>
      </w:tr>
      <w:tr>
        <w:tc>
          <w:tcPr/>
          <w:p>
            <w:pPr>
              <w:pStyle w:val="Compact"/>
              <w:jc w:val="left"/>
            </w:pPr>
            <w:r>
              <w:t xml:space="preserve">Accuracy</w:t>
            </w:r>
          </w:p>
        </w:tc>
        <w:tc>
          <w:tcPr/>
          <w:p>
            <w:pPr>
              <w:pStyle w:val="Compact"/>
              <w:jc w:val="left"/>
            </w:pPr>
            <w:r>
              <w:t xml:space="preserve">Correctness against source and expert review</w:t>
            </w:r>
          </w:p>
        </w:tc>
        <w:tc>
          <w:tcPr/>
          <w:p>
            <w:pPr>
              <w:pStyle w:val="Compact"/>
              <w:jc w:val="left"/>
            </w:pPr>
            <w:r>
              <w:t xml:space="preserve">Design-complete</w:t>
            </w:r>
          </w:p>
        </w:tc>
      </w:tr>
      <w:tr>
        <w:tc>
          <w:tcPr/>
          <w:p>
            <w:pPr>
              <w:pStyle w:val="Compact"/>
              <w:jc w:val="left"/>
            </w:pPr>
            <w:r>
              <w:t xml:space="preserve">Consistency</w:t>
            </w:r>
          </w:p>
        </w:tc>
        <w:tc>
          <w:tcPr/>
          <w:p>
            <w:pPr>
              <w:pStyle w:val="Compact"/>
              <w:jc w:val="left"/>
            </w:pPr>
            <w:r>
              <w:t xml:space="preserve">No contradictory entity claims without disclosed conflict</w:t>
            </w:r>
          </w:p>
        </w:tc>
        <w:tc>
          <w:tcPr/>
          <w:p>
            <w:pPr>
              <w:pStyle w:val="Compact"/>
              <w:jc w:val="left"/>
            </w:pPr>
            <w:r>
              <w:t xml:space="preserve">Partially operational —</w:t>
            </w:r>
            <w:r>
              <w:t xml:space="preserve"> </w:t>
            </w:r>
            <w:r>
              <w:rPr>
                <w:rStyle w:val="VerbatimChar"/>
              </w:rPr>
              <w:t xml:space="preserve">source-intelligence</w:t>
            </w:r>
            <w:r>
              <w:t xml:space="preserve"> </w:t>
            </w:r>
            <w:r>
              <w:t xml:space="preserve">audit trail; full contradiction framework is TARGET</w:t>
            </w:r>
          </w:p>
        </w:tc>
      </w:tr>
      <w:tr>
        <w:tc>
          <w:tcPr/>
          <w:p>
            <w:pPr>
              <w:pStyle w:val="Compact"/>
              <w:jc w:val="left"/>
            </w:pPr>
            <w:r>
              <w:t xml:space="preserve">Freshness</w:t>
            </w:r>
          </w:p>
        </w:tc>
        <w:tc>
          <w:tcPr/>
          <w:p>
            <w:pPr>
              <w:pStyle w:val="Compact"/>
              <w:jc w:val="left"/>
            </w:pPr>
            <w:r>
              <w:t xml:space="preserve">Time since last verified review, calibrated per entity type’s volatility</w:t>
            </w:r>
          </w:p>
        </w:tc>
        <w:tc>
          <w:tcPr/>
          <w:p>
            <w:pPr>
              <w:pStyle w:val="Compact"/>
              <w:jc w:val="left"/>
            </w:pPr>
            <w:r>
              <w:t xml:space="preserve">Design-complete; review-cycle definitions exist, automated staleness detection is TARGET</w:t>
            </w:r>
          </w:p>
        </w:tc>
      </w:tr>
      <w:tr>
        <w:tc>
          <w:tcPr/>
          <w:p>
            <w:pPr>
              <w:pStyle w:val="Compact"/>
              <w:jc w:val="left"/>
            </w:pPr>
            <w:r>
              <w:t xml:space="preserve">Authority</w:t>
            </w:r>
          </w:p>
        </w:tc>
        <w:tc>
          <w:tcPr/>
          <w:p>
            <w:pPr>
              <w:pStyle w:val="Compact"/>
              <w:jc w:val="left"/>
            </w:pPr>
            <w:r>
              <w:t xml:space="preserve">Source’s statutory/professional mandate (Authority Level)</w:t>
            </w:r>
          </w:p>
        </w:tc>
        <w:tc>
          <w:tcPr/>
          <w:p>
            <w:pPr>
              <w:pStyle w:val="Compact"/>
              <w:jc w:val="left"/>
            </w:pPr>
            <w:r>
              <w:t xml:space="preserve">Operational —</w:t>
            </w:r>
            <w:r>
              <w:t xml:space="preserve"> </w:t>
            </w:r>
            <w:r>
              <w:rPr>
                <w:rStyle w:val="VerbatimChar"/>
              </w:rPr>
              <w:t xml:space="preserve">sourceTrust.service.js</w:t>
            </w:r>
          </w:p>
        </w:tc>
      </w:tr>
      <w:tr>
        <w:tc>
          <w:tcPr/>
          <w:p>
            <w:pPr>
              <w:pStyle w:val="Compact"/>
              <w:jc w:val="left"/>
            </w:pPr>
            <w:r>
              <w:t xml:space="preserve">Traceability</w:t>
            </w:r>
          </w:p>
        </w:tc>
        <w:tc>
          <w:tcPr/>
          <w:p>
            <w:pPr>
              <w:pStyle w:val="Compact"/>
              <w:jc w:val="left"/>
            </w:pPr>
            <w:r>
              <w:t xml:space="preserve">Full chain from claim to source to verifier to approver</w:t>
            </w:r>
          </w:p>
        </w:tc>
        <w:tc>
          <w:tcPr/>
          <w:p>
            <w:pPr>
              <w:pStyle w:val="Compact"/>
              <w:jc w:val="left"/>
            </w:pPr>
            <w:r>
              <w:t xml:space="preserve">Operational for sources (</w:t>
            </w:r>
            <w:r>
              <w:rPr>
                <w:rStyle w:val="VerbatimChar"/>
              </w:rPr>
              <w:t xml:space="preserve">sourceAudit.repository.js</w:t>
            </w:r>
            <w:r>
              <w:t xml:space="preserve">); TARGET for full entity/relationship provenance</w:t>
            </w:r>
          </w:p>
        </w:tc>
      </w:tr>
      <w:tr>
        <w:tc>
          <w:tcPr/>
          <w:p>
            <w:pPr>
              <w:pStyle w:val="Compact"/>
              <w:jc w:val="left"/>
            </w:pPr>
            <w:r>
              <w:t xml:space="preserve">Explainability</w:t>
            </w:r>
          </w:p>
        </w:tc>
        <w:tc>
          <w:tcPr/>
          <w:p>
            <w:pPr>
              <w:pStyle w:val="Compact"/>
              <w:jc w:val="left"/>
            </w:pPr>
            <w:r>
              <w:t xml:space="preserve">Every relationship carries a plain-English rationale</w:t>
            </w:r>
          </w:p>
        </w:tc>
        <w:tc>
          <w:tcPr/>
          <w:p>
            <w:pPr>
              <w:pStyle w:val="Compact"/>
              <w:jc w:val="left"/>
            </w:pPr>
            <w:r>
              <w:t xml:space="preserve">Design-complete — WP-KP-01 Relationship Intelligence Framework, WP-KRA-01</w:t>
            </w:r>
          </w:p>
        </w:tc>
      </w:tr>
      <w:tr>
        <w:tc>
          <w:tcPr/>
          <w:p>
            <w:pPr>
              <w:pStyle w:val="Compact"/>
              <w:jc w:val="left"/>
            </w:pPr>
            <w:r>
              <w:t xml:space="preserve">Provenance</w:t>
            </w:r>
          </w:p>
        </w:tc>
        <w:tc>
          <w:tcPr/>
          <w:p>
            <w:pPr>
              <w:pStyle w:val="Compact"/>
              <w:jc w:val="left"/>
            </w:pPr>
            <w:r>
              <w:t xml:space="preserve">Every entity records its origin, verifier, confidence</w:t>
            </w:r>
          </w:p>
        </w:tc>
        <w:tc>
          <w:tcPr/>
          <w:p>
            <w:pPr>
              <w:pStyle w:val="Compact"/>
              <w:jc w:val="left"/>
            </w:pPr>
            <w:r>
              <w:t xml:space="preserve">Design-complete (WP-KD-01 Provenance Model)</w:t>
            </w:r>
          </w:p>
        </w:tc>
      </w:tr>
      <w:tr>
        <w:tc>
          <w:tcPr/>
          <w:p>
            <w:pPr>
              <w:pStyle w:val="Compact"/>
              <w:jc w:val="left"/>
            </w:pPr>
            <w:r>
              <w:t xml:space="preserve">Governance (bias/coverage)</w:t>
            </w:r>
          </w:p>
        </w:tc>
        <w:tc>
          <w:tcPr/>
          <w:p>
            <w:pPr>
              <w:pStyle w:val="Compact"/>
              <w:jc w:val="left"/>
            </w:pPr>
            <w:r>
              <w:t xml:space="preserve">Explicit bias and coverage scoring</w:t>
            </w:r>
          </w:p>
        </w:tc>
        <w:tc>
          <w:tcPr/>
          <w:p>
            <w:pPr>
              <w:pStyle w:val="Compact"/>
              <w:jc w:val="left"/>
            </w:pPr>
            <w:r>
              <w:t xml:space="preserve">Design-complete</w:t>
            </w:r>
          </w:p>
        </w:tc>
      </w:tr>
      <w:tr>
        <w:tc>
          <w:tcPr/>
          <w:p>
            <w:pPr>
              <w:pStyle w:val="Compact"/>
              <w:jc w:val="left"/>
            </w:pPr>
            <w:r>
              <w:t xml:space="preserve">Business trust / human oversight</w:t>
            </w:r>
          </w:p>
        </w:tc>
        <w:tc>
          <w:tcPr/>
          <w:p>
            <w:pPr>
              <w:pStyle w:val="Compact"/>
              <w:jc w:val="left"/>
            </w:pPr>
            <w:r>
              <w:t xml:space="preserve">No AI-originated publish; human approval mandatory</w:t>
            </w:r>
          </w:p>
        </w:tc>
        <w:tc>
          <w:tcPr/>
          <w:p>
            <w:pPr>
              <w:pStyle w:val="Compact"/>
              <w:jc w:val="left"/>
            </w:pPr>
            <w:r>
              <w:t xml:space="preserve">Operational governance rule (WP-KD-01)</w:t>
            </w:r>
          </w:p>
        </w:tc>
      </w:tr>
    </w:tbl>
    <w:p>
      <w:r>
        <w:pict>
          <v:rect style="width:0;height:1.5pt" o:hralign="center" o:hrstd="t" o:hr="t"/>
        </w:pict>
      </w:r>
    </w:p>
    <w:bookmarkEnd w:id="36"/>
    <w:bookmarkStart w:id="37" w:name="current-state-vs-target-state"/>
    <w:p>
      <w:pPr>
        <w:pStyle w:val="Heading2"/>
      </w:pPr>
      <w:r>
        <w:t xml:space="preserve">11. Current State vs Target State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Current State</w:t>
            </w:r>
          </w:p>
        </w:tc>
        <w:tc>
          <w:tcPr/>
          <w:p>
            <w:pPr>
              <w:pStyle w:val="Compact"/>
              <w:jc w:val="left"/>
            </w:pPr>
            <w:r>
              <w:t xml:space="preserve">Target State</w:t>
            </w:r>
          </w:p>
        </w:tc>
        <w:tc>
          <w:tcPr/>
          <w:p>
            <w:pPr>
              <w:pStyle w:val="Compact"/>
              <w:jc w:val="left"/>
            </w:pPr>
            <w:r>
              <w:t xml:space="preserve">Adoption Trigger</w:t>
            </w:r>
          </w:p>
        </w:tc>
      </w:tr>
      <w:tr>
        <w:tc>
          <w:tcPr/>
          <w:p>
            <w:pPr>
              <w:pStyle w:val="Compact"/>
              <w:jc w:val="left"/>
            </w:pPr>
            <w:r>
              <w:t xml:space="preserve">External knowledge ingestion</w:t>
            </w:r>
          </w:p>
        </w:tc>
        <w:tc>
          <w:tcPr/>
          <w:p>
            <w:pPr>
              <w:pStyle w:val="Compact"/>
              <w:jc w:val="left"/>
            </w:pPr>
            <w:r>
              <w:t xml:space="preserve">Direct engine-level ingestion (</w:t>
            </w:r>
            <w:r>
              <w:rPr>
                <w:rStyle w:val="VerbatimChar"/>
              </w:rPr>
              <w:t xml:space="preserve">salaryImport</w:t>
            </w:r>
            <w:r>
              <w:t xml:space="preserve">,</w:t>
            </w:r>
            <w:r>
              <w:t xml:space="preserve"> </w:t>
            </w:r>
            <w:r>
              <w:rPr>
                <w:rStyle w:val="VerbatimChar"/>
              </w:rPr>
              <w:t xml:space="preserve">labor-market-intelligence/collectors</w:t>
            </w:r>
            <w:r>
              <w:t xml:space="preserve">) plus a working source registry (</w:t>
            </w:r>
            <w:r>
              <w:rPr>
                <w:rStyle w:val="VerbatimChar"/>
              </w:rPr>
              <w:t xml:space="preserve">source-intelligence</w:t>
            </w:r>
            <w:r>
              <w:t xml:space="preserve">)</w:t>
            </w:r>
          </w:p>
        </w:tc>
        <w:tc>
          <w:tcPr/>
          <w:p>
            <w:pPr>
              <w:pStyle w:val="Compact"/>
              <w:jc w:val="left"/>
            </w:pPr>
            <w:r>
              <w:t xml:space="preserve">Single governed ingestion boundary — COM, Data Feed App, Canonical Knowledge Publishing operating as distinct pipeline stages</w:t>
            </w:r>
          </w:p>
        </w:tc>
        <w:tc>
          <w:tcPr/>
          <w:p>
            <w:pPr>
              <w:pStyle w:val="Compact"/>
              <w:jc w:val="left"/>
            </w:pPr>
            <w:r>
              <w:t xml:space="preserve">Two or more modules independently duplicate source-ingestion logic</w:t>
            </w:r>
          </w:p>
        </w:tc>
      </w:tr>
      <w:tr>
        <w:tc>
          <w:tcPr/>
          <w:p>
            <w:pPr>
              <w:pStyle w:val="Compact"/>
              <w:jc w:val="left"/>
            </w:pPr>
            <w:r>
              <w:t xml:space="preserve">Knowledge quality gating</w:t>
            </w:r>
          </w:p>
        </w:tc>
        <w:tc>
          <w:tcPr/>
          <w:p>
            <w:pPr>
              <w:pStyle w:val="Compact"/>
              <w:jc w:val="left"/>
            </w:pPr>
            <w:r>
              <w:t xml:space="preserve">Quality Model is design-complete; not yet a code-enforced publish gate</w:t>
            </w:r>
          </w:p>
        </w:tc>
        <w:tc>
          <w:tcPr/>
          <w:p>
            <w:pPr>
              <w:pStyle w:val="Compact"/>
              <w:jc w:val="left"/>
            </w:pPr>
            <w:r>
              <w:t xml:space="preserve">Automated quality scoring blocks publication below threshold</w:t>
            </w:r>
          </w:p>
        </w:tc>
        <w:tc>
          <w:tcPr/>
          <w:p>
            <w:pPr>
              <w:pStyle w:val="Compact"/>
              <w:jc w:val="left"/>
            </w:pPr>
            <w:r>
              <w:t xml:space="preserve">First externally-sourced data-quality incident traced to a preventable gap</w:t>
            </w:r>
          </w:p>
        </w:tc>
      </w:tr>
      <w:tr>
        <w:tc>
          <w:tcPr/>
          <w:p>
            <w:pPr>
              <w:pStyle w:val="Compact"/>
              <w:jc w:val="left"/>
            </w:pPr>
            <w:r>
              <w:t xml:space="preserve">Knowledge stewardship</w:t>
            </w:r>
          </w:p>
        </w:tc>
        <w:tc>
          <w:tcPr/>
          <w:p>
            <w:pPr>
              <w:pStyle w:val="Compact"/>
              <w:jc w:val="left"/>
            </w:pPr>
            <w:r>
              <w:t xml:space="preserve">Single engineering team owns all domains</w:t>
            </w:r>
          </w:p>
        </w:tc>
        <w:tc>
          <w:tcPr/>
          <w:p>
            <w:pPr>
              <w:pStyle w:val="Compact"/>
              <w:jc w:val="left"/>
            </w:pPr>
            <w:r>
              <w:t xml:space="preserve">Three-tier governance (Council / Domain Officers / Curation Team)</w:t>
            </w:r>
          </w:p>
        </w:tc>
        <w:tc>
          <w:tcPr/>
          <w:p>
            <w:pPr>
              <w:pStyle w:val="Compact"/>
              <w:jc w:val="left"/>
            </w:pPr>
            <w:r>
              <w:t xml:space="preserve">Sustained curation backlog against WP-KD-01 review-cycle SLAs</w:t>
            </w:r>
          </w:p>
        </w:tc>
      </w:tr>
      <w:tr>
        <w:tc>
          <w:tcPr/>
          <w:p>
            <w:pPr>
              <w:pStyle w:val="Compact"/>
              <w:jc w:val="left"/>
            </w:pPr>
            <w:r>
              <w:t xml:space="preserve">Reasoning pipeline</w:t>
            </w:r>
          </w:p>
        </w:tc>
        <w:tc>
          <w:tcPr/>
          <w:p>
            <w:pPr>
              <w:pStyle w:val="Compact"/>
              <w:jc w:val="left"/>
            </w:pPr>
            <w:r>
              <w:t xml:space="preserve">Design-complete (WP-KR-01/WP-KRA-01); partially reflected in</w:t>
            </w:r>
            <w:r>
              <w:t xml:space="preserve"> </w:t>
            </w:r>
            <w:r>
              <w:rPr>
                <w:rStyle w:val="VerbatimChar"/>
              </w:rPr>
              <w:t xml:space="preserve">knowledge-runtime/decision</w:t>
            </w:r>
          </w:p>
        </w:tc>
        <w:tc>
          <w:tcPr/>
          <w:p>
            <w:pPr>
              <w:pStyle w:val="Compact"/>
              <w:jc w:val="left"/>
            </w:pPr>
            <w:r>
              <w:t xml:space="preserve">Full 8-stage pipeline operating end-to-end with reasoning trace persisted per recommendation</w:t>
            </w:r>
          </w:p>
        </w:tc>
        <w:tc>
          <w:tcPr/>
          <w:p>
            <w:pPr>
              <w:pStyle w:val="Compact"/>
              <w:jc w:val="left"/>
            </w:pPr>
            <w:r>
              <w:t xml:space="preserve">MIE/HSIE recommendation volume where manual QA of rationale is no longer feasible</w:t>
            </w:r>
          </w:p>
        </w:tc>
      </w:tr>
      <w:tr>
        <w:tc>
          <w:tcPr/>
          <w:p>
            <w:pPr>
              <w:pStyle w:val="Compact"/>
              <w:jc w:val="left"/>
            </w:pPr>
            <w:r>
              <w:t xml:space="preserve">Outcome measurement</w:t>
            </w:r>
          </w:p>
        </w:tc>
        <w:tc>
          <w:tcPr/>
          <w:p>
            <w:pPr>
              <w:pStyle w:val="Compact"/>
              <w:jc w:val="left"/>
            </w:pPr>
            <w:r>
              <w:t xml:space="preserve">Not implemented</w:t>
            </w:r>
          </w:p>
        </w:tc>
        <w:tc>
          <w:tcPr/>
          <w:p>
            <w:pPr>
              <w:pStyle w:val="Compact"/>
              <w:jc w:val="left"/>
            </w:pPr>
            <w:r>
              <w:t xml:space="preserve">Career Outcome Intelligence live as a batch, longitudinal consumer</w:t>
            </w:r>
          </w:p>
        </w:tc>
        <w:tc>
          <w:tcPr/>
          <w:p>
            <w:pPr>
              <w:pStyle w:val="Compact"/>
              <w:jc w:val="left"/>
            </w:pPr>
            <w:r>
              <w:t xml:space="preserve">A cohort with sufficient post-recommendation outcome data (e.g., one academic cycle) becomes available</w:t>
            </w:r>
          </w:p>
        </w:tc>
      </w:tr>
      <w:tr>
        <w:tc>
          <w:tcPr/>
          <w:p>
            <w:pPr>
              <w:pStyle w:val="Compact"/>
              <w:jc w:val="left"/>
            </w:pPr>
            <w:r>
              <w:t xml:space="preserve">International knowledge</w:t>
            </w:r>
          </w:p>
        </w:tc>
        <w:tc>
          <w:tcPr/>
          <w:p>
            <w:pPr>
              <w:pStyle w:val="Compact"/>
              <w:jc w:val="left"/>
            </w:pPr>
            <w:r>
              <w:t xml:space="preserve">India-only (Indian Education Reference Model)</w:t>
            </w:r>
          </w:p>
        </w:tc>
        <w:tc>
          <w:tcPr/>
          <w:p>
            <w:pPr>
              <w:pStyle w:val="Compact"/>
              <w:jc w:val="left"/>
            </w:pPr>
            <w:r>
              <w:t xml:space="preserve">Portable ontology supporting additional national curricula</w:t>
            </w:r>
          </w:p>
        </w:tc>
        <w:tc>
          <w:tcPr/>
          <w:p>
            <w:pPr>
              <w:pStyle w:val="Compact"/>
              <w:jc w:val="left"/>
            </w:pPr>
            <w:r>
              <w:t xml:space="preserve">First confirmed non-India market commitment (WP-KP-01 Wave 9)</w:t>
            </w:r>
          </w:p>
        </w:tc>
      </w:tr>
      <w:tr>
        <w:tc>
          <w:tcPr/>
          <w:p>
            <w:pPr>
              <w:pStyle w:val="Compact"/>
              <w:jc w:val="left"/>
            </w:pPr>
            <w:r>
              <w:t xml:space="preserve">Employer/Partner knowledge</w:t>
            </w:r>
          </w:p>
        </w:tc>
        <w:tc>
          <w:tcPr/>
          <w:p>
            <w:pPr>
              <w:pStyle w:val="Compact"/>
              <w:jc w:val="left"/>
            </w:pPr>
            <w:r>
              <w:t xml:space="preserve">Partial (</w:t>
            </w:r>
            <w:r>
              <w:rPr>
                <w:rStyle w:val="VerbatimChar"/>
              </w:rPr>
              <w:t xml:space="preserve">employer</w:t>
            </w:r>
            <w:r>
              <w:t xml:space="preserve"> </w:t>
            </w:r>
            <w:r>
              <w:t xml:space="preserve">module); no distinct governed domain</w:t>
            </w:r>
          </w:p>
        </w:tc>
        <w:tc>
          <w:tcPr/>
          <w:p>
            <w:pPr>
              <w:pStyle w:val="Compact"/>
              <w:jc w:val="left"/>
            </w:pPr>
            <w:r>
              <w:t xml:space="preserve">Employer Knowledge and Partner Knowledge as first-class governed domains</w:t>
            </w:r>
          </w:p>
        </w:tc>
        <w:tc>
          <w:tcPr/>
          <w:p>
            <w:pPr>
              <w:pStyle w:val="Compact"/>
              <w:jc w:val="left"/>
            </w:pPr>
            <w:r>
              <w:t xml:space="preserve">Employer-side product surface (e.g., employer-facing intelligence) reaches production</w:t>
            </w:r>
          </w:p>
        </w:tc>
      </w:tr>
    </w:tbl>
    <w:p>
      <w:r>
        <w:pict>
          <v:rect style="width:0;height:1.5pt" o:hralign="center" o:hrstd="t" o:hr="t"/>
        </w:pict>
      </w:r>
    </w:p>
    <w:bookmarkEnd w:id="37"/>
    <w:bookmarkStart w:id="38" w:name="enterprise-knowledge-heat-map"/>
    <w:p>
      <w:pPr>
        <w:pStyle w:val="Heading2"/>
      </w:pPr>
      <w:r>
        <w:t xml:space="preserve">12. Enterprise Knowledge Heat Map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Classification</w:t>
            </w:r>
          </w:p>
        </w:tc>
        <w:tc>
          <w:tcPr/>
          <w:p>
            <w:pPr>
              <w:pStyle w:val="Compact"/>
              <w:jc w:val="left"/>
            </w:pPr>
            <w:r>
              <w:t xml:space="preserve">Assets</w:t>
            </w:r>
          </w:p>
        </w:tc>
        <w:tc>
          <w:tcPr/>
          <w:p>
            <w:pPr>
              <w:pStyle w:val="Compact"/>
              <w:jc w:val="left"/>
            </w:pPr>
            <w:r>
              <w:t xml:space="preserve">Rationale</w:t>
            </w:r>
          </w:p>
        </w:tc>
      </w:tr>
      <w:tr>
        <w:tc>
          <w:tcPr/>
          <w:p>
            <w:pPr>
              <w:pStyle w:val="Compact"/>
              <w:jc w:val="left"/>
            </w:pPr>
            <w:r>
              <w:rPr>
                <w:bCs/>
                <w:b/>
              </w:rPr>
              <w:t xml:space="preserve">Strategic Investment</w:t>
            </w:r>
          </w:p>
        </w:tc>
        <w:tc>
          <w:tcPr/>
          <w:p>
            <w:pPr>
              <w:pStyle w:val="Compact"/>
              <w:jc w:val="left"/>
            </w:pPr>
            <w:r>
              <w:t xml:space="preserve">Academic Ontology, Career Ontology, Reasoning Architecture (WP-KR-01/KRA-01), Source Intelligence</w:t>
            </w:r>
          </w:p>
        </w:tc>
        <w:tc>
          <w:tcPr/>
          <w:p>
            <w:pPr>
              <w:pStyle w:val="Compact"/>
              <w:jc w:val="left"/>
            </w:pPr>
            <w:r>
              <w:t xml:space="preserve">Directly gate the trustworthiness of every recommendation; largest design investment in the repository; only partially operational, highest-leverage build-out</w:t>
            </w:r>
          </w:p>
        </w:tc>
      </w:tr>
      <w:tr>
        <w:tc>
          <w:tcPr/>
          <w:p>
            <w:pPr>
              <w:pStyle w:val="Compact"/>
              <w:jc w:val="left"/>
            </w:pPr>
            <w:r>
              <w:rPr>
                <w:bCs/>
                <w:b/>
              </w:rPr>
              <w:t xml:space="preserve">Maintain</w:t>
            </w:r>
          </w:p>
        </w:tc>
        <w:tc>
          <w:tcPr/>
          <w:p>
            <w:pPr>
              <w:pStyle w:val="Compact"/>
              <w:jc w:val="left"/>
            </w:pPr>
            <w:r>
              <w:t xml:space="preserve">Student Intelligence Model, MIE/HSIE recommendation logic</w:t>
            </w:r>
          </w:p>
        </w:tc>
        <w:tc>
          <w:tcPr/>
          <w:p>
            <w:pPr>
              <w:pStyle w:val="Compact"/>
              <w:jc w:val="left"/>
            </w:pPr>
            <w:r>
              <w:t xml:space="preserve">Functionally complete flagship capability; incremental refinement, not redesign</w:t>
            </w:r>
          </w:p>
        </w:tc>
      </w:tr>
      <w:tr>
        <w:tc>
          <w:tcPr/>
          <w:p>
            <w:pPr>
              <w:pStyle w:val="Compact"/>
              <w:jc w:val="left"/>
            </w:pPr>
            <w:r>
              <w:rPr>
                <w:bCs/>
                <w:b/>
              </w:rPr>
              <w:t xml:space="preserve">Improve</w:t>
            </w:r>
          </w:p>
        </w:tc>
        <w:tc>
          <w:tcPr/>
          <w:p>
            <w:pPr>
              <w:pStyle w:val="Compact"/>
              <w:jc w:val="left"/>
            </w:pPr>
            <w:r>
              <w:t xml:space="preserve">Knowledge Quality Model enforcement, Provenance Model operationalization</w:t>
            </w:r>
          </w:p>
        </w:tc>
        <w:tc>
          <w:tcPr/>
          <w:p>
            <w:pPr>
              <w:pStyle w:val="Compact"/>
              <w:jc w:val="left"/>
            </w:pPr>
            <w:r>
              <w:t xml:space="preserve">Design-complete but not yet code-enforced; improving this closes the largest current gap between documented governance and operating governance</w:t>
            </w:r>
          </w:p>
        </w:tc>
      </w:tr>
      <w:tr>
        <w:tc>
          <w:tcPr/>
          <w:p>
            <w:pPr>
              <w:pStyle w:val="Compact"/>
              <w:jc w:val="left"/>
            </w:pPr>
            <w:r>
              <w:rPr>
                <w:bCs/>
                <w:b/>
              </w:rPr>
              <w:t xml:space="preserve">Emerging</w:t>
            </w:r>
          </w:p>
        </w:tc>
        <w:tc>
          <w:tcPr/>
          <w:p>
            <w:pPr>
              <w:pStyle w:val="Compact"/>
              <w:jc w:val="left"/>
            </w:pPr>
            <w:r>
              <w:t xml:space="preserve">Salary Intelligence, Labor Market Intelligence</w:t>
            </w:r>
          </w:p>
        </w:tc>
        <w:tc>
          <w:tcPr/>
          <w:p>
            <w:pPr>
              <w:pStyle w:val="Compact"/>
              <w:jc w:val="left"/>
            </w:pPr>
            <w:r>
              <w:t xml:space="preserve">Working modules with real reference data, still maturing coverage and freshness automation</w:t>
            </w:r>
          </w:p>
        </w:tc>
      </w:tr>
      <w:tr>
        <w:tc>
          <w:tcPr/>
          <w:p>
            <w:pPr>
              <w:pStyle w:val="Compact"/>
              <w:jc w:val="left"/>
            </w:pPr>
            <w:r>
              <w:rPr>
                <w:bCs/>
                <w:b/>
              </w:rPr>
              <w:t xml:space="preserve">Experimental</w:t>
            </w:r>
          </w:p>
        </w:tc>
        <w:tc>
          <w:tcPr/>
          <w:p>
            <w:pPr>
              <w:pStyle w:val="Compact"/>
              <w:jc w:val="left"/>
            </w:pPr>
            <w:r>
              <w:t xml:space="preserve">AI-Assisted Curation</w:t>
            </w:r>
          </w:p>
        </w:tc>
        <w:tc>
          <w:tcPr/>
          <w:p>
            <w:pPr>
              <w:pStyle w:val="Compact"/>
              <w:jc w:val="left"/>
            </w:pPr>
            <w:r>
              <w:t xml:space="preserve">Explicitly scoped in WP-KD-01 as proposal-only, human-gated; not yet proven at volume</w:t>
            </w:r>
          </w:p>
        </w:tc>
      </w:tr>
      <w:tr>
        <w:tc>
          <w:tcPr/>
          <w:p>
            <w:pPr>
              <w:pStyle w:val="Compact"/>
              <w:jc w:val="left"/>
            </w:pPr>
            <w:r>
              <w:rPr>
                <w:bCs/>
                <w:b/>
              </w:rPr>
              <w:t xml:space="preserve">Future</w:t>
            </w:r>
          </w:p>
        </w:tc>
        <w:tc>
          <w:tcPr/>
          <w:p>
            <w:pPr>
              <w:pStyle w:val="Compact"/>
              <w:jc w:val="left"/>
            </w:pPr>
            <w:r>
              <w:t xml:space="preserve">Career Outcome Intelligence, International Knowledge, Partner Knowledge</w:t>
            </w:r>
          </w:p>
        </w:tc>
        <w:tc>
          <w:tcPr/>
          <w:p>
            <w:pPr>
              <w:pStyle w:val="Compact"/>
              <w:jc w:val="left"/>
            </w:pPr>
            <w:r>
              <w:t xml:space="preserve">Named and architecturally anticipated; no operating implementation</w:t>
            </w:r>
          </w:p>
        </w:tc>
      </w:tr>
      <w:tr>
        <w:tc>
          <w:tcPr/>
          <w:p>
            <w:pPr>
              <w:pStyle w:val="Compact"/>
              <w:jc w:val="left"/>
            </w:pPr>
            <w:r>
              <w:rPr>
                <w:bCs/>
                <w:b/>
              </w:rPr>
              <w:t xml:space="preserve">Legacy</w:t>
            </w:r>
          </w:p>
        </w:tc>
        <w:tc>
          <w:tcPr/>
          <w:p>
            <w:pPr>
              <w:pStyle w:val="Compact"/>
              <w:jc w:val="left"/>
            </w:pPr>
            <w:r>
              <w:t xml:space="preserve">—</w:t>
            </w:r>
          </w:p>
        </w:tc>
        <w:tc>
          <w:tcPr/>
          <w:p>
            <w:pPr>
              <w:pStyle w:val="Compact"/>
              <w:jc w:val="left"/>
            </w:pPr>
            <w:r>
              <w:t xml:space="preserve">No repository evidence of deprecated knowledge assets; omitted per instruction to include only where evidenced</w:t>
            </w:r>
          </w:p>
        </w:tc>
      </w:tr>
    </w:tbl>
    <w:p>
      <w:r>
        <w:pict>
          <v:rect style="width:0;height:1.5pt" o:hralign="center" o:hrstd="t" o:hr="t"/>
        </w:pict>
      </w:r>
    </w:p>
    <w:bookmarkEnd w:id="38"/>
    <w:bookmarkStart w:id="39" w:name="enterprise-knowledge-roadmap"/>
    <w:p>
      <w:pPr>
        <w:pStyle w:val="Heading2"/>
      </w:pPr>
      <w:r>
        <w:t xml:space="preserve">13. Enterprise Knowledge Roadmap</w:t>
      </w:r>
    </w:p>
    <w:p>
      <w:pPr>
        <w:pStyle w:val="FirstParagraph"/>
      </w:pPr>
      <w:r>
        <w:rPr>
          <w:bCs/>
          <w:b/>
        </w:rPr>
        <w:t xml:space="preserve">Short-term (0–2 quarters).</w:t>
      </w:r>
      <w:r>
        <w:t xml:space="preserve"> </w:t>
      </w:r>
      <w:r>
        <w:t xml:space="preserve">Operationalize the Knowledge Quality Model as a code-enforced publish gate on top of the existing</w:t>
      </w:r>
      <w:r>
        <w:t xml:space="preserve"> </w:t>
      </w:r>
      <w:r>
        <w:rPr>
          <w:rStyle w:val="VerbatimChar"/>
        </w:rPr>
        <w:t xml:space="preserve">source-intelligence</w:t>
      </w:r>
      <w:r>
        <w:t xml:space="preserve"> </w:t>
      </w:r>
      <w:r>
        <w:t xml:space="preserve">governance service.</w:t>
      </w:r>
      <w:r>
        <w:t xml:space="preserve"> </w:t>
      </w:r>
      <w:r>
        <w:rPr>
          <w:iCs/>
          <w:i/>
        </w:rPr>
        <w:t xml:space="preserve">Adoption trigger:</w:t>
      </w:r>
      <w:r>
        <w:t xml:space="preserve"> </w:t>
      </w:r>
      <w:r>
        <w:t xml:space="preserve">any externally-sourced knowledge update reaching a consuming engine without a recorded quality score.</w:t>
      </w:r>
    </w:p>
    <w:p>
      <w:pPr>
        <w:pStyle w:val="BodyText"/>
      </w:pPr>
      <w:r>
        <w:rPr>
          <w:bCs/>
          <w:b/>
        </w:rPr>
        <w:t xml:space="preserve">Medium-term (2–4 quarters).</w:t>
      </w:r>
      <w:r>
        <w:t xml:space="preserve"> </w:t>
      </w:r>
      <w:r>
        <w:t xml:space="preserve">Stand up the Data Feed App and Canonical Knowledge Publishing pipeline stages named in WP-P2-01/EEP-01 Phase C, consolidating today’s per-module ingestion (</w:t>
      </w:r>
      <w:r>
        <w:rPr>
          <w:rStyle w:val="VerbatimChar"/>
        </w:rPr>
        <w:t xml:space="preserve">salaryImport</w:t>
      </w:r>
      <w:r>
        <w:t xml:space="preserve">,</w:t>
      </w:r>
      <w:r>
        <w:t xml:space="preserve"> </w:t>
      </w:r>
      <w:r>
        <w:rPr>
          <w:rStyle w:val="VerbatimChar"/>
        </w:rPr>
        <w:t xml:space="preserve">labor-market-intelligence/collectors</w:t>
      </w:r>
      <w:r>
        <w:t xml:space="preserve">) behind the single governed boundary the architecture already specifies.</w:t>
      </w:r>
      <w:r>
        <w:t xml:space="preserve"> </w:t>
      </w:r>
      <w:r>
        <w:rPr>
          <w:iCs/>
          <w:i/>
        </w:rPr>
        <w:t xml:space="preserve">Adoption trigger:</w:t>
      </w:r>
      <w:r>
        <w:t xml:space="preserve"> </w:t>
      </w:r>
      <w:r>
        <w:t xml:space="preserve">a second independent ingestion pathway is added to the codebase, evidencing the duplication this stage is meant to prevent.</w:t>
      </w:r>
    </w:p>
    <w:p>
      <w:pPr>
        <w:pStyle w:val="BodyText"/>
      </w:pPr>
      <w:r>
        <w:rPr>
          <w:bCs/>
          <w:b/>
        </w:rPr>
        <w:t xml:space="preserve">Long-term (4+ quarters).</w:t>
      </w:r>
      <w:r>
        <w:t xml:space="preserve"> </w:t>
      </w:r>
      <w:r>
        <w:t xml:space="preserve">Bring Career Outcome Intelligence online as a batch/longitudinal consumer, closing the recommend → outcome → recalibrate loop.</w:t>
      </w:r>
      <w:r>
        <w:t xml:space="preserve"> </w:t>
      </w:r>
      <w:r>
        <w:rPr>
          <w:iCs/>
          <w:i/>
        </w:rPr>
        <w:t xml:space="preserve">Adoption trigger:</w:t>
      </w:r>
      <w:r>
        <w:t xml:space="preserve"> </w:t>
      </w:r>
      <w:r>
        <w:t xml:space="preserve">a cohort of students with at least one full academic cycle of post-recommendation outcome data becomes available.</w:t>
      </w:r>
    </w:p>
    <w:p>
      <w:pPr>
        <w:pStyle w:val="BodyText"/>
      </w:pPr>
      <w:r>
        <w:rPr>
          <w:bCs/>
          <w:b/>
        </w:rPr>
        <w:t xml:space="preserve">Enterprise evolution.</w:t>
      </w:r>
      <w:r>
        <w:t xml:space="preserve"> </w:t>
      </w:r>
      <w:r>
        <w:t xml:space="preserve">Move knowledge stewardship from single-team ownership to the three-tier governance model (§7) as domain count and curation volume grow beyond one team’s sustainable review capacity, and extend the ontology to additional national curricula upon confirmed international-market commitment (WP-KP-01 Wave 9).</w:t>
      </w:r>
    </w:p>
    <w:p>
      <w:r>
        <w:pict>
          <v:rect style="width:0;height:1.5pt" o:hralign="center" o:hrstd="t" o:hr="t"/>
        </w:pict>
      </w:r>
    </w:p>
    <w:bookmarkEnd w:id="39"/>
    <w:bookmarkStart w:id="40" w:name="traceability"/>
    <w:p>
      <w:pPr>
        <w:pStyle w:val="Heading2"/>
      </w:pPr>
      <w:r>
        <w:t xml:space="preserve">14. Traceability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This Phase (F)</w:t>
            </w:r>
          </w:p>
        </w:tc>
        <w:tc>
          <w:tcPr/>
          <w:p>
            <w:pPr>
              <w:pStyle w:val="Compact"/>
              <w:jc w:val="left"/>
            </w:pPr>
            <w:r>
              <w:t xml:space="preserve">Traces to</w:t>
            </w:r>
          </w:p>
        </w:tc>
      </w:tr>
      <w:tr>
        <w:tc>
          <w:tcPr/>
          <w:p>
            <w:pPr>
              <w:pStyle w:val="Compact"/>
              <w:jc w:val="left"/>
            </w:pPr>
            <w:r>
              <w:t xml:space="preserve">Academic, Career, Skill, Labor Market, Salary Knowledge</w:t>
            </w:r>
          </w:p>
        </w:tc>
        <w:tc>
          <w:tcPr/>
          <w:p>
            <w:pPr>
              <w:pStyle w:val="Compact"/>
              <w:jc w:val="left"/>
            </w:pPr>
            <w:r>
              <w:t xml:space="preserve">EEP-02 Phase A capabilities (student guidance, career matching, labor-market signal capabilities)</w:t>
            </w:r>
          </w:p>
        </w:tc>
      </w:tr>
      <w:tr>
        <w:tc>
          <w:tcPr/>
          <w:p>
            <w:pPr>
              <w:pStyle w:val="Compact"/>
              <w:jc w:val="left"/>
            </w:pPr>
            <w:r>
              <w:t xml:space="preserve">Knowledge domain boundaries (8 domains, WP-KP-01)</w:t>
            </w:r>
          </w:p>
        </w:tc>
        <w:tc>
          <w:tcPr/>
          <w:p>
            <w:pPr>
              <w:pStyle w:val="Compact"/>
              <w:jc w:val="left"/>
            </w:pPr>
            <w:r>
              <w:t xml:space="preserve">EEP-02 Phase B business domains</w:t>
            </w:r>
          </w:p>
        </w:tc>
      </w:tr>
      <w:tr>
        <w:tc>
          <w:tcPr/>
          <w:p>
            <w:pPr>
              <w:pStyle w:val="Compact"/>
              <w:jc w:val="left"/>
            </w:pPr>
            <w:r>
              <w:t xml:space="preserve">Recommendation and reasoning intelligence</w:t>
            </w:r>
          </w:p>
        </w:tc>
        <w:tc>
          <w:tcPr/>
          <w:p>
            <w:pPr>
              <w:pStyle w:val="Compact"/>
              <w:jc w:val="left"/>
            </w:pPr>
            <w:r>
              <w:t xml:space="preserve">EEP-02 Phase C value streams (student decision journeys)</w:t>
            </w:r>
          </w:p>
        </w:tc>
      </w:tr>
      <w:tr>
        <w:tc>
          <w:tcPr/>
          <w:p>
            <w:pPr>
              <w:pStyle w:val="Compact"/>
              <w:jc w:val="left"/>
            </w:pPr>
            <w:r>
              <w:t xml:space="preserve">Knowledge governance, curation, source management</w:t>
            </w:r>
          </w:p>
        </w:tc>
        <w:tc>
          <w:tcPr/>
          <w:p>
            <w:pPr>
              <w:pStyle w:val="Compact"/>
              <w:jc w:val="left"/>
            </w:pPr>
            <w:r>
              <w:t xml:space="preserve">EEP-02 Phase D business services</w:t>
            </w:r>
          </w:p>
        </w:tc>
      </w:tr>
      <w:tr>
        <w:tc>
          <w:tcPr/>
          <w:p>
            <w:pPr>
              <w:pStyle w:val="Compact"/>
              <w:jc w:val="left"/>
            </w:pPr>
            <w:r>
              <w:t xml:space="preserve">Knowledge lifecycle stages (§6)</w:t>
            </w:r>
          </w:p>
        </w:tc>
        <w:tc>
          <w:tcPr/>
          <w:p>
            <w:pPr>
              <w:pStyle w:val="Compact"/>
              <w:jc w:val="left"/>
            </w:pPr>
            <w:r>
              <w:t xml:space="preserve">EEP-02 Phase E business processes</w:t>
            </w:r>
          </w:p>
        </w:tc>
      </w:tr>
      <w:tr>
        <w:tc>
          <w:tcPr/>
          <w:p>
            <w:pPr>
              <w:pStyle w:val="Compact"/>
              <w:jc w:val="left"/>
            </w:pPr>
            <w:r>
              <w:t xml:space="preserve">Event-driven ingestion boundary (Data Feed App), AI event contracts</w:t>
            </w:r>
          </w:p>
        </w:tc>
        <w:tc>
          <w:tcPr/>
          <w:p>
            <w:pPr>
              <w:pStyle w:val="Compact"/>
              <w:jc w:val="left"/>
            </w:pPr>
            <w:r>
              <w:t xml:space="preserve">EEP-01 Phase C Event Architecture, Phase F AI &amp; Intelligent Automation Architecture</w:t>
            </w:r>
          </w:p>
        </w:tc>
      </w:tr>
      <w:tr>
        <w:tc>
          <w:tcPr/>
          <w:p>
            <w:pPr>
              <w:pStyle w:val="Compact"/>
              <w:jc w:val="left"/>
            </w:pPr>
            <w:r>
              <w:t xml:space="preserve">Canonical entity storage</w:t>
            </w:r>
          </w:p>
        </w:tc>
        <w:tc>
          <w:tcPr/>
          <w:p>
            <w:pPr>
              <w:pStyle w:val="Compact"/>
              <w:jc w:val="left"/>
            </w:pPr>
            <w:r>
              <w:t xml:space="preserve">EEP-01 Phase A Enterprise Physical Data Model (canonical data model referenced, not redesigned)</w:t>
            </w:r>
          </w:p>
        </w:tc>
      </w:tr>
      <w:tr>
        <w:tc>
          <w:tcPr/>
          <w:p>
            <w:pPr>
              <w:pStyle w:val="Compact"/>
              <w:jc w:val="left"/>
            </w:pPr>
            <w:r>
              <w:t xml:space="preserve">Knowledge runtime module</w:t>
            </w:r>
          </w:p>
        </w:tc>
        <w:tc>
          <w:tcPr/>
          <w:p>
            <w:pPr>
              <w:pStyle w:val="Compact"/>
              <w:jc w:val="left"/>
            </w:pPr>
            <w:r>
              <w:rPr>
                <w:rStyle w:val="VerbatimChar"/>
              </w:rPr>
              <w:t xml:space="preserve">core/src/modules/knowledge-runtime</w:t>
            </w:r>
            <w:r>
              <w:t xml:space="preserve"> </w:t>
            </w:r>
            <w:r>
              <w:t xml:space="preserve">(implemented)</w:t>
            </w:r>
          </w:p>
        </w:tc>
      </w:tr>
      <w:tr>
        <w:tc>
          <w:tcPr/>
          <w:p>
            <w:pPr>
              <w:pStyle w:val="Compact"/>
              <w:jc w:val="left"/>
            </w:pPr>
            <w:r>
              <w:t xml:space="preserve">Data Feed App</w:t>
            </w:r>
          </w:p>
        </w:tc>
        <w:tc>
          <w:tcPr/>
          <w:p>
            <w:pPr>
              <w:pStyle w:val="Compact"/>
              <w:jc w:val="left"/>
            </w:pPr>
            <w:r>
              <w:t xml:space="preserve">WP-P2-01 pipeline diagram; EEP-01 Phase C Part 8 (named, not yet implemented)</w:t>
            </w:r>
          </w:p>
        </w:tc>
      </w:tr>
    </w:tbl>
    <w:p>
      <w:r>
        <w:pict>
          <v:rect style="width:0;height:1.5pt" o:hralign="center" o:hrstd="t" o:hr="t"/>
        </w:pict>
      </w:r>
    </w:p>
    <w:bookmarkEnd w:id="40"/>
    <w:bookmarkStart w:id="41" w:name="architecture-decisions"/>
    <w:p>
      <w:pPr>
        <w:pStyle w:val="Heading2"/>
      </w:pPr>
      <w:r>
        <w:t xml:space="preserve">15. Architecture Decisions</w:t>
      </w:r>
    </w:p>
    <w:p>
      <w:pPr>
        <w:pStyle w:val="FirstParagraph"/>
      </w:pPr>
      <w:r>
        <w:rPr>
          <w:bCs/>
          <w:b/>
        </w:rPr>
        <w:t xml:space="preserve">Decision 1 — Knowledge is centralized in a canonical platform (HKP), not duplicated per engine.</w:t>
      </w:r>
      <w:r>
        <w:t xml:space="preserve"> </w:t>
      </w:r>
      <w:r>
        <w:rPr>
          <w:iCs/>
          <w:i/>
        </w:rPr>
        <w:t xml:space="preserve">Context:</w:t>
      </w:r>
      <w:r>
        <w:t xml:space="preserve"> </w:t>
      </w:r>
      <w:r>
        <w:t xml:space="preserve">prior to WP-KP-01, MIE and HSIE each defined subjects/skills/careers independently.</w:t>
      </w:r>
      <w:r>
        <w:t xml:space="preserve"> </w:t>
      </w:r>
      <w:r>
        <w:rPr>
          <w:iCs/>
          <w:i/>
        </w:rPr>
        <w:t xml:space="preserve">Alternatives considered:</w:t>
      </w:r>
      <w:r>
        <w:t xml:space="preserve"> </w:t>
      </w:r>
      <w:r>
        <w:t xml:space="preserve">per-engine private entity data (status quo before WP-KP-01); a third-party ontology license.</w:t>
      </w:r>
      <w:r>
        <w:t xml:space="preserve"> </w:t>
      </w:r>
      <w:r>
        <w:rPr>
          <w:iCs/>
          <w:i/>
        </w:rPr>
        <w:t xml:space="preserve">Trade-offs:</w:t>
      </w:r>
      <w:r>
        <w:t xml:space="preserve"> </w:t>
      </w:r>
      <w:r>
        <w:t xml:space="preserve">centralization adds a coordination cost (engines must migrate to consuming HKP) in exchange for consistency and explainability.</w:t>
      </w:r>
      <w:r>
        <w:t xml:space="preserve"> </w:t>
      </w:r>
      <w:r>
        <w:rPr>
          <w:iCs/>
          <w:i/>
        </w:rPr>
        <w:t xml:space="preserve">Rationale:</w:t>
      </w:r>
      <w:r>
        <w:t xml:space="preserve"> </w:t>
      </w:r>
      <w:r>
        <w:t xml:space="preserve">an engine that cannot trace its own recommendation to a shared, governed relationship graph cannot satisfy HireRise’s XAI requirement.</w:t>
      </w:r>
    </w:p>
    <w:p>
      <w:pPr>
        <w:pStyle w:val="BodyText"/>
      </w:pPr>
      <w:r>
        <w:rPr>
          <w:bCs/>
          <w:b/>
        </w:rPr>
        <w:t xml:space="preserve">Decision 2 — AI may propose knowledge; only governed human review may publish it.</w:t>
      </w:r>
      <w:r>
        <w:t xml:space="preserve"> </w:t>
      </w:r>
      <w:r>
        <w:rPr>
          <w:iCs/>
          <w:i/>
        </w:rPr>
        <w:t xml:space="preserve">Context:</w:t>
      </w:r>
      <w:r>
        <w:t xml:space="preserve"> </w:t>
      </w:r>
      <w:r>
        <w:t xml:space="preserve">AI-assisted curation accelerates coverage growth but risks silent error propagation into recommendations students rely on.</w:t>
      </w:r>
      <w:r>
        <w:t xml:space="preserve"> </w:t>
      </w:r>
      <w:r>
        <w:rPr>
          <w:iCs/>
          <w:i/>
        </w:rPr>
        <w:t xml:space="preserve">Alternatives considered:</w:t>
      </w:r>
      <w:r>
        <w:t xml:space="preserve"> </w:t>
      </w:r>
      <w:r>
        <w:t xml:space="preserve">fully automated AI publication with post-hoc audit; no AI involvement in curation.</w:t>
      </w:r>
      <w:r>
        <w:t xml:space="preserve"> </w:t>
      </w:r>
      <w:r>
        <w:rPr>
          <w:iCs/>
          <w:i/>
        </w:rPr>
        <w:t xml:space="preserve">Trade-offs:</w:t>
      </w:r>
      <w:r>
        <w:t xml:space="preserve"> </w:t>
      </w:r>
      <w:r>
        <w:t xml:space="preserve">the human-gate slows throughput relative to full automation, in exchange for auditable trust.</w:t>
      </w:r>
      <w:r>
        <w:t xml:space="preserve"> </w:t>
      </w:r>
      <w:r>
        <w:rPr>
          <w:iCs/>
          <w:i/>
        </w:rPr>
        <w:t xml:space="preserve">Rationale:</w:t>
      </w:r>
      <w:r>
        <w:t xml:space="preserve"> </w:t>
      </w:r>
      <w:r>
        <w:t xml:space="preserve">consistent with EEP-01 Phase F’s AI governance stance and the platform’s foundational trust commitment to students.</w:t>
      </w:r>
    </w:p>
    <w:p>
      <w:pPr>
        <w:pStyle w:val="BodyText"/>
      </w:pPr>
      <w:r>
        <w:rPr>
          <w:bCs/>
          <w:b/>
        </w:rPr>
        <w:t xml:space="preserve">Decision 3 — External knowledge enters through a single governed boundary (Data Feed App), not per-module ingestion.</w:t>
      </w:r>
      <w:r>
        <w:t xml:space="preserve"> </w:t>
      </w:r>
      <w:r>
        <w:rPr>
          <w:iCs/>
          <w:i/>
        </w:rPr>
        <w:t xml:space="preserve">Context:</w:t>
      </w:r>
      <w:r>
        <w:t xml:space="preserve"> </w:t>
      </w:r>
      <w:r>
        <w:t xml:space="preserve">today, salary and labor-market data are ingested by their respective modules directly.</w:t>
      </w:r>
      <w:r>
        <w:t xml:space="preserve"> </w:t>
      </w:r>
      <w:r>
        <w:rPr>
          <w:iCs/>
          <w:i/>
        </w:rPr>
        <w:t xml:space="preserve">Alternatives considered:</w:t>
      </w:r>
      <w:r>
        <w:t xml:space="preserve"> </w:t>
      </w:r>
      <w:r>
        <w:t xml:space="preserve">continue per-module ingestion indefinitely.</w:t>
      </w:r>
      <w:r>
        <w:t xml:space="preserve"> </w:t>
      </w:r>
      <w:r>
        <w:rPr>
          <w:iCs/>
          <w:i/>
        </w:rPr>
        <w:t xml:space="preserve">Trade-offs:</w:t>
      </w:r>
      <w:r>
        <w:t xml:space="preserve"> </w:t>
      </w:r>
      <w:r>
        <w:t xml:space="preserve">a single boundary adds short-term migration effort in exchange for one place to enforce trust, validation, and provenance for all external facts.</w:t>
      </w:r>
      <w:r>
        <w:t xml:space="preserve"> </w:t>
      </w:r>
      <w:r>
        <w:rPr>
          <w:iCs/>
          <w:i/>
        </w:rPr>
        <w:t xml:space="preserve">Rationale:</w:t>
      </w:r>
      <w:r>
        <w:t xml:space="preserve"> </w:t>
      </w:r>
      <w:r>
        <w:t xml:space="preserve">named explicitly in EEP-01 Phase C as extending the</w:t>
      </w:r>
      <w:r>
        <w:t xml:space="preserve"> </w:t>
      </w:r>
      <w:r>
        <w:t xml:space="preserve">“</w:t>
      </w:r>
      <w:r>
        <w:t xml:space="preserve">no ungoverned second data path</w:t>
      </w:r>
      <w:r>
        <w:t xml:space="preserve">”</w:t>
      </w:r>
      <w:r>
        <w:t xml:space="preserve"> </w:t>
      </w:r>
      <w:r>
        <w:t xml:space="preserve">discipline from the Student Academic Domain to the platform’s external-data boundary as a whole; this document does not redesign that decision, only confirms it as the target for knowledge ingestion.</w:t>
      </w:r>
    </w:p>
    <w:p>
      <w:r>
        <w:pict>
          <v:rect style="width:0;height:1.5pt" o:hralign="center" o:hrstd="t" o:hr="t"/>
        </w:pict>
      </w:r>
    </w:p>
    <w:bookmarkEnd w:id="41"/>
    <w:bookmarkStart w:id="42" w:name="risks"/>
    <w:p>
      <w:pPr>
        <w:pStyle w:val="Heading2"/>
      </w:pPr>
      <w:r>
        <w:t xml:space="preserve">16. Risks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Knowledge risk</w:t>
            </w:r>
          </w:p>
        </w:tc>
        <w:tc>
          <w:tcPr/>
          <w:p>
            <w:pPr>
              <w:pStyle w:val="Compact"/>
              <w:jc w:val="left"/>
            </w:pPr>
            <w:r>
              <w:t xml:space="preserve">Per-module ingestion (current state) creates silent knowledge drift between engines before the Data Feed App is operational</w:t>
            </w:r>
          </w:p>
        </w:tc>
        <w:tc>
          <w:tcPr/>
          <w:p>
            <w:pPr>
              <w:pStyle w:val="Compact"/>
              <w:jc w:val="left"/>
            </w:pPr>
            <w:r>
              <w:t xml:space="preserve">Prioritize Data Feed App stand-up (§13 medium-term); in the interim, route new external sources through</w:t>
            </w:r>
            <w:r>
              <w:t xml:space="preserve"> </w:t>
            </w:r>
            <w:r>
              <w:rPr>
                <w:rStyle w:val="VerbatimChar"/>
              </w:rPr>
              <w:t xml:space="preserve">source-intelligence</w:t>
            </w:r>
            <w:r>
              <w:t xml:space="preserve"> </w:t>
            </w:r>
            <w:r>
              <w:t xml:space="preserve">registry even where full pipeline is absent</w:t>
            </w:r>
          </w:p>
        </w:tc>
      </w:tr>
      <w:tr>
        <w:tc>
          <w:tcPr/>
          <w:p>
            <w:pPr>
              <w:pStyle w:val="Compact"/>
              <w:jc w:val="left"/>
            </w:pPr>
            <w:r>
              <w:t xml:space="preserve">Intelligence risk</w:t>
            </w:r>
          </w:p>
        </w:tc>
        <w:tc>
          <w:tcPr/>
          <w:p>
            <w:pPr>
              <w:pStyle w:val="Compact"/>
              <w:jc w:val="left"/>
            </w:pPr>
            <w:r>
              <w:t xml:space="preserve">Recommendations generated before the reasoning pipeline is fully operational may rely on partial rationale chains</w:t>
            </w:r>
          </w:p>
        </w:tc>
        <w:tc>
          <w:tcPr/>
          <w:p>
            <w:pPr>
              <w:pStyle w:val="Compact"/>
              <w:jc w:val="left"/>
            </w:pPr>
            <w:r>
              <w:t xml:space="preserve">Enforce WP-KRA-01’s minimum-signal thresholds (already implemented for MIE) before any recommendation is issued</w:t>
            </w:r>
          </w:p>
        </w:tc>
      </w:tr>
      <w:tr>
        <w:tc>
          <w:tcPr/>
          <w:p>
            <w:pPr>
              <w:pStyle w:val="Compact"/>
              <w:jc w:val="left"/>
            </w:pPr>
            <w:r>
              <w:t xml:space="preserve">Quality risk</w:t>
            </w:r>
          </w:p>
        </w:tc>
        <w:tc>
          <w:tcPr/>
          <w:p>
            <w:pPr>
              <w:pStyle w:val="Compact"/>
              <w:jc w:val="left"/>
            </w:pPr>
            <w:r>
              <w:t xml:space="preserve">Quality Model exists on paper but is not yet a code-enforced gate</w:t>
            </w:r>
          </w:p>
        </w:tc>
        <w:tc>
          <w:tcPr/>
          <w:p>
            <w:pPr>
              <w:pStyle w:val="Compact"/>
              <w:jc w:val="left"/>
            </w:pPr>
            <w:r>
              <w:t xml:space="preserve">§13 short-term roadmap item</w:t>
            </w:r>
          </w:p>
        </w:tc>
      </w:tr>
      <w:tr>
        <w:tc>
          <w:tcPr/>
          <w:p>
            <w:pPr>
              <w:pStyle w:val="Compact"/>
              <w:jc w:val="left"/>
            </w:pPr>
            <w:r>
              <w:t xml:space="preserve">Governance risk</w:t>
            </w:r>
          </w:p>
        </w:tc>
        <w:tc>
          <w:tcPr/>
          <w:p>
            <w:pPr>
              <w:pStyle w:val="Compact"/>
              <w:jc w:val="left"/>
            </w:pPr>
            <w:r>
              <w:t xml:space="preserve">Single-team stewardship becomes a bottleneck as knowledge volume grows</w:t>
            </w:r>
          </w:p>
        </w:tc>
        <w:tc>
          <w:tcPr/>
          <w:p>
            <w:pPr>
              <w:pStyle w:val="Compact"/>
              <w:jc w:val="left"/>
            </w:pPr>
            <w:r>
              <w:t xml:space="preserve">Trigger the three-tier governance model at the defined adoption trigger (§7, §11)</w:t>
            </w:r>
          </w:p>
        </w:tc>
      </w:tr>
      <w:tr>
        <w:tc>
          <w:tcPr/>
          <w:p>
            <w:pPr>
              <w:pStyle w:val="Compact"/>
              <w:jc w:val="left"/>
            </w:pPr>
            <w:r>
              <w:t xml:space="preserve">AI risk</w:t>
            </w:r>
          </w:p>
        </w:tc>
        <w:tc>
          <w:tcPr/>
          <w:p>
            <w:pPr>
              <w:pStyle w:val="Compact"/>
              <w:jc w:val="left"/>
            </w:pPr>
            <w:r>
              <w:t xml:space="preserve">AI-assisted curation suggestions could be over-trusted if human review becomes perfunctory under volume pressure</w:t>
            </w:r>
          </w:p>
        </w:tc>
        <w:tc>
          <w:tcPr/>
          <w:p>
            <w:pPr>
              <w:pStyle w:val="Compact"/>
              <w:jc w:val="left"/>
            </w:pPr>
            <w:r>
              <w:t xml:space="preserve">Preserve WP-KD-01’s SLA-gated curation workflow; monitor AI Acceptance Rate KPI</w:t>
            </w:r>
          </w:p>
        </w:tc>
      </w:tr>
      <w:tr>
        <w:tc>
          <w:tcPr/>
          <w:p>
            <w:pPr>
              <w:pStyle w:val="Compact"/>
              <w:jc w:val="left"/>
            </w:pPr>
            <w:r>
              <w:t xml:space="preserve">Ethical risk</w:t>
            </w:r>
          </w:p>
        </w:tc>
        <w:tc>
          <w:tcPr/>
          <w:p>
            <w:pPr>
              <w:pStyle w:val="Compact"/>
              <w:jc w:val="left"/>
            </w:pPr>
            <w:r>
              <w:t xml:space="preserve">Career and stream recommendations affect life-shaping decisions for students, disproportionately those without alternative guidance access</w:t>
            </w:r>
          </w:p>
        </w:tc>
        <w:tc>
          <w:tcPr/>
          <w:p>
            <w:pPr>
              <w:pStyle w:val="Compact"/>
              <w:jc w:val="left"/>
            </w:pPr>
            <w:r>
              <w:t xml:space="preserve">Mandatory bias dimension in Quality Model; mandatory contradiction disclosure in reasoning output</w:t>
            </w:r>
          </w:p>
        </w:tc>
      </w:tr>
      <w:tr>
        <w:tc>
          <w:tcPr/>
          <w:p>
            <w:pPr>
              <w:pStyle w:val="Compact"/>
              <w:jc w:val="left"/>
            </w:pPr>
            <w:r>
              <w:t xml:space="preserve">Transformation risk</w:t>
            </w:r>
          </w:p>
        </w:tc>
        <w:tc>
          <w:tcPr/>
          <w:p>
            <w:pPr>
              <w:pStyle w:val="Compact"/>
              <w:jc w:val="left"/>
            </w:pPr>
            <w:r>
              <w:t xml:space="preserve">Standing up Data Feed App / Canonical Knowledge Publishing requires migrating existing ingestion without breaking</w:t>
            </w:r>
            <w:r>
              <w:t xml:space="preserve"> </w:t>
            </w:r>
            <w:r>
              <w:rPr>
                <w:rStyle w:val="VerbatimChar"/>
              </w:rPr>
              <w:t xml:space="preserve">salaryImport</w:t>
            </w:r>
            <w:r>
              <w:t xml:space="preserve">/</w:t>
            </w:r>
            <w:r>
              <w:rPr>
                <w:rStyle w:val="VerbatimChar"/>
              </w:rPr>
              <w:t xml:space="preserve">labor-market-intelligence</w:t>
            </w:r>
            <w:r>
              <w:t xml:space="preserve"> </w:t>
            </w:r>
            <w:r>
              <w:t xml:space="preserve">consumers</w:t>
            </w:r>
          </w:p>
        </w:tc>
        <w:tc>
          <w:tcPr/>
          <w:p>
            <w:pPr>
              <w:pStyle w:val="Compact"/>
              <w:jc w:val="left"/>
            </w:pPr>
            <w:r>
              <w:t xml:space="preserve">Follow WP-KP-01’s versioning discipline — old and new ingestion paths coexist during migration, consumers pin to a version</w:t>
            </w:r>
          </w:p>
        </w:tc>
      </w:tr>
      <w:tr>
        <w:tc>
          <w:tcPr/>
          <w:p>
            <w:pPr>
              <w:pStyle w:val="Compact"/>
              <w:jc w:val="left"/>
            </w:pPr>
            <w:r>
              <w:t xml:space="preserve">Technology dependency risk</w:t>
            </w:r>
          </w:p>
        </w:tc>
        <w:tc>
          <w:tcPr/>
          <w:p>
            <w:pPr>
              <w:pStyle w:val="Compact"/>
              <w:jc w:val="left"/>
            </w:pPr>
            <w:r>
              <w:t xml:space="preserve">Any AI provider or database choice must not be architecturally load-bearing</w:t>
            </w:r>
          </w:p>
        </w:tc>
        <w:tc>
          <w:tcPr/>
          <w:p>
            <w:pPr>
              <w:pStyle w:val="Compact"/>
              <w:jc w:val="left"/>
            </w:pPr>
            <w:r>
              <w:t xml:space="preserve">Architecture principle (§0) already enforced by the canonical entity model’s storage independence</w:t>
            </w:r>
          </w:p>
        </w:tc>
      </w:tr>
    </w:tbl>
    <w:p>
      <w:r>
        <w:pict>
          <v:rect style="width:0;height:1.5pt" o:hralign="center" o:hrstd="t" o:hr="t"/>
        </w:pict>
      </w:r>
    </w:p>
    <w:bookmarkEnd w:id="42"/>
    <w:bookmarkStart w:id="43" w:name="success-metrics"/>
    <w:p>
      <w:pPr>
        <w:pStyle w:val="Heading2"/>
      </w:pPr>
      <w:r>
        <w:t xml:space="preserve">17. Success Metrics</w:t>
      </w:r>
    </w:p>
    <w:p>
      <w:pPr>
        <w:pStyle w:val="FirstParagraph"/>
      </w:pPr>
      <w:r>
        <w:t xml:space="preserve">Reused where WP-KD-01 already defines the metric; not re-derived:</w:t>
      </w:r>
    </w:p>
    <w:p>
      <w:pPr>
        <w:numPr>
          <w:ilvl w:val="0"/>
          <w:numId w:val="1009"/>
        </w:numPr>
        <w:pStyle w:val="Compact"/>
      </w:pPr>
      <w:r>
        <w:rPr>
          <w:bCs/>
          <w:b/>
        </w:rPr>
        <w:t xml:space="preserve">Knowledge coverage</w:t>
      </w:r>
      <w:r>
        <w:t xml:space="preserve"> </w:t>
      </w:r>
      <w:r>
        <w:t xml:space="preserve">— % of catalogued domains (WP-KB-02/WP-KP-01’s 8 domains) with entities at Maturity Level 4+ (WP-KD-01 Maturity Model).</w:t>
      </w:r>
    </w:p>
    <w:p>
      <w:pPr>
        <w:numPr>
          <w:ilvl w:val="0"/>
          <w:numId w:val="1009"/>
        </w:numPr>
        <w:pStyle w:val="Compact"/>
      </w:pPr>
      <w:r>
        <w:rPr>
          <w:bCs/>
          <w:b/>
        </w:rPr>
        <w:t xml:space="preserve">Knowledge freshness</w:t>
      </w:r>
      <w:r>
        <w:t xml:space="preserve"> </w:t>
      </w:r>
      <w:r>
        <w:t xml:space="preserve">— Freshness Index per WP-KD-01, calibrated to per-entity review cycles.</w:t>
      </w:r>
    </w:p>
    <w:p>
      <w:pPr>
        <w:numPr>
          <w:ilvl w:val="0"/>
          <w:numId w:val="1009"/>
        </w:numPr>
        <w:pStyle w:val="Compact"/>
      </w:pPr>
      <w:r>
        <w:rPr>
          <w:bCs/>
          <w:b/>
        </w:rPr>
        <w:t xml:space="preserve">Knowledge quality</w:t>
      </w:r>
      <w:r>
        <w:t xml:space="preserve"> </w:t>
      </w:r>
      <w:r>
        <w:t xml:space="preserve">— weighted Quality Score per WP-KD-01’s 10-dimension model.</w:t>
      </w:r>
    </w:p>
    <w:p>
      <w:pPr>
        <w:numPr>
          <w:ilvl w:val="0"/>
          <w:numId w:val="1009"/>
        </w:numPr>
        <w:pStyle w:val="Compact"/>
      </w:pPr>
      <w:r>
        <w:rPr>
          <w:bCs/>
          <w:b/>
        </w:rPr>
        <w:t xml:space="preserve">Knowledge reuse</w:t>
      </w:r>
      <w:r>
        <w:t xml:space="preserve"> </w:t>
      </w:r>
      <w:r>
        <w:t xml:space="preserve">— % of intelligence engines consuming HKP canonical entities vs. hardcoded data (target: 100%, per WP-KP-01 Wave 6).</w:t>
      </w:r>
    </w:p>
    <w:p>
      <w:pPr>
        <w:numPr>
          <w:ilvl w:val="0"/>
          <w:numId w:val="1009"/>
        </w:numPr>
        <w:pStyle w:val="Compact"/>
      </w:pPr>
      <w:r>
        <w:rPr>
          <w:bCs/>
          <w:b/>
        </w:rPr>
        <w:t xml:space="preserve">Knowledge publication cadence</w:t>
      </w:r>
      <w:r>
        <w:t xml:space="preserve"> </w:t>
      </w:r>
      <w:r>
        <w:t xml:space="preserve">— entities published per review cycle vs. backlog.</w:t>
      </w:r>
    </w:p>
    <w:p>
      <w:pPr>
        <w:numPr>
          <w:ilvl w:val="0"/>
          <w:numId w:val="1009"/>
        </w:numPr>
        <w:pStyle w:val="Compact"/>
      </w:pPr>
      <w:r>
        <w:rPr>
          <w:bCs/>
          <w:b/>
        </w:rPr>
        <w:t xml:space="preserve">Intelligence accuracy / recommendation quality</w:t>
      </w:r>
      <w:r>
        <w:t xml:space="preserve"> </w:t>
      </w:r>
      <w:r>
        <w:t xml:space="preserve">— tracked via</w:t>
      </w:r>
      <w:r>
        <w:t xml:space="preserve"> </w:t>
      </w:r>
      <w:r>
        <w:rPr>
          <w:rStyle w:val="VerbatimChar"/>
        </w:rPr>
        <w:t xml:space="preserve">intelligence-quality</w:t>
      </w:r>
      <w:r>
        <w:t xml:space="preserve"> </w:t>
      </w:r>
      <w:r>
        <w:t xml:space="preserve">module and IQF.</w:t>
      </w:r>
    </w:p>
    <w:p>
      <w:pPr>
        <w:numPr>
          <w:ilvl w:val="0"/>
          <w:numId w:val="1009"/>
        </w:numPr>
        <w:pStyle w:val="Compact"/>
      </w:pPr>
      <w:r>
        <w:rPr>
          <w:bCs/>
          <w:b/>
        </w:rPr>
        <w:t xml:space="preserve">Career outcome improvement</w:t>
      </w:r>
      <w:r>
        <w:t xml:space="preserve"> </w:t>
      </w:r>
      <w:r>
        <w:t xml:space="preserve">— deferred metric, activated once Career Outcome Intelligence is operational (§13 long-term).</w:t>
      </w:r>
    </w:p>
    <w:p>
      <w:pPr>
        <w:numPr>
          <w:ilvl w:val="0"/>
          <w:numId w:val="1009"/>
        </w:numPr>
        <w:pStyle w:val="Compact"/>
      </w:pPr>
      <w:r>
        <w:rPr>
          <w:bCs/>
          <w:b/>
        </w:rPr>
        <w:t xml:space="preserve">AI trust</w:t>
      </w:r>
      <w:r>
        <w:t xml:space="preserve"> </w:t>
      </w:r>
      <w:r>
        <w:t xml:space="preserve">— AI Acceptance Rate (proportion of AI-suggested curation accepted by human reviewers, per WP-KD-01 KPI catalog).</w:t>
      </w:r>
    </w:p>
    <w:p>
      <w:pPr>
        <w:numPr>
          <w:ilvl w:val="0"/>
          <w:numId w:val="1009"/>
        </w:numPr>
        <w:pStyle w:val="Compact"/>
      </w:pPr>
      <w:r>
        <w:rPr>
          <w:bCs/>
          <w:b/>
        </w:rPr>
        <w:t xml:space="preserve">Business agility</w:t>
      </w:r>
      <w:r>
        <w:t xml:space="preserve"> </w:t>
      </w:r>
      <w:r>
        <w:t xml:space="preserve">— time to onboard a new knowledge domain or external source, measured from source registration (</w:t>
      </w:r>
      <w:r>
        <w:rPr>
          <w:rStyle w:val="VerbatimChar"/>
        </w:rPr>
        <w:t xml:space="preserve">source-intelligence</w:t>
      </w:r>
      <w:r>
        <w:t xml:space="preserve">) to first production consumption.</w:t>
      </w:r>
    </w:p>
    <w:p>
      <w:pPr>
        <w:numPr>
          <w:ilvl w:val="0"/>
          <w:numId w:val="1009"/>
        </w:numPr>
        <w:pStyle w:val="Compact"/>
      </w:pPr>
      <w:r>
        <w:rPr>
          <w:bCs/>
          <w:b/>
        </w:rPr>
        <w:t xml:space="preserve">Knowledge governance compliance</w:t>
      </w:r>
      <w:r>
        <w:t xml:space="preserve"> </w:t>
      </w:r>
      <w:r>
        <w:t xml:space="preserve">— % of published entities with a complete provenance record (source, verifier, approver).</w:t>
      </w:r>
    </w:p>
    <w:p>
      <w:r>
        <w:pict>
          <v:rect style="width:0;height:1.5pt" o:hralign="center" o:hrstd="t" o:hr="t"/>
        </w:pict>
      </w:r>
    </w:p>
    <w:bookmarkEnd w:id="43"/>
    <w:bookmarkStart w:id="44" w:name="recommendations"/>
    <w:p>
      <w:pPr>
        <w:pStyle w:val="Heading2"/>
      </w:pPr>
      <w:r>
        <w:t xml:space="preserve">18. Recommendations</w:t>
      </w:r>
    </w:p>
    <w:p>
      <w:pPr>
        <w:pStyle w:val="FirstParagraph"/>
      </w:pPr>
      <w:r>
        <w:rPr>
          <w:bCs/>
          <w:b/>
        </w:rPr>
        <w:t xml:space="preserve">Immediate priorities.</w:t>
      </w:r>
      <w:r>
        <w:t xml:space="preserve"> </w:t>
      </w:r>
      <w:r>
        <w:t xml:space="preserve">(1) Enforce the Knowledge Quality Model as a code-level publish gate, extending the pattern already proven in</w:t>
      </w:r>
      <w:r>
        <w:t xml:space="preserve"> </w:t>
      </w:r>
      <w:r>
        <w:rPr>
          <w:rStyle w:val="VerbatimChar"/>
        </w:rPr>
        <w:t xml:space="preserve">source-intelligence</w:t>
      </w:r>
      <w:r>
        <w:t xml:space="preserve">’s governance service. (2) Instrument the AI Acceptance Rate and Knowledge Governance Compliance KPIs now, before curation volume grows, so the baseline is measured rather than assumed.</w:t>
      </w:r>
    </w:p>
    <w:p>
      <w:pPr>
        <w:pStyle w:val="BodyText"/>
      </w:pPr>
      <w:r>
        <w:rPr>
          <w:bCs/>
          <w:b/>
        </w:rPr>
        <w:t xml:space="preserve">Near-term improvements.</w:t>
      </w:r>
      <w:r>
        <w:t xml:space="preserve"> </w:t>
      </w:r>
      <w:r>
        <w:t xml:space="preserve">Stand up the Data Feed App and Canonical Knowledge Publishing pipeline stages, consolidating</w:t>
      </w:r>
      <w:r>
        <w:t xml:space="preserve"> </w:t>
      </w:r>
      <w:r>
        <w:rPr>
          <w:rStyle w:val="VerbatimChar"/>
        </w:rPr>
        <w:t xml:space="preserve">salaryImport</w:t>
      </w:r>
      <w:r>
        <w:t xml:space="preserve"> </w:t>
      </w:r>
      <w:r>
        <w:t xml:space="preserve">and</w:t>
      </w:r>
      <w:r>
        <w:t xml:space="preserve"> </w:t>
      </w:r>
      <w:r>
        <w:rPr>
          <w:rStyle w:val="VerbatimChar"/>
        </w:rPr>
        <w:t xml:space="preserve">labor-market-intelligence</w:t>
      </w:r>
      <w:r>
        <w:t xml:space="preserve"> </w:t>
      </w:r>
      <w:r>
        <w:t xml:space="preserve">ingestion behind the single governed boundary the architecture already names.</w:t>
      </w:r>
    </w:p>
    <w:p>
      <w:pPr>
        <w:pStyle w:val="BodyText"/>
      </w:pPr>
      <w:r>
        <w:rPr>
          <w:bCs/>
          <w:b/>
        </w:rPr>
        <w:t xml:space="preserve">Medium-term improvements.</w:t>
      </w:r>
      <w:r>
        <w:t xml:space="preserve"> </w:t>
      </w:r>
      <w:r>
        <w:t xml:space="preserve">Operationalize the three-tier knowledge governance model once the defined adoption trigger (sustained curation backlog) fires; do not staff it preemptively.</w:t>
      </w:r>
    </w:p>
    <w:p>
      <w:pPr>
        <w:pStyle w:val="BodyText"/>
      </w:pPr>
      <w:r>
        <w:rPr>
          <w:bCs/>
          <w:b/>
        </w:rPr>
        <w:t xml:space="preserve">Long-term evolution.</w:t>
      </w:r>
      <w:r>
        <w:t xml:space="preserve"> </w:t>
      </w:r>
      <w:r>
        <w:t xml:space="preserve">Build Career Outcome Intelligence as the closing loop between recommendation and measured outcome, and extend the ontology internationally only upon confirmed market commitment.</w:t>
      </w:r>
    </w:p>
    <w:p>
      <w:pPr>
        <w:pStyle w:val="BodyText"/>
      </w:pPr>
      <w:r>
        <w:rPr>
          <w:bCs/>
          <w:b/>
        </w:rPr>
        <w:t xml:space="preserve">Strategic investments.</w:t>
      </w:r>
      <w:r>
        <w:t xml:space="preserve"> </w:t>
      </w:r>
      <w:r>
        <w:t xml:space="preserve">Continued investment in the Reasoning Architecture (WP-KR-01/WP-KRA-01) and its operationalization inside</w:t>
      </w:r>
      <w:r>
        <w:t xml:space="preserve"> </w:t>
      </w:r>
      <w:r>
        <w:rPr>
          <w:rStyle w:val="VerbatimChar"/>
        </w:rPr>
        <w:t xml:space="preserve">knowledge-runtime</w:t>
      </w:r>
      <w:r>
        <w:t xml:space="preserve"> </w:t>
      </w:r>
      <w:r>
        <w:t xml:space="preserve">is the single highest-leverage investment identified in this assessment: it is the mechanism by which every other knowledge asset becomes an explainable, trustworthy recommendation, and it is currently design-complete but only partially reflected in running code.</w:t>
      </w:r>
    </w:p>
    <w:p>
      <w:r>
        <w:pict>
          <v:rect style="width:0;height:1.5pt" o:hralign="center" o:hrstd="t" o:hr="t"/>
        </w:pict>
      </w:r>
    </w:p>
    <w:p>
      <w:pPr>
        <w:pStyle w:val="FirstParagraph"/>
      </w:pPr>
      <w:r>
        <w:rPr>
          <w:iCs/>
          <w:i/>
        </w:rPr>
        <w:t xml:space="preserve">End of EEP-02 Phase F — Enterprise Knowledge &amp; Intelligence Architecture. This document does not begin EEP-02 Phase G or any subsequent phase.</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2026-07-08T08:15:38Z</dcterms:created>
  <dcterms:modified xsi:type="dcterms:W3CDTF">2026-07-08T08:15:38Z</dcterms:modified>
</cp:coreProperties>
</file>

<file path=docProps/custom.xml><?xml version="1.0" encoding="utf-8"?>
<Properties xmlns="http://schemas.openxmlformats.org/officeDocument/2006/custom-properties" xmlns:vt="http://schemas.openxmlformats.org/officeDocument/2006/docPropsVTypes"/>
</file>