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HireRise Career Intelligence Platform</w:t>
      </w:r>
      <w:r>
        <w:t xml:space="preserve"> </w:t>
      </w:r>
      <w:r>
        <w:t xml:space="preserve">Enterprise AI Business Architecture</w:t>
      </w:r>
      <w:r>
        <w:t xml:space="preserve"> </w:t>
      </w:r>
      <w:r>
        <w:t xml:space="preserve">EEP-02 — Enterprise Engineering Program, Phase G</w:t>
      </w:r>
    </w:p>
    <w:p>
      <w:pPr>
        <w:pStyle w:val="BodyText"/>
      </w:pPr>
      <w:r>
        <w:t xml:space="preserve">Document status: Canonical — Phase G only, per program constraint</w:t>
      </w:r>
      <w:r>
        <w:t xml:space="preserve"> </w:t>
      </w:r>
      <w:r>
        <w:t xml:space="preserve">Version 1.0 — July 2026</w:t>
      </w:r>
      <w:r>
        <w:t xml:space="preserve"> </w:t>
      </w:r>
      <w:r>
        <w:t xml:space="preserve">Prepared as a combined AI Strategy / Enterprise Business Architecture / Responsible AI Governance deliverable</w:t>
      </w:r>
      <w:r>
        <w:t xml:space="preserve"> </w:t>
      </w:r>
      <w:r>
        <w:t xml:space="preserve">Built on, and traceable to, EEP-01 (Enterprise Technical Architecture, Phases A–J, in particular Phase F — Enterprise AI &amp; Intelligent Automation Architecture) and the completed EEP-02 Phases A–F (Business Capability, Business Domain, Value Stream, Business Service, Business Process, and Knowledge &amp; Intelligence Architecture)</w:t>
      </w:r>
    </w:p>
    <w:bookmarkStart w:id="20" w:name="how-to-read-this-document"/>
    <w:p>
      <w:pPr>
        <w:pStyle w:val="Heading2"/>
      </w:pPr>
      <w:r>
        <w:t xml:space="preserve">How to Read This Document</w:t>
      </w:r>
    </w:p>
    <w:p>
      <w:pPr>
        <w:pStyle w:val="FirstParagraph"/>
      </w:pPr>
      <w:r>
        <w:t xml:space="preserve">This document follows the evidentiary discipline established across EEP-01 and EEP-02 Phases A–F: every AI-as-business-capability statement is grounded in the HireRise repository — the AI-enabled backend modules (</w:t>
      </w:r>
      <w:r>
        <w:rPr>
          <w:rStyle w:val="VerbatimChar"/>
        </w:rPr>
        <w:t xml:space="preserve">ai-career-advisor</w:t>
      </w:r>
      <w:r>
        <w:t xml:space="preserve">,</w:t>
      </w:r>
      <w:r>
        <w:t xml:space="preserve"> </w:t>
      </w:r>
      <w:r>
        <w:rPr>
          <w:rStyle w:val="VerbatimChar"/>
        </w:rPr>
        <w:t xml:space="preserve">career-copilot</w:t>
      </w:r>
      <w:r>
        <w:t xml:space="preserve">,</w:t>
      </w:r>
      <w:r>
        <w:t xml:space="preserve"> </w:t>
      </w:r>
      <w:r>
        <w:rPr>
          <w:rStyle w:val="VerbatimChar"/>
        </w:rPr>
        <w:t xml:space="preserve">chiV2</w:t>
      </w:r>
      <w:r>
        <w:t xml:space="preserve">,</w:t>
      </w:r>
      <w:r>
        <w:t xml:space="preserve"> </w:t>
      </w:r>
      <w:r>
        <w:rPr>
          <w:rStyle w:val="VerbatimChar"/>
        </w:rPr>
        <w:t xml:space="preserve">ava-memory</w:t>
      </w:r>
      <w:r>
        <w:t xml:space="preserve">,</w:t>
      </w:r>
      <w:r>
        <w:t xml:space="preserve"> </w:t>
      </w:r>
      <w:r>
        <w:rPr>
          <w:rStyle w:val="VerbatimChar"/>
        </w:rPr>
        <w:t xml:space="preserve">personalization</w:t>
      </w:r>
      <w:r>
        <w:t xml:space="preserve">,</w:t>
      </w:r>
      <w:r>
        <w:t xml:space="preserve"> </w:t>
      </w:r>
      <w:r>
        <w:rPr>
          <w:rStyle w:val="VerbatimChar"/>
        </w:rPr>
        <w:t xml:space="preserve">knowledge-runtime/decision</w:t>
      </w:r>
      <w:r>
        <w:t xml:space="preserve">,</w:t>
      </w:r>
      <w:r>
        <w:t xml:space="preserve"> </w:t>
      </w:r>
      <w:r>
        <w:rPr>
          <w:rStyle w:val="VerbatimChar"/>
        </w:rPr>
        <w:t xml:space="preserve">knowledge-runtime/explainability</w:t>
      </w:r>
      <w:r>
        <w:t xml:space="preserve">,</w:t>
      </w:r>
      <w:r>
        <w:t xml:space="preserve"> </w:t>
      </w:r>
      <w:r>
        <w:rPr>
          <w:rStyle w:val="VerbatimChar"/>
        </w:rPr>
        <w:t xml:space="preserve">intelligence-quality</w:t>
      </w:r>
      <w:r>
        <w:t xml:space="preserve">,</w:t>
      </w:r>
      <w:r>
        <w:t xml:space="preserve"> </w:t>
      </w:r>
      <w:r>
        <w:rPr>
          <w:rStyle w:val="VerbatimChar"/>
        </w:rPr>
        <w:t xml:space="preserve">platform-intelligence</w:t>
      </w:r>
      <w:r>
        <w:t xml:space="preserve">,</w:t>
      </w:r>
      <w:r>
        <w:t xml:space="preserve"> </w:t>
      </w:r>
      <w:r>
        <w:rPr>
          <w:rStyle w:val="VerbatimChar"/>
        </w:rPr>
        <w:t xml:space="preserve">analytics</w:t>
      </w:r>
      <w:r>
        <w:t xml:space="preserve">), and the extensive, independently verified XAI-1 and XAI-2 governance record (WP-KD-01, WP-KR-01/WP-KRA-01, WP-AIC-01/WP-SIPD-02, WP-DIF-01, WP-IMP-05, WP-IMP-06, WP-SEC-01, and the WP-XAI2-01 through WP-XAI2-06 series) — not a generic industry AI-maturity template relabeled with HireRise’s name.</w:t>
      </w:r>
    </w:p>
    <w:p>
      <w:pPr>
        <w:pStyle w:val="BodyText"/>
      </w:pPr>
      <w:r>
        <w:t xml:space="preserve">Two conventions carry over unchanged from EEP-01 and EEP-02 Phases A–F:</w:t>
      </w:r>
    </w:p>
    <w:p>
      <w:pPr>
        <w:numPr>
          <w:ilvl w:val="0"/>
          <w:numId w:val="1001"/>
        </w:numPr>
        <w:pStyle w:val="Compact"/>
      </w:pPr>
      <w:r>
        <w:rPr>
          <w:bCs/>
          <w:b/>
        </w:rPr>
        <w:t xml:space="preserve">CURRENT STATE</w:t>
      </w:r>
      <w:r>
        <w:t xml:space="preserve"> </w:t>
      </w:r>
      <w:r>
        <w:t xml:space="preserve">describes an AI business capability, decision, or maturity level that exists in the repository today, evidenced by named modules, services, or completed/closed governance work packages.</w:t>
      </w:r>
    </w:p>
    <w:p>
      <w:pPr>
        <w:numPr>
          <w:ilvl w:val="0"/>
          <w:numId w:val="1001"/>
        </w:numPr>
        <w:pStyle w:val="Compact"/>
      </w:pPr>
      <w:r>
        <w:rPr>
          <w:bCs/>
          <w:b/>
        </w:rPr>
        <w:t xml:space="preserve">TARGET STATE</w:t>
      </w:r>
      <w:r>
        <w:t xml:space="preserve"> </w:t>
      </w:r>
      <w:r>
        <w:t xml:space="preserve">describes an AI business capability or maturity level HireRise does not yet operate, expressed as a reference point to grow into — with an explicit, measurable adoption trigger, never an unconditional roadmap commitment.</w:t>
      </w:r>
    </w:p>
    <w:p>
      <w:pPr>
        <w:pStyle w:val="FirstParagraph"/>
      </w:pPr>
      <w:r>
        <w:t xml:space="preserve">The same methodological note carried forward from every prior EEP-01 and EEP-02 phase applies here without exception: the engineering evidence — one integrated codebase, a small number of contributors, no separated AI-governance function — indicates a small, high-leverage team. What sets Phase G’s evidence base apart from prior phases is depth, not scale: HireRise’s XAI-2 work package series is an unusually rigorous, independently-verified governance record for a team this size — closure reviews that re-derive prior stages’ claims from source rather than accept them, a formally ratified Fairness Gate ADR, and a Response Contract Governance program that migrated five controllers to close a real PII-exposure defect. This document treats that record as strong current-state evidence, not aspiration.</w:t>
      </w:r>
    </w:p>
    <w:p>
      <w:pPr>
        <w:pStyle w:val="BodyText"/>
      </w:pPr>
      <w:r>
        <w:t xml:space="preserve">This document is Phase G of EEP-02 only. It defines AI exclusively as an enterprise business capability — how it creates business value, which decisions it assists, where human judgment remains mandatory, and how trust is governed — reusing EEP-02 Phases A–F and EEP-01 Phase F without redesigning any of them. It is not an AI runtime, LLM, or machine learning architecture, and it does not discuss AI providers, model routing, prompt architecture, or AI infrastructure — those remain EEP-01 Phase F’s canonical territory.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rPr>
          <w:bCs/>
          <w:b/>
        </w:rPr>
        <w:t xml:space="preserve">Enterprise AI vision.</w:t>
      </w:r>
      <w:r>
        <w:t xml:space="preserve"> </w:t>
      </w:r>
      <w:r>
        <w:t xml:space="preserve">AI at HireRise exists to widen access to trustworthy career guidance without widening the trust gap — every AI-assisted output must be as explainable and accountable as if a human counsellor had produced it, because the students most dependent on the platform are often those with the least access to a human alternative.</w:t>
      </w:r>
    </w:p>
    <w:p>
      <w:pPr>
        <w:pStyle w:val="BodyText"/>
      </w:pPr>
      <w:r>
        <w:rPr>
          <w:bCs/>
          <w:b/>
        </w:rPr>
        <w:t xml:space="preserve">Business AI strategy.</w:t>
      </w:r>
      <w:r>
        <w:t xml:space="preserve"> </w:t>
      </w:r>
      <w:r>
        <w:t xml:space="preserve">Knowledge-first, decision-bounded AI: AI reasons over the governed Enterprise Knowledge Platform (EEP-02 Phase F), operates inside an explicit Decision Runtime with named, versioned decision types, and is required to disclose — not silently resolve — what it cannot yet evaluate. The repository’s own XAI-2 governance record demonstrates this strategy operating in practice, not merely stated in principle: the Fairness Gate ADR chose to honestly disclose an unresolved fairness evaluation rather than fabricate one, and Response Contract Governance closed a real data-exposure defect across five controllers.</w:t>
      </w:r>
    </w:p>
    <w:p>
      <w:pPr>
        <w:pStyle w:val="BodyText"/>
      </w:pPr>
      <w:r>
        <w:rPr>
          <w:bCs/>
          <w:b/>
        </w:rPr>
        <w:t xml:space="preserve">Architecture objectives.</w:t>
      </w:r>
      <w:r>
        <w:t xml:space="preserve"> </w:t>
      </w:r>
      <w:r>
        <w:t xml:space="preserve">(1) Catalog AI as a set of business capabilities with named business owners, stakeholders, and KPIs — not as a technology layer. (2) Make explicit, for every AI-assisted business decision, where the AI recommendation ends and the accountable business decision begins. (3) Keep Responsible AI — fairness, explainability, human oversight — a governed, auditable business property, not an engineering afterthought. (4) Keep this business architecture independent of any AI provider or model, consistent with EEP-01 Phase F.</w:t>
      </w:r>
    </w:p>
    <w:p>
      <w:pPr>
        <w:pStyle w:val="BodyText"/>
      </w:pPr>
      <w:r>
        <w:rPr>
          <w:bCs/>
          <w:b/>
        </w:rPr>
        <w:t xml:space="preserve">Expected business outcomes.</w:t>
      </w:r>
      <w:r>
        <w:t xml:space="preserve"> </w:t>
      </w:r>
      <w:r>
        <w:t xml:space="preserve">AI-assisted recommendations a student, parent, or counsellor can trust and a governance record can defend; a documented, evidence-based account of exactly which business decisions AI is (and is not yet) trusted to influence; a repeatable pattern — phased capability, honest disclosure of gaps, independently verified closure — for safely expanding AI’s role as the platform matures.</w:t>
      </w:r>
    </w:p>
    <w:p>
      <w:r>
        <w:pict>
          <v:rect style="width:0;height:1.5pt" o:hralign="center" o:hrstd="t" o:hr="t"/>
        </w:pict>
      </w:r>
    </w:p>
    <w:bookmarkEnd w:id="21"/>
    <w:bookmarkStart w:id="29" w:name="current-state-assessment"/>
    <w:p>
      <w:pPr>
        <w:pStyle w:val="Heading2"/>
      </w:pPr>
      <w:r>
        <w:t xml:space="preserve">2. Current State Assessment</w:t>
      </w:r>
    </w:p>
    <w:bookmarkStart w:id="22" w:name="current-ai-business-capabilities"/>
    <w:p>
      <w:pPr>
        <w:pStyle w:val="Heading3"/>
      </w:pPr>
      <w:r>
        <w:t xml:space="preserve">2.1 Current AI business capabilities</w:t>
      </w:r>
    </w:p>
    <w:p>
      <w:pPr>
        <w:numPr>
          <w:ilvl w:val="0"/>
          <w:numId w:val="1002"/>
        </w:numPr>
        <w:pStyle w:val="Compact"/>
      </w:pPr>
      <w:r>
        <w:rPr>
          <w:bCs/>
          <w:b/>
        </w:rPr>
        <w:t xml:space="preserve">AI Career Advisory</w:t>
      </w:r>
      <w:r>
        <w:t xml:space="preserve"> </w:t>
      </w:r>
      <w:r>
        <w:t xml:space="preserve">(</w:t>
      </w:r>
      <w:r>
        <w:rPr>
          <w:rStyle w:val="VerbatimChar"/>
        </w:rPr>
        <w:t xml:space="preserve">ai-career-advisor</w:t>
      </w:r>
      <w:r>
        <w:t xml:space="preserve">) — a conversational advisory capability with a dedicated prompt-construction layer (</w:t>
      </w:r>
      <w:r>
        <w:rPr>
          <w:rStyle w:val="VerbatimChar"/>
        </w:rPr>
        <w:t xml:space="preserve">advisorPrompt.builder.js</w:t>
      </w:r>
      <w:r>
        <w:t xml:space="preserve">) and conversation model, giving students a direct-dialogue channel distinct from the structured MIE/HSIE recommendation flows.</w:t>
      </w:r>
    </w:p>
    <w:p>
      <w:pPr>
        <w:numPr>
          <w:ilvl w:val="0"/>
          <w:numId w:val="1002"/>
        </w:numPr>
        <w:pStyle w:val="Compact"/>
      </w:pPr>
      <w:r>
        <w:rPr>
          <w:bCs/>
          <w:b/>
        </w:rPr>
        <w:t xml:space="preserve">Career Copilot</w:t>
      </w:r>
      <w:r>
        <w:t xml:space="preserve"> </w:t>
      </w:r>
      <w:r>
        <w:t xml:space="preserve">(</w:t>
      </w:r>
      <w:r>
        <w:rPr>
          <w:rStyle w:val="VerbatimChar"/>
        </w:rPr>
        <w:t xml:space="preserve">career-copilot</w:t>
      </w:r>
      <w:r>
        <w:t xml:space="preserve">) — a multi-agent business capability: a coordinator (</w:t>
      </w:r>
      <w:r>
        <w:rPr>
          <w:rStyle w:val="VerbatimChar"/>
        </w:rPr>
        <w:t xml:space="preserve">careerAgentCoordinator.js</w:t>
      </w:r>
      <w:r>
        <w:t xml:space="preserve">) orchestrating specialist agents for career advisory, job matching, skill intelligence, market intelligence, and risk/radar analysis, backed by retrieval (</w:t>
      </w:r>
      <w:r>
        <w:rPr>
          <w:rStyle w:val="VerbatimChar"/>
        </w:rPr>
        <w:t xml:space="preserve">ragRetriever.js</w:t>
      </w:r>
      <w:r>
        <w:t xml:space="preserve">) and a dedicated</w:t>
      </w:r>
      <w:r>
        <w:t xml:space="preserve"> </w:t>
      </w:r>
      <w:r>
        <w:rPr>
          <w:bCs/>
          <w:b/>
        </w:rPr>
        <w:t xml:space="preserve">grounding guard</w:t>
      </w:r>
      <w:r>
        <w:t xml:space="preserve"> </w:t>
      </w:r>
      <w:r>
        <w:t xml:space="preserve">(</w:t>
      </w:r>
      <w:r>
        <w:rPr>
          <w:rStyle w:val="VerbatimChar"/>
        </w:rPr>
        <w:t xml:space="preserve">groundingGuard.js</w:t>
      </w:r>
      <w:r>
        <w:t xml:space="preserve">) that enforces minimum data-completeness and confidence thresholds and defines explicit refusal behavior (e.g., a</w:t>
      </w:r>
      <w:r>
        <w:t xml:space="preserve"> </w:t>
      </w:r>
      <w:r>
        <w:rPr>
          <w:rStyle w:val="VerbatimChar"/>
        </w:rPr>
        <w:t xml:space="preserve">no_salary_data</w:t>
      </w:r>
      <w:r>
        <w:t xml:space="preserve"> </w:t>
      </w:r>
      <w:r>
        <w:t xml:space="preserve">refusal key) rather than allowing ungrounded answers.</w:t>
      </w:r>
    </w:p>
    <w:p>
      <w:pPr>
        <w:numPr>
          <w:ilvl w:val="0"/>
          <w:numId w:val="1002"/>
        </w:numPr>
        <w:pStyle w:val="Compact"/>
      </w:pPr>
      <w:r>
        <w:rPr>
          <w:bCs/>
          <w:b/>
        </w:rPr>
        <w:t xml:space="preserve">Career Health Index v2 (CHI v2)</w:t>
      </w:r>
      <w:r>
        <w:t xml:space="preserve"> </w:t>
      </w:r>
      <w:r>
        <w:t xml:space="preserve">(</w:t>
      </w:r>
      <w:r>
        <w:rPr>
          <w:rStyle w:val="VerbatimChar"/>
        </w:rPr>
        <w:t xml:space="preserve">chiV2</w:t>
      </w:r>
      <w:r>
        <w:t xml:space="preserve">) — an intelligence orchestration capability (</w:t>
      </w:r>
      <w:r>
        <w:rPr>
          <w:rStyle w:val="VerbatimChar"/>
        </w:rPr>
        <w:t xml:space="preserve">intelligenceOrchestrator.js</w:t>
      </w:r>
      <w:r>
        <w:t xml:space="preserve">) composing a skill-gap engine, career-path engine, and career-opportunity engine into a single business-facing health score.</w:t>
      </w:r>
    </w:p>
    <w:p>
      <w:pPr>
        <w:numPr>
          <w:ilvl w:val="0"/>
          <w:numId w:val="1002"/>
        </w:numPr>
        <w:pStyle w:val="Compact"/>
      </w:pPr>
      <w:r>
        <w:rPr>
          <w:bCs/>
          <w:b/>
        </w:rPr>
        <w:t xml:space="preserve">AVA Memory</w:t>
      </w:r>
      <w:r>
        <w:t xml:space="preserve"> </w:t>
      </w:r>
      <w:r>
        <w:t xml:space="preserve">(</w:t>
      </w:r>
      <w:r>
        <w:rPr>
          <w:rStyle w:val="VerbatimChar"/>
        </w:rPr>
        <w:t xml:space="preserve">ava-memory</w:t>
      </w:r>
      <w:r>
        <w:t xml:space="preserve">) — persistent assistant memory as a business capability, distinct from the underlying AI runtime memory mechanism (EEP-01 Phase F territory).</w:t>
      </w:r>
    </w:p>
    <w:p>
      <w:pPr>
        <w:numPr>
          <w:ilvl w:val="0"/>
          <w:numId w:val="1002"/>
        </w:numPr>
        <w:pStyle w:val="Compact"/>
      </w:pPr>
      <w:r>
        <w:rPr>
          <w:bCs/>
          <w:b/>
        </w:rPr>
        <w:t xml:space="preserve">Decision Intelligence</w:t>
      </w:r>
      <w:r>
        <w:t xml:space="preserve"> </w:t>
      </w:r>
      <w:r>
        <w:t xml:space="preserve">(</w:t>
      </w:r>
      <w:r>
        <w:rPr>
          <w:rStyle w:val="VerbatimChar"/>
        </w:rPr>
        <w:t xml:space="preserve">knowledge-runtime/decision</w:t>
      </w:r>
      <w:r>
        <w:t xml:space="preserve">) — the governed Decision Runtime; two of eight named candidate decision types are implemented and production-trusted (</w:t>
      </w:r>
      <w:r>
        <w:rPr>
          <w:rStyle w:val="VerbatimChar"/>
        </w:rPr>
        <w:t xml:space="preserve">skill</w:t>
      </w:r>
      <w:r>
        <w:t xml:space="preserve">,</w:t>
      </w:r>
      <w:r>
        <w:t xml:space="preserve"> </w:t>
      </w:r>
      <w:r>
        <w:rPr>
          <w:rStyle w:val="VerbatimChar"/>
        </w:rPr>
        <w:t xml:space="preserve">career</w:t>
      </w:r>
      <w:r>
        <w:t xml:space="preserve">), per an explicit, ratified, evidence-based per-type scope decision (WP-XAI2-04 ADR).</w:t>
      </w:r>
    </w:p>
    <w:p>
      <w:pPr>
        <w:numPr>
          <w:ilvl w:val="0"/>
          <w:numId w:val="1002"/>
        </w:numPr>
        <w:pStyle w:val="Compact"/>
      </w:pPr>
      <w:r>
        <w:rPr>
          <w:bCs/>
          <w:b/>
        </w:rPr>
        <w:t xml:space="preserve">Explainability</w:t>
      </w:r>
      <w:r>
        <w:t xml:space="preserve"> </w:t>
      </w:r>
      <w:r>
        <w:t xml:space="preserve">(</w:t>
      </w:r>
      <w:r>
        <w:rPr>
          <w:rStyle w:val="VerbatimChar"/>
        </w:rPr>
        <w:t xml:space="preserve">knowledge-runtime/explainability</w:t>
      </w:r>
      <w:r>
        <w:t xml:space="preserve">) — a pure, stateless explanation-generation service, architecturally separated from the Decision Runtime it explains (independently confirmed: no write path to Decision Runtime, no shared import).</w:t>
      </w:r>
    </w:p>
    <w:p>
      <w:pPr>
        <w:numPr>
          <w:ilvl w:val="0"/>
          <w:numId w:val="1002"/>
        </w:numPr>
        <w:pStyle w:val="Compact"/>
      </w:pPr>
      <w:r>
        <w:rPr>
          <w:bCs/>
          <w:b/>
        </w:rPr>
        <w:t xml:space="preserve">Personalization Intelligence</w:t>
      </w:r>
      <w:r>
        <w:t xml:space="preserve"> </w:t>
      </w:r>
      <w:r>
        <w:t xml:space="preserve">(</w:t>
      </w:r>
      <w:r>
        <w:rPr>
          <w:rStyle w:val="VerbatimChar"/>
        </w:rPr>
        <w:t xml:space="preserve">personalization</w:t>
      </w:r>
      <w:r>
        <w:t xml:space="preserve">) — a working module and worker for personalized content/behavior.</w:t>
      </w:r>
    </w:p>
    <w:p>
      <w:pPr>
        <w:numPr>
          <w:ilvl w:val="0"/>
          <w:numId w:val="1002"/>
        </w:numPr>
        <w:pStyle w:val="Compact"/>
      </w:pPr>
      <w:r>
        <w:rPr>
          <w:bCs/>
          <w:b/>
        </w:rPr>
        <w:t xml:space="preserve">Intelligence Quality (IQF)</w:t>
      </w:r>
      <w:r>
        <w:t xml:space="preserve"> </w:t>
      </w:r>
      <w:r>
        <w:t xml:space="preserve">(</w:t>
      </w:r>
      <w:r>
        <w:rPr>
          <w:rStyle w:val="VerbatimChar"/>
        </w:rPr>
        <w:t xml:space="preserve">intelligence-quality</w:t>
      </w:r>
      <w:r>
        <w:t xml:space="preserve">) — a cross-cutting quality-scoring capability; currently implements 2 of its own 11 documented quality dimensions (Signal Coverage, Cluster Drift), per repository-confirmed evidence in the WP-XAI2-01A Fairness Gate ADR.</w:t>
      </w:r>
    </w:p>
    <w:p>
      <w:pPr>
        <w:numPr>
          <w:ilvl w:val="0"/>
          <w:numId w:val="1002"/>
        </w:numPr>
        <w:pStyle w:val="Compact"/>
      </w:pPr>
      <w:r>
        <w:rPr>
          <w:bCs/>
          <w:b/>
        </w:rPr>
        <w:t xml:space="preserve">Platform Intelligence</w:t>
      </w:r>
      <w:r>
        <w:t xml:space="preserve"> </w:t>
      </w:r>
      <w:r>
        <w:t xml:space="preserve">(</w:t>
      </w:r>
      <w:r>
        <w:rPr>
          <w:rStyle w:val="VerbatimChar"/>
        </w:rPr>
        <w:t xml:space="preserve">platform-intelligence</w:t>
      </w:r>
      <w:r>
        <w:t xml:space="preserve">) — platform-level intelligence signal capability.</w:t>
      </w:r>
    </w:p>
    <w:bookmarkEnd w:id="22"/>
    <w:bookmarkStart w:id="23" w:name="current-ai-enabled-business-services"/>
    <w:p>
      <w:pPr>
        <w:pStyle w:val="Heading3"/>
      </w:pPr>
      <w:r>
        <w:t xml:space="preserve">2.2 Current AI-enabled business services</w:t>
      </w:r>
    </w:p>
    <w:p>
      <w:pPr>
        <w:pStyle w:val="FirstParagraph"/>
      </w:pPr>
      <w:r>
        <w:t xml:space="preserve">Reused from EEP-02 Phase D’s business service catalog and EEP-02 Phase F’s knowledge consumers: AI-enabled services observed operating on top of the knowledge platform include career advisory (chat), career health scoring, resume/skill matching, and market/salary interpretation (via</w:t>
      </w:r>
      <w:r>
        <w:t xml:space="preserve"> </w:t>
      </w:r>
      <w:r>
        <w:rPr>
          <w:rStyle w:val="VerbatimChar"/>
        </w:rPr>
        <w:t xml:space="preserve">career-copilot</w:t>
      </w:r>
      <w:r>
        <w:t xml:space="preserve">’s specialist agents and</w:t>
      </w:r>
      <w:r>
        <w:t xml:space="preserve"> </w:t>
      </w:r>
      <w:r>
        <w:rPr>
          <w:rStyle w:val="VerbatimChar"/>
        </w:rPr>
        <w:t xml:space="preserve">chiV2</w:t>
      </w:r>
      <w:r>
        <w:t xml:space="preserve">).</w:t>
      </w:r>
    </w:p>
    <w:bookmarkEnd w:id="23"/>
    <w:bookmarkStart w:id="24" w:name="current-ai-supported-decisions"/>
    <w:p>
      <w:pPr>
        <w:pStyle w:val="Heading3"/>
      </w:pPr>
      <w:r>
        <w:t xml:space="preserve">2.3 Current AI-supported decisions</w:t>
      </w:r>
    </w:p>
    <w:p>
      <w:pPr>
        <w:pStyle w:val="FirstParagraph"/>
      </w:pPr>
      <w:r>
        <w:t xml:space="preserve">Only two AI-supported business decision types are production-trusted today:</w:t>
      </w:r>
      <w:r>
        <w:t xml:space="preserve"> </w:t>
      </w:r>
      <w:r>
        <w:rPr>
          <w:bCs/>
          <w:b/>
        </w:rPr>
        <w:t xml:space="preserve">skill decisions</w:t>
      </w:r>
      <w:r>
        <w:t xml:space="preserve"> </w:t>
      </w:r>
      <w:r>
        <w:t xml:space="preserve">and</w:t>
      </w:r>
      <w:r>
        <w:t xml:space="preserve"> </w:t>
      </w:r>
      <w:r>
        <w:rPr>
          <w:bCs/>
          <w:b/>
        </w:rPr>
        <w:t xml:space="preserve">career decisions</w:t>
      </w:r>
      <w:r>
        <w:t xml:space="preserve">, both served by the Decision Runtime. Five further candidate decision types (</w:t>
      </w:r>
      <w:r>
        <w:rPr>
          <w:rStyle w:val="VerbatimChar"/>
        </w:rPr>
        <w:t xml:space="preserve">programme</w:t>
      </w:r>
      <w:r>
        <w:t xml:space="preserve">,</w:t>
      </w:r>
      <w:r>
        <w:t xml:space="preserve"> </w:t>
      </w:r>
      <w:r>
        <w:rPr>
          <w:rStyle w:val="VerbatimChar"/>
        </w:rPr>
        <w:t xml:space="preserve">course</w:t>
      </w:r>
      <w:r>
        <w:t xml:space="preserve">,</w:t>
      </w:r>
      <w:r>
        <w:t xml:space="preserve"> </w:t>
      </w:r>
      <w:r>
        <w:rPr>
          <w:rStyle w:val="VerbatimChar"/>
        </w:rPr>
        <w:t xml:space="preserve">scholarship</w:t>
      </w:r>
      <w:r>
        <w:t xml:space="preserve">,</w:t>
      </w:r>
      <w:r>
        <w:t xml:space="preserve"> </w:t>
      </w:r>
      <w:r>
        <w:rPr>
          <w:rStyle w:val="VerbatimChar"/>
        </w:rPr>
        <w:t xml:space="preserve">institution</w:t>
      </w:r>
      <w:r>
        <w:t xml:space="preserve">,</w:t>
      </w:r>
      <w:r>
        <w:t xml:space="preserve"> </w:t>
      </w:r>
      <w:r>
        <w:rPr>
          <w:rStyle w:val="VerbatimChar"/>
        </w:rPr>
        <w:t xml:space="preserve">futureSkill</w:t>
      </w:r>
      <w:r>
        <w:t xml:space="preserve">) remain unimplemented pending their own scope ratification; a sixth candidate,</w:t>
      </w:r>
      <w:r>
        <w:t xml:space="preserve"> </w:t>
      </w:r>
      <w:r>
        <w:rPr>
          <w:rStyle w:val="VerbatimChar"/>
        </w:rPr>
        <w:t xml:space="preserve">occupation</w:t>
      </w:r>
      <w:r>
        <w:t xml:space="preserve">, was explicitly rejected for implementation because — per direct inspection of</w:t>
      </w:r>
      <w:r>
        <w:t xml:space="preserve"> </w:t>
      </w:r>
      <w:r>
        <w:rPr>
          <w:rStyle w:val="VerbatimChar"/>
        </w:rPr>
        <w:t xml:space="preserve">DECISION_INTELLIGENCE_FRAMEWORK.md</w:t>
      </w:r>
      <w:r>
        <w:t xml:space="preserve"> </w:t>
      </w:r>
      <w:r>
        <w:t xml:space="preserve">— it has no architectural source in the frozen Decision Intelligence Framework, the same gap category that already excluded</w:t>
      </w:r>
      <w:r>
        <w:t xml:space="preserve"> </w:t>
      </w:r>
      <w:r>
        <w:rPr>
          <w:rStyle w:val="VerbatimChar"/>
        </w:rPr>
        <w:t xml:space="preserve">placement</w:t>
      </w:r>
      <w:r>
        <w:t xml:space="preserve"> </w:t>
      </w:r>
      <w:r>
        <w:t xml:space="preserve">from scope.</w:t>
      </w:r>
    </w:p>
    <w:bookmarkEnd w:id="24"/>
    <w:bookmarkStart w:id="25" w:name="repository-evidence"/>
    <w:p>
      <w:pPr>
        <w:pStyle w:val="Heading3"/>
      </w:pPr>
      <w:r>
        <w:t xml:space="preserve">2.4 Repository evidence</w:t>
      </w:r>
    </w:p>
    <w:p>
      <w:pPr>
        <w:pStyle w:val="FirstParagraph"/>
      </w:pPr>
      <w:r>
        <w:t xml:space="preserve">Primary evidence:</w:t>
      </w:r>
      <w:r>
        <w:t xml:space="preserve"> </w:t>
      </w:r>
      <w:r>
        <w:rPr>
          <w:rStyle w:val="VerbatimChar"/>
        </w:rPr>
        <w:t xml:space="preserve">core/src/modules/ai-career-advisor</w:t>
      </w:r>
      <w:r>
        <w:t xml:space="preserve">,</w:t>
      </w:r>
      <w:r>
        <w:t xml:space="preserve"> </w:t>
      </w:r>
      <w:r>
        <w:rPr>
          <w:rStyle w:val="VerbatimChar"/>
        </w:rPr>
        <w:t xml:space="preserve">career-copilot</w:t>
      </w:r>
      <w:r>
        <w:t xml:space="preserve"> </w:t>
      </w:r>
      <w:r>
        <w:t xml:space="preserve">(including</w:t>
      </w:r>
      <w:r>
        <w:t xml:space="preserve"> </w:t>
      </w:r>
      <w:r>
        <w:rPr>
          <w:rStyle w:val="VerbatimChar"/>
        </w:rPr>
        <w:t xml:space="preserve">grounding/groundingGuard.js</w:t>
      </w:r>
      <w:r>
        <w:t xml:space="preserve">,</w:t>
      </w:r>
      <w:r>
        <w:t xml:space="preserve"> </w:t>
      </w:r>
      <w:r>
        <w:rPr>
          <w:rStyle w:val="VerbatimChar"/>
        </w:rPr>
        <w:t xml:space="preserve">retrieval/ragRetriever.js</w:t>
      </w:r>
      <w:r>
        <w:t xml:space="preserve">,</w:t>
      </w:r>
      <w:r>
        <w:t xml:space="preserve"> </w:t>
      </w:r>
      <w:r>
        <w:rPr>
          <w:rStyle w:val="VerbatimChar"/>
        </w:rPr>
        <w:t xml:space="preserve">agents/*</w:t>
      </w:r>
      <w:r>
        <w:t xml:space="preserve">),</w:t>
      </w:r>
      <w:r>
        <w:t xml:space="preserve"> </w:t>
      </w:r>
      <w:r>
        <w:rPr>
          <w:rStyle w:val="VerbatimChar"/>
        </w:rPr>
        <w:t xml:space="preserve">chiV2</w:t>
      </w:r>
      <w:r>
        <w:t xml:space="preserve">,</w:t>
      </w:r>
      <w:r>
        <w:t xml:space="preserve"> </w:t>
      </w:r>
      <w:r>
        <w:rPr>
          <w:rStyle w:val="VerbatimChar"/>
        </w:rPr>
        <w:t xml:space="preserve">ava-memory</w:t>
      </w:r>
      <w:r>
        <w:t xml:space="preserve">,</w:t>
      </w:r>
      <w:r>
        <w:t xml:space="preserve"> </w:t>
      </w:r>
      <w:r>
        <w:rPr>
          <w:rStyle w:val="VerbatimChar"/>
        </w:rPr>
        <w:t xml:space="preserve">personalization</w:t>
      </w:r>
      <w:r>
        <w:t xml:space="preserve">,</w:t>
      </w:r>
      <w:r>
        <w:t xml:space="preserve"> </w:t>
      </w:r>
      <w:r>
        <w:rPr>
          <w:rStyle w:val="VerbatimChar"/>
        </w:rPr>
        <w:t xml:space="preserve">knowledge-runtime/decision</w:t>
      </w:r>
      <w:r>
        <w:t xml:space="preserve">,</w:t>
      </w:r>
      <w:r>
        <w:t xml:space="preserve"> </w:t>
      </w:r>
      <w:r>
        <w:rPr>
          <w:rStyle w:val="VerbatimChar"/>
        </w:rPr>
        <w:t xml:space="preserve">knowledge-runtime/explainability</w:t>
      </w:r>
      <w:r>
        <w:t xml:space="preserve">,</w:t>
      </w:r>
      <w:r>
        <w:t xml:space="preserve"> </w:t>
      </w:r>
      <w:r>
        <w:rPr>
          <w:rStyle w:val="VerbatimChar"/>
        </w:rPr>
        <w:t xml:space="preserve">intelligence-quality</w:t>
      </w:r>
      <w:r>
        <w:t xml:space="preserve">,</w:t>
      </w:r>
      <w:r>
        <w:t xml:space="preserve"> </w:t>
      </w:r>
      <w:r>
        <w:rPr>
          <w:rStyle w:val="VerbatimChar"/>
        </w:rPr>
        <w:t xml:space="preserve">platform-intelligence</w:t>
      </w:r>
      <w:r>
        <w:t xml:space="preserve">; governance record</w:t>
      </w:r>
      <w:r>
        <w:t xml:space="preserve"> </w:t>
      </w:r>
      <w:r>
        <w:rPr>
          <w:rStyle w:val="VerbatimChar"/>
        </w:rPr>
        <w:t xml:space="preserve">documents/WP-IMP-05</w:t>
      </w:r>
      <w:r>
        <w:t xml:space="preserve">,</w:t>
      </w:r>
      <w:r>
        <w:t xml:space="preserve"> </w:t>
      </w:r>
      <w:r>
        <w:rPr>
          <w:rStyle w:val="VerbatimChar"/>
        </w:rPr>
        <w:t xml:space="preserve">WP-IMP-06</w:t>
      </w:r>
      <w:r>
        <w:t xml:space="preserve">,</w:t>
      </w:r>
      <w:r>
        <w:t xml:space="preserve"> </w:t>
      </w:r>
      <w:r>
        <w:rPr>
          <w:rStyle w:val="VerbatimChar"/>
        </w:rPr>
        <w:t xml:space="preserve">WP-SEC-01</w:t>
      </w:r>
      <w:r>
        <w:t xml:space="preserve">,</w:t>
      </w:r>
      <w:r>
        <w:t xml:space="preserve"> </w:t>
      </w:r>
      <w:r>
        <w:rPr>
          <w:rStyle w:val="VerbatimChar"/>
        </w:rPr>
        <w:t xml:space="preserve">documents/xai2 phase/*</w:t>
      </w:r>
      <w:r>
        <w:t xml:space="preserve"> </w:t>
      </w:r>
      <w:r>
        <w:t xml:space="preserve">(roadmap, WP-XAI2-01/01A),</w:t>
      </w:r>
      <w:r>
        <w:t xml:space="preserve"> </w:t>
      </w:r>
      <w:r>
        <w:rPr>
          <w:rStyle w:val="VerbatimChar"/>
        </w:rPr>
        <w:t xml:space="preserve">documents/XAI-1 · WP-IQF-01/*</w:t>
      </w:r>
      <w:r>
        <w:t xml:space="preserve"> </w:t>
      </w:r>
      <w:r>
        <w:t xml:space="preserve">(WP-XAI2-02),</w:t>
      </w:r>
      <w:r>
        <w:t xml:space="preserve"> </w:t>
      </w:r>
      <w:r>
        <w:rPr>
          <w:rStyle w:val="VerbatimChar"/>
        </w:rPr>
        <w:t xml:space="preserve">documents/WP_XAI2_03</w:t>
      </w:r>
      <w:r>
        <w:t xml:space="preserve">,</w:t>
      </w:r>
      <w:r>
        <w:t xml:space="preserve"> </w:t>
      </w:r>
      <w:r>
        <w:rPr>
          <w:rStyle w:val="VerbatimChar"/>
        </w:rPr>
        <w:t xml:space="preserve">documents/WP_XAI2_04</w:t>
      </w:r>
      <w:r>
        <w:t xml:space="preserve"> </w:t>
      </w:r>
      <w:r>
        <w:t xml:space="preserve">(ADR — decision type scope ratification),</w:t>
      </w:r>
      <w:r>
        <w:t xml:space="preserve"> </w:t>
      </w:r>
      <w:r>
        <w:rPr>
          <w:rStyle w:val="VerbatimChar"/>
        </w:rPr>
        <w:t xml:space="preserve">documents/WP-XAI2-05</w:t>
      </w:r>
      <w:r>
        <w:t xml:space="preserve">,</w:t>
      </w:r>
      <w:r>
        <w:t xml:space="preserve"> </w:t>
      </w:r>
      <w:r>
        <w:rPr>
          <w:rStyle w:val="VerbatimChar"/>
        </w:rPr>
        <w:t xml:space="preserve">documents/WP-XAI2-06</w:t>
      </w:r>
      <w:r>
        <w:t xml:space="preserve"> </w:t>
      </w:r>
      <w:r>
        <w:t xml:space="preserve">(Decision Runtime Expansion closure),</w:t>
      </w:r>
      <w:r>
        <w:t xml:space="preserve"> </w:t>
      </w:r>
      <w:r>
        <w:rPr>
          <w:rStyle w:val="VerbatimChar"/>
        </w:rPr>
        <w:t xml:space="preserve">documents/WP-DIF-01/DECISION_INTELLIGENCE_FRAMEWORK.md</w:t>
      </w:r>
      <w:r>
        <w:t xml:space="preserve">,</w:t>
      </w:r>
      <w:r>
        <w:t xml:space="preserve"> </w:t>
      </w:r>
      <w:r>
        <w:rPr>
          <w:rStyle w:val="VerbatimChar"/>
        </w:rPr>
        <w:t xml:space="preserve">documents/WP-DIF-01/DECISION_RULE_CATALOG.md</w:t>
      </w:r>
      <w:r>
        <w:t xml:space="preserve">.</w:t>
      </w:r>
    </w:p>
    <w:bookmarkEnd w:id="25"/>
    <w:bookmarkStart w:id="26" w:name="business-gaps"/>
    <w:p>
      <w:pPr>
        <w:pStyle w:val="Heading3"/>
      </w:pPr>
      <w:r>
        <w:t xml:space="preserve">2.5 Business gaps</w:t>
      </w:r>
    </w:p>
    <w:p>
      <w:pPr>
        <w:numPr>
          <w:ilvl w:val="0"/>
          <w:numId w:val="1003"/>
        </w:numPr>
        <w:pStyle w:val="Compact"/>
      </w:pPr>
      <w:r>
        <w:t xml:space="preserve">The Fairness Gate remains, by its own ratified ADR,</w:t>
      </w:r>
      <w:r>
        <w:t xml:space="preserve"> </w:t>
      </w:r>
      <w:r>
        <w:rPr>
          <w:bCs/>
          <w:b/>
        </w:rPr>
        <w:t xml:space="preserve">Phase 1 only</w:t>
      </w:r>
      <w:r>
        <w:t xml:space="preserve">: a correctly-structured, honestly-disclosed</w:t>
      </w:r>
      <w:r>
        <w:t xml:space="preserve"> </w:t>
      </w:r>
      <w:r>
        <w:t xml:space="preserve">“</w:t>
      </w:r>
      <w:r>
        <w:t xml:space="preserve">cannot currently evaluate</w:t>
      </w:r>
      <w:r>
        <w:t xml:space="preserve">”</w:t>
      </w:r>
      <w:r>
        <w:t xml:space="preserve"> </w:t>
      </w:r>
      <w:r>
        <w:t xml:space="preserve">state (</w:t>
      </w:r>
      <w:r>
        <w:rPr>
          <w:rStyle w:val="VerbatimChar"/>
        </w:rPr>
        <w:t xml:space="preserve">DR-FAIR-01</w:t>
      </w:r>
      <w:r>
        <w:t xml:space="preserve">), not an operating fairness evaluation. Phase 2 (actual demographic-comparison evaluation) is explicitly out of scope until a separate, non-architectural data-sourcing/privacy decision is made.</w:t>
      </w:r>
    </w:p>
    <w:p>
      <w:pPr>
        <w:numPr>
          <w:ilvl w:val="0"/>
          <w:numId w:val="1003"/>
        </w:numPr>
        <w:pStyle w:val="Compact"/>
      </w:pPr>
      <w:r>
        <w:t xml:space="preserve">IQF operates only 2 of its own 11 documented quality dimensions; the remaining 9 are a documented, not yet closed, business gap in how AI output quality is measured.</w:t>
      </w:r>
    </w:p>
    <w:p>
      <w:pPr>
        <w:numPr>
          <w:ilvl w:val="0"/>
          <w:numId w:val="1003"/>
        </w:numPr>
        <w:pStyle w:val="Compact"/>
      </w:pPr>
      <w:r>
        <w:t xml:space="preserve">Response Contract Governance (WP-XAI2-02) found and closed a real defect class (internal identifiers and</w:t>
      </w:r>
      <w:r>
        <w:t xml:space="preserve"> </w:t>
      </w:r>
      <w:r>
        <w:rPr>
          <w:rStyle w:val="VerbatimChar"/>
        </w:rPr>
        <w:t xml:space="preserve">userId</w:t>
      </w:r>
      <w:r>
        <w:t xml:space="preserve"> </w:t>
      </w:r>
      <w:r>
        <w:t xml:space="preserve">leaking into public API responses) across five controllers — evidence that AI/decision-output business trust required active governance work, not passive assumption.</w:t>
      </w:r>
    </w:p>
    <w:bookmarkEnd w:id="26"/>
    <w:bookmarkStart w:id="27" w:name="adoption-gaps"/>
    <w:p>
      <w:pPr>
        <w:pStyle w:val="Heading3"/>
      </w:pPr>
      <w:r>
        <w:t xml:space="preserve">2.6 Adoption gaps</w:t>
      </w:r>
    </w:p>
    <w:p>
      <w:pPr>
        <w:pStyle w:val="FirstParagraph"/>
      </w:pPr>
      <w:r>
        <w:t xml:space="preserve">Career Outcome Intelligence (named in EEP-02 Phase F as TARGET STATE) has no AI capability built against it yet — outcome-based recalibration of AI recommendations cannot begin until that knowledge capability exists.</w:t>
      </w:r>
    </w:p>
    <w:bookmarkEnd w:id="27"/>
    <w:bookmarkStart w:id="28" w:name="strategic-constraints"/>
    <w:p>
      <w:pPr>
        <w:pStyle w:val="Heading3"/>
      </w:pPr>
      <w:r>
        <w:t xml:space="preserve">2.7 Strategic constraints</w:t>
      </w:r>
    </w:p>
    <w:p>
      <w:pPr>
        <w:pStyle w:val="FirstParagraph"/>
      </w:pPr>
      <w:r>
        <w:t xml:space="preserve">This document does not redesign EEP-01 Phase F’s AI runtime, orchestration, provider, or infrastructure decisions, and does not redefine any EEP-02 Phase A–F construct. AI business capability scope is bounded by the same</w:t>
      </w:r>
      <w:r>
        <w:t xml:space="preserve"> </w:t>
      </w:r>
      <w:r>
        <w:t xml:space="preserve">“</w:t>
      </w:r>
      <w:r>
        <w:t xml:space="preserve">no rule may exist without an architectural source</w:t>
      </w:r>
      <w:r>
        <w:t xml:space="preserve">”</w:t>
      </w:r>
      <w:r>
        <w:t xml:space="preserve"> </w:t>
      </w:r>
      <w:r>
        <w:t xml:space="preserve">discipline the repository’s own Decision Intelligence Framework enforces (DIF Objective 10) — a discipline this document adopts rather than invents.</w:t>
      </w:r>
    </w:p>
    <w:p>
      <w:r>
        <w:pict>
          <v:rect style="width:0;height:1.5pt" o:hralign="center" o:hrstd="t" o:hr="t"/>
        </w:pict>
      </w:r>
    </w:p>
    <w:bookmarkEnd w:id="28"/>
    <w:bookmarkEnd w:id="29"/>
    <w:bookmarkStart w:id="30" w:name="enterprise-ai-principles"/>
    <w:p>
      <w:pPr>
        <w:pStyle w:val="Heading2"/>
      </w:pPr>
      <w:r>
        <w:t xml:space="preserve">3. Enterprise AI Principles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Statement</w:t>
            </w:r>
          </w:p>
        </w:tc>
        <w:tc>
          <w:tcPr/>
          <w:p>
            <w:pPr>
              <w:pStyle w:val="Compact"/>
              <w:jc w:val="left"/>
            </w:pPr>
            <w:r>
              <w:t xml:space="preserve">Evidence</w:t>
            </w:r>
          </w:p>
        </w:tc>
      </w:tr>
      <w:tr>
        <w:tc>
          <w:tcPr/>
          <w:p>
            <w:pPr>
              <w:pStyle w:val="Compact"/>
              <w:jc w:val="left"/>
            </w:pPr>
            <w:r>
              <w:t xml:space="preserve">Responsible AI</w:t>
            </w:r>
          </w:p>
        </w:tc>
        <w:tc>
          <w:tcPr/>
          <w:p>
            <w:pPr>
              <w:pStyle w:val="Compact"/>
              <w:jc w:val="left"/>
            </w:pPr>
            <w:r>
              <w:t xml:space="preserve">AI outputs must never fabricate what cannot be verified; an honest</w:t>
            </w:r>
            <w:r>
              <w:t xml:space="preserve"> </w:t>
            </w:r>
            <w:r>
              <w:t xml:space="preserve">“</w:t>
            </w:r>
            <w:r>
              <w:t xml:space="preserve">cannot evaluate</w:t>
            </w:r>
            <w:r>
              <w:t xml:space="preserve">”</w:t>
            </w:r>
            <w:r>
              <w:t xml:space="preserve"> </w:t>
            </w:r>
            <w:r>
              <w:t xml:space="preserve">beats a false positive.</w:t>
            </w:r>
          </w:p>
        </w:tc>
        <w:tc>
          <w:tcPr/>
          <w:p>
            <w:pPr>
              <w:pStyle w:val="Compact"/>
              <w:jc w:val="left"/>
            </w:pPr>
            <w:r>
              <w:t xml:space="preserve">WP-XAI2-01A ADR-01 (Fairness Gate phased definition)</w:t>
            </w:r>
          </w:p>
        </w:tc>
      </w:tr>
      <w:tr>
        <w:tc>
          <w:tcPr/>
          <w:p>
            <w:pPr>
              <w:pStyle w:val="Compact"/>
              <w:jc w:val="left"/>
            </w:pPr>
            <w:r>
              <w:t xml:space="preserve">Human-centered AI</w:t>
            </w:r>
          </w:p>
        </w:tc>
        <w:tc>
          <w:tcPr/>
          <w:p>
            <w:pPr>
              <w:pStyle w:val="Compact"/>
              <w:jc w:val="left"/>
            </w:pPr>
            <w:r>
              <w:t xml:space="preserve">AI augments; it does not carry business accountability.</w:t>
            </w:r>
          </w:p>
        </w:tc>
        <w:tc>
          <w:tcPr/>
          <w:p>
            <w:pPr>
              <w:pStyle w:val="Compact"/>
              <w:jc w:val="left"/>
            </w:pPr>
            <w:r>
              <w:t xml:space="preserve">WP-KD-01 —</w:t>
            </w:r>
            <w:r>
              <w:t xml:space="preserve"> </w:t>
            </w:r>
            <w:r>
              <w:t xml:space="preserve">“</w:t>
            </w:r>
            <w:r>
              <w:t xml:space="preserve">AI assists. Humans decide.</w:t>
            </w:r>
            <w:r>
              <w:t xml:space="preserve">”</w:t>
            </w:r>
            <w:r>
              <w:t xml:space="preserve">; WP-AIC-01 XAI rationale requirement</w:t>
            </w:r>
          </w:p>
        </w:tc>
      </w:tr>
      <w:tr>
        <w:tc>
          <w:tcPr/>
          <w:p>
            <w:pPr>
              <w:pStyle w:val="Compact"/>
              <w:jc w:val="left"/>
            </w:pPr>
            <w:r>
              <w:t xml:space="preserve">Explainability</w:t>
            </w:r>
          </w:p>
        </w:tc>
        <w:tc>
          <w:tcPr/>
          <w:p>
            <w:pPr>
              <w:pStyle w:val="Compact"/>
              <w:jc w:val="left"/>
            </w:pPr>
            <w:r>
              <w:t xml:space="preserve">Every AI-assisted decision has a structurally separate, pure explanation path.</w:t>
            </w:r>
          </w:p>
        </w:tc>
        <w:tc>
          <w:tcPr/>
          <w:p>
            <w:pPr>
              <w:pStyle w:val="Compact"/>
              <w:jc w:val="left"/>
            </w:pPr>
            <w:r>
              <w:rPr>
                <w:rStyle w:val="VerbatimChar"/>
              </w:rPr>
              <w:t xml:space="preserve">explainability.service.js</w:t>
            </w:r>
            <w:r>
              <w:t xml:space="preserve"> </w:t>
            </w:r>
            <w:r>
              <w:t xml:space="preserve">— confirmed stateless, no Decision Runtime write access</w:t>
            </w:r>
          </w:p>
        </w:tc>
      </w:tr>
      <w:tr>
        <w:tc>
          <w:tcPr/>
          <w:p>
            <w:pPr>
              <w:pStyle w:val="Compact"/>
              <w:jc w:val="left"/>
            </w:pPr>
            <w:r>
              <w:t xml:space="preserve">Business accountability</w:t>
            </w:r>
          </w:p>
        </w:tc>
        <w:tc>
          <w:tcPr/>
          <w:p>
            <w:pPr>
              <w:pStyle w:val="Compact"/>
              <w:jc w:val="left"/>
            </w:pPr>
            <w:r>
              <w:t xml:space="preserve">A named decision type, rule, and rule-precedence category governs every AI-assisted decision — no ungoverned decision path.</w:t>
            </w:r>
          </w:p>
        </w:tc>
        <w:tc>
          <w:tcPr/>
          <w:p>
            <w:pPr>
              <w:pStyle w:val="Compact"/>
              <w:jc w:val="left"/>
            </w:pPr>
            <w:r>
              <w:rPr>
                <w:rStyle w:val="VerbatimChar"/>
              </w:rPr>
              <w:t xml:space="preserve">decision.service.js</w:t>
            </w:r>
            <w:r>
              <w:t xml:space="preserve"> </w:t>
            </w:r>
            <w:r>
              <w:rPr>
                <w:rStyle w:val="VerbatimChar"/>
              </w:rPr>
              <w:t xml:space="preserve">KNOWN_DECISION_TYPES</w:t>
            </w:r>
            <w:r>
              <w:t xml:space="preserve">/</w:t>
            </w:r>
            <w:r>
              <w:rPr>
                <w:rStyle w:val="VerbatimChar"/>
              </w:rPr>
              <w:t xml:space="preserve">DR-TYP-01</w:t>
            </w:r>
            <w:r>
              <w:t xml:space="preserve">;</w:t>
            </w:r>
            <w:r>
              <w:t xml:space="preserve"> </w:t>
            </w:r>
            <w:r>
              <w:rPr>
                <w:rStyle w:val="VerbatimChar"/>
              </w:rPr>
              <w:t xml:space="preserve">decisionTypeRegistry.js</w:t>
            </w:r>
          </w:p>
        </w:tc>
      </w:tr>
      <w:tr>
        <w:tc>
          <w:tcPr/>
          <w:p>
            <w:pPr>
              <w:pStyle w:val="Compact"/>
              <w:jc w:val="left"/>
            </w:pPr>
            <w:r>
              <w:t xml:space="preserve">Knowledge-first AI</w:t>
            </w:r>
          </w:p>
        </w:tc>
        <w:tc>
          <w:tcPr/>
          <w:p>
            <w:pPr>
              <w:pStyle w:val="Compact"/>
              <w:jc w:val="left"/>
            </w:pPr>
            <w:r>
              <w:t xml:space="preserve">AI reasons over the governed Enterprise Knowledge Platform (EEP-02 Phase F), not private model knowledge.</w:t>
            </w:r>
          </w:p>
        </w:tc>
        <w:tc>
          <w:tcPr/>
          <w:p>
            <w:pPr>
              <w:pStyle w:val="Compact"/>
              <w:jc w:val="left"/>
            </w:pPr>
            <w:r>
              <w:rPr>
                <w:rStyle w:val="VerbatimChar"/>
              </w:rPr>
              <w:t xml:space="preserve">career-copilot</w:t>
            </w:r>
            <w:r>
              <w:t xml:space="preserve">’s</w:t>
            </w:r>
            <w:r>
              <w:t xml:space="preserve"> </w:t>
            </w:r>
            <w:r>
              <w:rPr>
                <w:rStyle w:val="VerbatimChar"/>
              </w:rPr>
              <w:t xml:space="preserve">ragRetriever.js</w:t>
            </w:r>
            <w:r>
              <w:t xml:space="preserve">;</w:t>
            </w:r>
            <w:r>
              <w:t xml:space="preserve"> </w:t>
            </w:r>
            <w:r>
              <w:rPr>
                <w:rStyle w:val="VerbatimChar"/>
              </w:rPr>
              <w:t xml:space="preserve">groundingGuard.js</w:t>
            </w:r>
            <w:r>
              <w:t xml:space="preserve"> </w:t>
            </w:r>
            <w:r>
              <w:t xml:space="preserve">refusal behavior when required data is absent</w:t>
            </w:r>
          </w:p>
        </w:tc>
      </w:tr>
      <w:tr>
        <w:tc>
          <w:tcPr/>
          <w:p>
            <w:pPr>
              <w:pStyle w:val="Compact"/>
              <w:jc w:val="left"/>
            </w:pPr>
            <w:r>
              <w:t xml:space="preserve">Trust</w:t>
            </w:r>
          </w:p>
        </w:tc>
        <w:tc>
          <w:tcPr/>
          <w:p>
            <w:pPr>
              <w:pStyle w:val="Compact"/>
              <w:jc w:val="left"/>
            </w:pPr>
            <w:r>
              <w:t xml:space="preserve">Trust is computed and disclosed (confidence, completeness), not assumed.</w:t>
            </w:r>
          </w:p>
        </w:tc>
        <w:tc>
          <w:tcPr/>
          <w:p>
            <w:pPr>
              <w:pStyle w:val="Compact"/>
              <w:jc w:val="left"/>
            </w:pPr>
            <w:r>
              <w:rPr>
                <w:rStyle w:val="VerbatimChar"/>
              </w:rPr>
              <w:t xml:space="preserve">groundingGuard.js</w:t>
            </w:r>
            <w:r>
              <w:t xml:space="preserve"> </w:t>
            </w:r>
            <w:r>
              <w:rPr>
                <w:rStyle w:val="VerbatimChar"/>
              </w:rPr>
              <w:t xml:space="preserve">MIN_COMPLETENESS</w:t>
            </w:r>
            <w:r>
              <w:t xml:space="preserve">/</w:t>
            </w:r>
            <w:r>
              <w:rPr>
                <w:rStyle w:val="VerbatimChar"/>
              </w:rPr>
              <w:t xml:space="preserve">MIN_CONFIDENCE</w:t>
            </w:r>
            <w:r>
              <w:t xml:space="preserve"> </w:t>
            </w:r>
            <w:r>
              <w:t xml:space="preserve">thresholds</w:t>
            </w:r>
          </w:p>
        </w:tc>
      </w:tr>
      <w:tr>
        <w:tc>
          <w:tcPr/>
          <w:p>
            <w:pPr>
              <w:pStyle w:val="Compact"/>
              <w:jc w:val="left"/>
            </w:pPr>
            <w:r>
              <w:t xml:space="preserve">Fairness</w:t>
            </w:r>
          </w:p>
        </w:tc>
        <w:tc>
          <w:tcPr/>
          <w:p>
            <w:pPr>
              <w:pStyle w:val="Compact"/>
              <w:jc w:val="left"/>
            </w:pPr>
            <w:r>
              <w:t xml:space="preserve">Fairness is a modeled, precedence-ordered rule, not an implicit assumption — and is honestly marked unevaluated where data does not exist.</w:t>
            </w:r>
          </w:p>
        </w:tc>
        <w:tc>
          <w:tcPr/>
          <w:p>
            <w:pPr>
              <w:pStyle w:val="Compact"/>
              <w:jc w:val="left"/>
            </w:pPr>
            <w:r>
              <w:t xml:space="preserve">WP-XAI2-01A ADR-01, ADR-04 (no fabricated demographic proxies)</w:t>
            </w:r>
          </w:p>
        </w:tc>
      </w:tr>
      <w:tr>
        <w:tc>
          <w:tcPr/>
          <w:p>
            <w:pPr>
              <w:pStyle w:val="Compact"/>
              <w:jc w:val="left"/>
            </w:pPr>
            <w:r>
              <w:t xml:space="preserve">Transparency</w:t>
            </w:r>
          </w:p>
        </w:tc>
        <w:tc>
          <w:tcPr/>
          <w:p>
            <w:pPr>
              <w:pStyle w:val="Compact"/>
              <w:jc w:val="left"/>
            </w:pPr>
            <w:r>
              <w:t xml:space="preserve">Response contracts are governed; no undisclosed internal data reaches a public AI-assisted response.</w:t>
            </w:r>
          </w:p>
        </w:tc>
        <w:tc>
          <w:tcPr/>
          <w:p>
            <w:pPr>
              <w:pStyle w:val="Compact"/>
              <w:jc w:val="left"/>
            </w:pPr>
            <w:r>
              <w:t xml:space="preserve">WP-XAI2-02 Response Contract Governance (5 controllers migrated)</w:t>
            </w:r>
          </w:p>
        </w:tc>
      </w:tr>
      <w:tr>
        <w:tc>
          <w:tcPr/>
          <w:p>
            <w:pPr>
              <w:pStyle w:val="Compact"/>
              <w:jc w:val="left"/>
            </w:pPr>
            <w:r>
              <w:t xml:space="preserve">Continuous learning</w:t>
            </w:r>
          </w:p>
        </w:tc>
        <w:tc>
          <w:tcPr/>
          <w:p>
            <w:pPr>
              <w:pStyle w:val="Compact"/>
              <w:jc w:val="left"/>
            </w:pPr>
            <w:r>
              <w:t xml:space="preserve">Decision Runtime scope expands only via ratified, evidence-based per-type decisions, not ad hoc extension.</w:t>
            </w:r>
          </w:p>
        </w:tc>
        <w:tc>
          <w:tcPr/>
          <w:p>
            <w:pPr>
              <w:pStyle w:val="Compact"/>
              <w:jc w:val="left"/>
            </w:pPr>
            <w:r>
              <w:t xml:space="preserve">WP-XAI2-04 ADR;</w:t>
            </w:r>
            <w:r>
              <w:t xml:space="preserve"> </w:t>
            </w:r>
            <w:r>
              <w:rPr>
                <w:rStyle w:val="VerbatimChar"/>
              </w:rPr>
              <w:t xml:space="preserve">decisionTypeRegistry.js</w:t>
            </w:r>
            <w:r>
              <w:t xml:space="preserve"> </w:t>
            </w:r>
            <w:r>
              <w:t xml:space="preserve">extension seam</w:t>
            </w:r>
          </w:p>
        </w:tc>
      </w:tr>
      <w:tr>
        <w:tc>
          <w:tcPr/>
          <w:p>
            <w:pPr>
              <w:pStyle w:val="Compact"/>
              <w:jc w:val="left"/>
            </w:pPr>
            <w:r>
              <w:t xml:space="preserve">Technology independence</w:t>
            </w:r>
          </w:p>
        </w:tc>
        <w:tc>
          <w:tcPr/>
          <w:p>
            <w:pPr>
              <w:pStyle w:val="Compact"/>
              <w:jc w:val="left"/>
            </w:pPr>
            <w:r>
              <w:t xml:space="preserve">This document is silent on AI provider, model, or runtime choice by design.</w:t>
            </w:r>
          </w:p>
        </w:tc>
        <w:tc>
          <w:tcPr/>
          <w:p>
            <w:pPr>
              <w:pStyle w:val="Compact"/>
              <w:jc w:val="left"/>
            </w:pPr>
            <w:r>
              <w:t xml:space="preserve">EEP-01 Phase F remains the sole owner of that decision layer</w:t>
            </w:r>
          </w:p>
        </w:tc>
      </w:tr>
    </w:tbl>
    <w:p>
      <w:r>
        <w:pict>
          <v:rect style="width:0;height:1.5pt" o:hralign="center" o:hrstd="t" o:hr="t"/>
        </w:pict>
      </w:r>
    </w:p>
    <w:bookmarkEnd w:id="30"/>
    <w:bookmarkStart w:id="31" w:name="Xf76d0d55e4eeec45ce2293991530b96d5b13c57"/>
    <w:p>
      <w:pPr>
        <w:pStyle w:val="Heading2"/>
      </w:pPr>
      <w:r>
        <w:t xml:space="preserve">4. Enterprise AI Business Capability Landscape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AI Capability</w:t>
            </w:r>
          </w:p>
        </w:tc>
        <w:tc>
          <w:tcPr/>
          <w:p>
            <w:pPr>
              <w:pStyle w:val="Compact"/>
              <w:jc w:val="left"/>
            </w:pPr>
            <w:r>
              <w:t xml:space="preserve">State</w:t>
            </w:r>
          </w:p>
        </w:tc>
        <w:tc>
          <w:tcPr/>
          <w:p>
            <w:pPr>
              <w:pStyle w:val="Compact"/>
              <w:jc w:val="left"/>
            </w:pPr>
            <w:r>
              <w:t xml:space="preserve">Evidence</w:t>
            </w:r>
          </w:p>
        </w:tc>
      </w:tr>
      <w:tr>
        <w:tc>
          <w:tcPr/>
          <w:p>
            <w:pPr>
              <w:pStyle w:val="Compact"/>
              <w:jc w:val="left"/>
            </w:pPr>
            <w:r>
              <w:t xml:space="preserve">Career Advisory AI</w:t>
            </w:r>
          </w:p>
        </w:tc>
        <w:tc>
          <w:tcPr/>
          <w:p>
            <w:pPr>
              <w:pStyle w:val="Compact"/>
              <w:jc w:val="left"/>
            </w:pPr>
            <w:r>
              <w:rPr>
                <w:bCs/>
                <w:b/>
              </w:rPr>
              <w:t xml:space="preserve">Current</w:t>
            </w:r>
          </w:p>
        </w:tc>
        <w:tc>
          <w:tcPr/>
          <w:p>
            <w:pPr>
              <w:pStyle w:val="Compact"/>
              <w:jc w:val="left"/>
            </w:pPr>
            <w:r>
              <w:rPr>
                <w:rStyle w:val="VerbatimChar"/>
              </w:rPr>
              <w:t xml:space="preserve">ai-career-advisor</w:t>
            </w:r>
          </w:p>
        </w:tc>
      </w:tr>
      <w:tr>
        <w:tc>
          <w:tcPr/>
          <w:p>
            <w:pPr>
              <w:pStyle w:val="Compact"/>
              <w:jc w:val="left"/>
            </w:pPr>
            <w:r>
              <w:t xml:space="preserve">Career Copilot (multi-agent advisory)</w:t>
            </w:r>
          </w:p>
        </w:tc>
        <w:tc>
          <w:tcPr/>
          <w:p>
            <w:pPr>
              <w:pStyle w:val="Compact"/>
              <w:jc w:val="left"/>
            </w:pPr>
            <w:r>
              <w:rPr>
                <w:bCs/>
                <w:b/>
              </w:rPr>
              <w:t xml:space="preserve">Current</w:t>
            </w:r>
          </w:p>
        </w:tc>
        <w:tc>
          <w:tcPr/>
          <w:p>
            <w:pPr>
              <w:pStyle w:val="Compact"/>
              <w:jc w:val="left"/>
            </w:pPr>
            <w:r>
              <w:rPr>
                <w:rStyle w:val="VerbatimChar"/>
              </w:rPr>
              <w:t xml:space="preserve">career-copilot</w:t>
            </w:r>
            <w:r>
              <w:t xml:space="preserve"> </w:t>
            </w:r>
            <w:r>
              <w:t xml:space="preserve">coordinator + 5 specialist agents</w:t>
            </w:r>
          </w:p>
        </w:tc>
      </w:tr>
      <w:tr>
        <w:tc>
          <w:tcPr/>
          <w:p>
            <w:pPr>
              <w:pStyle w:val="Compact"/>
              <w:jc w:val="left"/>
            </w:pPr>
            <w:r>
              <w:t xml:space="preserve">Academic Intelligence AI</w:t>
            </w:r>
          </w:p>
        </w:tc>
        <w:tc>
          <w:tcPr/>
          <w:p>
            <w:pPr>
              <w:pStyle w:val="Compact"/>
              <w:jc w:val="left"/>
            </w:pPr>
            <w:r>
              <w:rPr>
                <w:bCs/>
                <w:b/>
              </w:rPr>
              <w:t xml:space="preserve">Current</w:t>
            </w:r>
          </w:p>
        </w:tc>
        <w:tc>
          <w:tcPr/>
          <w:p>
            <w:pPr>
              <w:pStyle w:val="Compact"/>
              <w:jc w:val="left"/>
            </w:pPr>
            <w:r>
              <w:rPr>
                <w:rStyle w:val="VerbatimChar"/>
              </w:rPr>
              <w:t xml:space="preserve">education-intelligence</w:t>
            </w:r>
            <w:r>
              <w:t xml:space="preserve"> </w:t>
            </w:r>
            <w:r>
              <w:t xml:space="preserve">engines (ROI, cognitive profile, career digital twin, activity analyzer), consistent with MIE (EEP-02 Phase F §2.2)</w:t>
            </w:r>
          </w:p>
        </w:tc>
      </w:tr>
      <w:tr>
        <w:tc>
          <w:tcPr/>
          <w:p>
            <w:pPr>
              <w:pStyle w:val="Compact"/>
              <w:jc w:val="left"/>
            </w:pPr>
            <w:r>
              <w:t xml:space="preserve">Career Intelligence AI</w:t>
            </w:r>
          </w:p>
        </w:tc>
        <w:tc>
          <w:tcPr/>
          <w:p>
            <w:pPr>
              <w:pStyle w:val="Compact"/>
              <w:jc w:val="left"/>
            </w:pPr>
            <w:r>
              <w:rPr>
                <w:bCs/>
                <w:b/>
              </w:rPr>
              <w:t xml:space="preserve">Current</w:t>
            </w:r>
          </w:p>
        </w:tc>
        <w:tc>
          <w:tcPr/>
          <w:p>
            <w:pPr>
              <w:pStyle w:val="Compact"/>
              <w:jc w:val="left"/>
            </w:pPr>
            <w:r>
              <w:rPr>
                <w:rStyle w:val="VerbatimChar"/>
              </w:rPr>
              <w:t xml:space="preserve">chiV2</w:t>
            </w:r>
            <w:r>
              <w:t xml:space="preserve">,</w:t>
            </w:r>
            <w:r>
              <w:t xml:space="preserve"> </w:t>
            </w:r>
            <w:r>
              <w:rPr>
                <w:rStyle w:val="VerbatimChar"/>
              </w:rPr>
              <w:t xml:space="preserve">careerHealthIndex</w:t>
            </w:r>
            <w:r>
              <w:t xml:space="preserve">,</w:t>
            </w:r>
            <w:r>
              <w:t xml:space="preserve"> </w:t>
            </w:r>
            <w:r>
              <w:rPr>
                <w:rStyle w:val="VerbatimChar"/>
              </w:rPr>
              <w:t xml:space="preserve">career-readiness</w:t>
            </w:r>
            <w:r>
              <w:t xml:space="preserve">,</w:t>
            </w:r>
            <w:r>
              <w:t xml:space="preserve"> </w:t>
            </w:r>
            <w:r>
              <w:rPr>
                <w:rStyle w:val="VerbatimChar"/>
              </w:rPr>
              <w:t xml:space="preserve">career-digital-twin</w:t>
            </w:r>
          </w:p>
        </w:tc>
      </w:tr>
      <w:tr>
        <w:tc>
          <w:tcPr/>
          <w:p>
            <w:pPr>
              <w:pStyle w:val="Compact"/>
              <w:jc w:val="left"/>
            </w:pPr>
            <w:r>
              <w:t xml:space="preserve">Resume Intelligence AI</w:t>
            </w:r>
          </w:p>
        </w:tc>
        <w:tc>
          <w:tcPr/>
          <w:p>
            <w:pPr>
              <w:pStyle w:val="Compact"/>
              <w:jc w:val="left"/>
            </w:pPr>
            <w:r>
              <w:rPr>
                <w:bCs/>
                <w:b/>
              </w:rPr>
              <w:t xml:space="preserve">Current</w:t>
            </w:r>
          </w:p>
        </w:tc>
        <w:tc>
          <w:tcPr/>
          <w:p>
            <w:pPr>
              <w:pStyle w:val="Compact"/>
              <w:jc w:val="left"/>
            </w:pPr>
            <w:r>
              <w:rPr>
                <w:rStyle w:val="VerbatimChar"/>
              </w:rPr>
              <w:t xml:space="preserve">resume</w:t>
            </w:r>
            <w:r>
              <w:t xml:space="preserve">,</w:t>
            </w:r>
            <w:r>
              <w:t xml:space="preserve"> </w:t>
            </w:r>
            <w:r>
              <w:rPr>
                <w:rStyle w:val="VerbatimChar"/>
              </w:rPr>
              <w:t xml:space="preserve">resumeGrowth</w:t>
            </w:r>
            <w:r>
              <w:t xml:space="preserve"> </w:t>
            </w:r>
            <w:r>
              <w:t xml:space="preserve">(consistent with EEP-02 Phase F resume knowledge)</w:t>
            </w:r>
          </w:p>
        </w:tc>
      </w:tr>
      <w:tr>
        <w:tc>
          <w:tcPr/>
          <w:p>
            <w:pPr>
              <w:pStyle w:val="Compact"/>
              <w:jc w:val="left"/>
            </w:pPr>
            <w:r>
              <w:t xml:space="preserve">Recommendation Intelligence</w:t>
            </w:r>
          </w:p>
        </w:tc>
        <w:tc>
          <w:tcPr/>
          <w:p>
            <w:pPr>
              <w:pStyle w:val="Compact"/>
              <w:jc w:val="left"/>
            </w:pPr>
            <w:r>
              <w:rPr>
                <w:bCs/>
                <w:b/>
              </w:rPr>
              <w:t xml:space="preserve">Current</w:t>
            </w:r>
          </w:p>
        </w:tc>
        <w:tc>
          <w:tcPr/>
          <w:p>
            <w:pPr>
              <w:pStyle w:val="Compact"/>
              <w:jc w:val="left"/>
            </w:pPr>
            <w:r>
              <w:rPr>
                <w:rStyle w:val="VerbatimChar"/>
              </w:rPr>
              <w:t xml:space="preserve">knowledge-runtime/decision</w:t>
            </w:r>
            <w:r>
              <w:t xml:space="preserve">,</w:t>
            </w:r>
            <w:r>
              <w:t xml:space="preserve"> </w:t>
            </w:r>
            <w:r>
              <w:rPr>
                <w:rStyle w:val="VerbatimChar"/>
              </w:rPr>
              <w:t xml:space="preserve">knowledge-runtime/recommendation</w:t>
            </w:r>
          </w:p>
        </w:tc>
      </w:tr>
      <w:tr>
        <w:tc>
          <w:tcPr/>
          <w:p>
            <w:pPr>
              <w:pStyle w:val="Compact"/>
              <w:jc w:val="left"/>
            </w:pPr>
            <w:r>
              <w:t xml:space="preserve">Decision Intelligence</w:t>
            </w:r>
          </w:p>
        </w:tc>
        <w:tc>
          <w:tcPr/>
          <w:p>
            <w:pPr>
              <w:pStyle w:val="Compact"/>
              <w:jc w:val="left"/>
            </w:pPr>
            <w:r>
              <w:rPr>
                <w:bCs/>
                <w:b/>
              </w:rPr>
              <w:t xml:space="preserve">Current (bounded)</w:t>
            </w:r>
          </w:p>
        </w:tc>
        <w:tc>
          <w:tcPr/>
          <w:p>
            <w:pPr>
              <w:pStyle w:val="Compact"/>
              <w:jc w:val="left"/>
            </w:pPr>
            <w:r>
              <w:t xml:space="preserve">Decision Runtime — 2 of 8 candidate types implemented</w:t>
            </w:r>
          </w:p>
        </w:tc>
      </w:tr>
      <w:tr>
        <w:tc>
          <w:tcPr/>
          <w:p>
            <w:pPr>
              <w:pStyle w:val="Compact"/>
              <w:jc w:val="left"/>
            </w:pPr>
            <w:r>
              <w:t xml:space="preserve">Knowledge Intelligence</w:t>
            </w:r>
          </w:p>
        </w:tc>
        <w:tc>
          <w:tcPr/>
          <w:p>
            <w:pPr>
              <w:pStyle w:val="Compact"/>
              <w:jc w:val="left"/>
            </w:pPr>
            <w:r>
              <w:rPr>
                <w:bCs/>
                <w:b/>
              </w:rPr>
              <w:t xml:space="preserve">Current</w:t>
            </w:r>
          </w:p>
        </w:tc>
        <w:tc>
          <w:tcPr/>
          <w:p>
            <w:pPr>
              <w:pStyle w:val="Compact"/>
              <w:jc w:val="left"/>
            </w:pPr>
            <w:r>
              <w:t xml:space="preserve">Reused from EEP-02 Phase F — HKP reasoning underlies all AI capability here</w:t>
            </w:r>
          </w:p>
        </w:tc>
      </w:tr>
      <w:tr>
        <w:tc>
          <w:tcPr/>
          <w:p>
            <w:pPr>
              <w:pStyle w:val="Compact"/>
              <w:jc w:val="left"/>
            </w:pPr>
            <w:r>
              <w:t xml:space="preserve">Behavioral Intelligence</w:t>
            </w:r>
          </w:p>
        </w:tc>
        <w:tc>
          <w:tcPr/>
          <w:p>
            <w:pPr>
              <w:pStyle w:val="Compact"/>
              <w:jc w:val="left"/>
            </w:pPr>
            <w:r>
              <w:rPr>
                <w:bCs/>
                <w:b/>
              </w:rPr>
              <w:t xml:space="preserve">Current</w:t>
            </w:r>
          </w:p>
        </w:tc>
        <w:tc>
          <w:tcPr/>
          <w:p>
            <w:pPr>
              <w:pStyle w:val="Compact"/>
              <w:jc w:val="left"/>
            </w:pPr>
            <w:r>
              <w:rPr>
                <w:rStyle w:val="VerbatimChar"/>
              </w:rPr>
              <w:t xml:space="preserve">daily-engagement</w:t>
            </w:r>
            <w:r>
              <w:t xml:space="preserve">,</w:t>
            </w:r>
            <w:r>
              <w:t xml:space="preserve"> </w:t>
            </w:r>
            <w:r>
              <w:rPr>
                <w:rStyle w:val="VerbatimChar"/>
              </w:rPr>
              <w:t xml:space="preserve">userActivity</w:t>
            </w:r>
            <w:r>
              <w:t xml:space="preserve">,</w:t>
            </w:r>
            <w:r>
              <w:t xml:space="preserve"> </w:t>
            </w:r>
            <w:r>
              <w:rPr>
                <w:rStyle w:val="VerbatimChar"/>
              </w:rPr>
              <w:t xml:space="preserve">activityAnalyzer.engine.js</w:t>
            </w:r>
          </w:p>
        </w:tc>
      </w:tr>
      <w:tr>
        <w:tc>
          <w:tcPr/>
          <w:p>
            <w:pPr>
              <w:pStyle w:val="Compact"/>
              <w:jc w:val="left"/>
            </w:pPr>
            <w:r>
              <w:t xml:space="preserve">Personalization Intelligence</w:t>
            </w:r>
          </w:p>
        </w:tc>
        <w:tc>
          <w:tcPr/>
          <w:p>
            <w:pPr>
              <w:pStyle w:val="Compact"/>
              <w:jc w:val="left"/>
            </w:pPr>
            <w:r>
              <w:rPr>
                <w:bCs/>
                <w:b/>
              </w:rPr>
              <w:t xml:space="preserve">Current</w:t>
            </w:r>
          </w:p>
        </w:tc>
        <w:tc>
          <w:tcPr/>
          <w:p>
            <w:pPr>
              <w:pStyle w:val="Compact"/>
              <w:jc w:val="left"/>
            </w:pPr>
            <w:r>
              <w:rPr>
                <w:rStyle w:val="VerbatimChar"/>
              </w:rPr>
              <w:t xml:space="preserve">personalization</w:t>
            </w:r>
            <w:r>
              <w:t xml:space="preserve"> </w:t>
            </w:r>
            <w:r>
              <w:t xml:space="preserve">module</w:t>
            </w:r>
          </w:p>
        </w:tc>
      </w:tr>
      <w:tr>
        <w:tc>
          <w:tcPr/>
          <w:p>
            <w:pPr>
              <w:pStyle w:val="Compact"/>
              <w:jc w:val="left"/>
            </w:pPr>
            <w:r>
              <w:t xml:space="preserve">Employer Intelligence</w:t>
            </w:r>
          </w:p>
        </w:tc>
        <w:tc>
          <w:tcPr/>
          <w:p>
            <w:pPr>
              <w:pStyle w:val="Compact"/>
              <w:jc w:val="left"/>
            </w:pPr>
            <w:r>
              <w:rPr>
                <w:bCs/>
                <w:b/>
              </w:rPr>
              <w:t xml:space="preserve">Current (partial)</w:t>
            </w:r>
          </w:p>
        </w:tc>
        <w:tc>
          <w:tcPr/>
          <w:p>
            <w:pPr>
              <w:pStyle w:val="Compact"/>
              <w:jc w:val="left"/>
            </w:pPr>
            <w:r>
              <w:rPr>
                <w:rStyle w:val="VerbatimChar"/>
              </w:rPr>
              <w:t xml:space="preserve">employer</w:t>
            </w:r>
            <w:r>
              <w:t xml:space="preserve"> </w:t>
            </w:r>
            <w:r>
              <w:t xml:space="preserve">module; not yet a distinct AI capability, per EEP-02 Phase F §4</w:t>
            </w:r>
          </w:p>
        </w:tc>
      </w:tr>
      <w:tr>
        <w:tc>
          <w:tcPr/>
          <w:p>
            <w:pPr>
              <w:pStyle w:val="Compact"/>
              <w:jc w:val="left"/>
            </w:pPr>
            <w:r>
              <w:t xml:space="preserve">Outcome Intelligence</w:t>
            </w:r>
          </w:p>
        </w:tc>
        <w:tc>
          <w:tcPr/>
          <w:p>
            <w:pPr>
              <w:pStyle w:val="Compact"/>
              <w:jc w:val="left"/>
            </w:pPr>
            <w:r>
              <w:rPr>
                <w:bCs/>
                <w:b/>
              </w:rPr>
              <w:t xml:space="preserve">Target</w:t>
            </w:r>
          </w:p>
        </w:tc>
        <w:tc>
          <w:tcPr/>
          <w:p>
            <w:pPr>
              <w:pStyle w:val="Compact"/>
              <w:jc w:val="left"/>
            </w:pPr>
            <w:r>
              <w:t xml:space="preserve">No AI capability built; depends on EEP-02 Phase F’s TARGET-STATE Career Outcome Intelligence knowledge capability</w:t>
            </w:r>
          </w:p>
        </w:tc>
      </w:tr>
      <w:tr>
        <w:tc>
          <w:tcPr/>
          <w:p>
            <w:pPr>
              <w:pStyle w:val="Compact"/>
              <w:jc w:val="left"/>
            </w:pPr>
            <w:r>
              <w:t xml:space="preserve">Platform Intelligence</w:t>
            </w:r>
          </w:p>
        </w:tc>
        <w:tc>
          <w:tcPr/>
          <w:p>
            <w:pPr>
              <w:pStyle w:val="Compact"/>
              <w:jc w:val="left"/>
            </w:pPr>
            <w:r>
              <w:rPr>
                <w:bCs/>
                <w:b/>
              </w:rPr>
              <w:t xml:space="preserve">Current</w:t>
            </w:r>
          </w:p>
        </w:tc>
        <w:tc>
          <w:tcPr/>
          <w:p>
            <w:pPr>
              <w:pStyle w:val="Compact"/>
              <w:jc w:val="left"/>
            </w:pPr>
            <w:r>
              <w:rPr>
                <w:rStyle w:val="VerbatimChar"/>
              </w:rPr>
              <w:t xml:space="preserve">platform-intelligence</w:t>
            </w:r>
            <w:r>
              <w:t xml:space="preserve"> </w:t>
            </w:r>
            <w:r>
              <w:t xml:space="preserve">module</w:t>
            </w:r>
          </w:p>
        </w:tc>
      </w:tr>
      <w:tr>
        <w:tc>
          <w:tcPr/>
          <w:p>
            <w:pPr>
              <w:pStyle w:val="Compact"/>
              <w:jc w:val="left"/>
            </w:pPr>
            <w:r>
              <w:t xml:space="preserve">Future AI Capabilities</w:t>
            </w:r>
          </w:p>
        </w:tc>
        <w:tc>
          <w:tcPr/>
          <w:p>
            <w:pPr>
              <w:pStyle w:val="Compact"/>
              <w:jc w:val="left"/>
            </w:pPr>
            <w:r>
              <w:rPr>
                <w:bCs/>
                <w:b/>
              </w:rPr>
              <w:t xml:space="preserve">Target</w:t>
            </w:r>
          </w:p>
        </w:tc>
        <w:tc>
          <w:tcPr/>
          <w:p>
            <w:pPr>
              <w:pStyle w:val="Compact"/>
              <w:jc w:val="left"/>
            </w:pPr>
            <w:r>
              <w:t xml:space="preserve">The 5 unratified Decision Runtime candidate types (</w:t>
            </w:r>
            <w:r>
              <w:rPr>
                <w:rStyle w:val="VerbatimChar"/>
              </w:rPr>
              <w:t xml:space="preserve">programme</w:t>
            </w:r>
            <w:r>
              <w:t xml:space="preserve">,</w:t>
            </w:r>
            <w:r>
              <w:t xml:space="preserve"> </w:t>
            </w:r>
            <w:r>
              <w:rPr>
                <w:rStyle w:val="VerbatimChar"/>
              </w:rPr>
              <w:t xml:space="preserve">course</w:t>
            </w:r>
            <w:r>
              <w:t xml:space="preserve">,</w:t>
            </w:r>
            <w:r>
              <w:t xml:space="preserve"> </w:t>
            </w:r>
            <w:r>
              <w:rPr>
                <w:rStyle w:val="VerbatimChar"/>
              </w:rPr>
              <w:t xml:space="preserve">scholarship</w:t>
            </w:r>
            <w:r>
              <w:t xml:space="preserve">,</w:t>
            </w:r>
            <w:r>
              <w:t xml:space="preserve"> </w:t>
            </w:r>
            <w:r>
              <w:rPr>
                <w:rStyle w:val="VerbatimChar"/>
              </w:rPr>
              <w:t xml:space="preserve">institution</w:t>
            </w:r>
            <w:r>
              <w:t xml:space="preserve">,</w:t>
            </w:r>
            <w:r>
              <w:t xml:space="preserve"> </w:t>
            </w:r>
            <w:r>
              <w:rPr>
                <w:rStyle w:val="VerbatimChar"/>
              </w:rPr>
              <w:t xml:space="preserve">futureSkill</w:t>
            </w:r>
            <w:r>
              <w:t xml:space="preserve">);</w:t>
            </w:r>
            <w:r>
              <w:t xml:space="preserve"> </w:t>
            </w:r>
            <w:r>
              <w:rPr>
                <w:rStyle w:val="VerbatimChar"/>
              </w:rPr>
              <w:t xml:space="preserve">occupation</w:t>
            </w:r>
            <w:r>
              <w:t xml:space="preserve"> </w:t>
            </w:r>
            <w:r>
              <w:t xml:space="preserve">explicitly excluded (no architectural source)</w:t>
            </w:r>
          </w:p>
        </w:tc>
      </w:tr>
    </w:tbl>
    <w:p>
      <w:r>
        <w:pict>
          <v:rect style="width:0;height:1.5pt" o:hralign="center" o:hrstd="t" o:hr="t"/>
        </w:pict>
      </w:r>
    </w:p>
    <w:bookmarkEnd w:id="31"/>
    <w:bookmarkStart w:id="35" w:name="ai-business-value-catalog"/>
    <w:p>
      <w:pPr>
        <w:pStyle w:val="Heading2"/>
      </w:pPr>
      <w:r>
        <w:t xml:space="preserve">5. AI Business Value Catalog</w:t>
      </w:r>
    </w:p>
    <w:p>
      <w:pPr>
        <w:pStyle w:val="FirstParagraph"/>
      </w:pPr>
      <w:r>
        <w:t xml:space="preserve">Catalogued for the capabilities with the strongest repository evidence; capabilities without a named business owner or KPI in the repository are marked accordingly rather than invented.</w:t>
      </w:r>
    </w:p>
    <w:bookmarkStart w:id="32" w:name="career-advisory-ai-career-copilot"/>
    <w:p>
      <w:pPr>
        <w:pStyle w:val="Heading3"/>
      </w:pPr>
      <w:r>
        <w:t xml:space="preserve">Career Advisory AI / Career Copilot</w:t>
      </w:r>
    </w:p>
    <w:p>
      <w:pPr>
        <w:numPr>
          <w:ilvl w:val="0"/>
          <w:numId w:val="1004"/>
        </w:numPr>
        <w:pStyle w:val="Compact"/>
      </w:pPr>
      <w:r>
        <w:rPr>
          <w:bCs/>
          <w:b/>
        </w:rPr>
        <w:t xml:space="preserve">Purpose:</w:t>
      </w:r>
      <w:r>
        <w:t xml:space="preserve"> </w:t>
      </w:r>
      <w:r>
        <w:t xml:space="preserve">direct-dialogue career guidance and multi-agent specialist analysis (job matching, skill intelligence, market intelligence, risk/radar).</w:t>
      </w:r>
    </w:p>
    <w:p>
      <w:pPr>
        <w:numPr>
          <w:ilvl w:val="0"/>
          <w:numId w:val="1004"/>
        </w:numPr>
        <w:pStyle w:val="Compact"/>
      </w:pPr>
      <w:r>
        <w:rPr>
          <w:bCs/>
          <w:b/>
        </w:rPr>
        <w:t xml:space="preserve">Business value:</w:t>
      </w:r>
      <w:r>
        <w:t xml:space="preserve"> </w:t>
      </w:r>
      <w:r>
        <w:t xml:space="preserve">extends structured MIE/HSIE recommendations with conversational, on-demand guidance; grounding guard prevents fabricated answers when underlying data is insufficient.</w:t>
      </w:r>
    </w:p>
    <w:p>
      <w:pPr>
        <w:numPr>
          <w:ilvl w:val="0"/>
          <w:numId w:val="1004"/>
        </w:numPr>
        <w:pStyle w:val="Compact"/>
      </w:pPr>
      <w:r>
        <w:rPr>
          <w:bCs/>
          <w:b/>
        </w:rPr>
        <w:t xml:space="preserve">Primary stakeholders:</w:t>
      </w:r>
      <w:r>
        <w:t xml:space="preserve"> </w:t>
      </w:r>
      <w:r>
        <w:t xml:space="preserve">students.</w:t>
      </w:r>
      <w:r>
        <w:t xml:space="preserve"> </w:t>
      </w:r>
      <w:r>
        <w:rPr>
          <w:bCs/>
          <w:b/>
        </w:rPr>
        <w:t xml:space="preserve">Secondary stakeholders:</w:t>
      </w:r>
      <w:r>
        <w:t xml:space="preserve"> </w:t>
      </w:r>
      <w:r>
        <w:t xml:space="preserve">parents (indirectly, via shared guidance), career advisors.</w:t>
      </w:r>
    </w:p>
    <w:p>
      <w:pPr>
        <w:numPr>
          <w:ilvl w:val="0"/>
          <w:numId w:val="1004"/>
        </w:numPr>
        <w:pStyle w:val="Compact"/>
      </w:pPr>
      <w:r>
        <w:rPr>
          <w:bCs/>
          <w:b/>
        </w:rPr>
        <w:t xml:space="preserve">Business owner:</w:t>
      </w:r>
      <w:r>
        <w:t xml:space="preserve"> </w:t>
      </w:r>
      <w:r>
        <w:t xml:space="preserve">not named in repository evidence — TARGET STATE governance gap.</w:t>
      </w:r>
    </w:p>
    <w:p>
      <w:pPr>
        <w:numPr>
          <w:ilvl w:val="0"/>
          <w:numId w:val="1004"/>
        </w:numPr>
        <w:pStyle w:val="Compact"/>
      </w:pPr>
      <w:r>
        <w:rPr>
          <w:bCs/>
          <w:b/>
        </w:rPr>
        <w:t xml:space="preserve">Supported domains/value streams/services/processes:</w:t>
      </w:r>
      <w:r>
        <w:t xml:space="preserve"> </w:t>
      </w:r>
      <w:r>
        <w:t xml:space="preserve">reused from EEP-02 Phases B–E (student guidance domain; career decision value streams).</w:t>
      </w:r>
    </w:p>
    <w:p>
      <w:pPr>
        <w:numPr>
          <w:ilvl w:val="0"/>
          <w:numId w:val="1004"/>
        </w:numPr>
        <w:pStyle w:val="Compact"/>
      </w:pPr>
      <w:r>
        <w:rPr>
          <w:bCs/>
          <w:b/>
        </w:rPr>
        <w:t xml:space="preserve">Knowledge dependencies:</w:t>
      </w:r>
      <w:r>
        <w:t xml:space="preserve"> </w:t>
      </w:r>
      <w:r>
        <w:t xml:space="preserve">HKP academic/career/skill/labor-market knowledge (EEP-02 Phase F).</w:t>
      </w:r>
    </w:p>
    <w:p>
      <w:pPr>
        <w:numPr>
          <w:ilvl w:val="0"/>
          <w:numId w:val="1004"/>
        </w:numPr>
        <w:pStyle w:val="Compact"/>
      </w:pPr>
      <w:r>
        <w:rPr>
          <w:bCs/>
          <w:b/>
        </w:rPr>
        <w:t xml:space="preserve">Human involvement:</w:t>
      </w:r>
      <w:r>
        <w:t xml:space="preserve"> </w:t>
      </w:r>
      <w:r>
        <w:t xml:space="preserve">advisory only; no autonomous business decision is finalized by this capability.</w:t>
      </w:r>
    </w:p>
    <w:p>
      <w:pPr>
        <w:numPr>
          <w:ilvl w:val="0"/>
          <w:numId w:val="1004"/>
        </w:numPr>
        <w:pStyle w:val="Compact"/>
      </w:pPr>
      <w:r>
        <w:rPr>
          <w:bCs/>
          <w:b/>
        </w:rPr>
        <w:t xml:space="preserve">Decision authority:</w:t>
      </w:r>
      <w:r>
        <w:t xml:space="preserve"> </w:t>
      </w:r>
      <w:r>
        <w:t xml:space="preserve">recommendation, not decision — student/advisor retains authority.</w:t>
      </w:r>
    </w:p>
    <w:p>
      <w:pPr>
        <w:numPr>
          <w:ilvl w:val="0"/>
          <w:numId w:val="1004"/>
        </w:numPr>
        <w:pStyle w:val="Compact"/>
      </w:pPr>
      <w:r>
        <w:rPr>
          <w:bCs/>
          <w:b/>
        </w:rPr>
        <w:t xml:space="preserve">Business KPIs:</w:t>
      </w:r>
      <w:r>
        <w:t xml:space="preserve"> </w:t>
      </w:r>
      <w:r>
        <w:t xml:space="preserve">not yet instrumented in evidence — see §17 recommendations.</w:t>
      </w:r>
    </w:p>
    <w:p>
      <w:pPr>
        <w:numPr>
          <w:ilvl w:val="0"/>
          <w:numId w:val="1004"/>
        </w:numPr>
        <w:pStyle w:val="Compact"/>
      </w:pPr>
      <w:r>
        <w:rPr>
          <w:bCs/>
          <w:b/>
        </w:rPr>
        <w:t xml:space="preserve">Current maturity:</w:t>
      </w:r>
      <w:r>
        <w:t xml:space="preserve"> </w:t>
      </w:r>
      <w:r>
        <w:t xml:space="preserve">Level 2 (Operational) — grounding guard and multi-agent structure are operating, but no closure-review-grade verification exists for this capability the way it does for the Decision Runtime.</w:t>
      </w:r>
    </w:p>
    <w:p>
      <w:pPr>
        <w:numPr>
          <w:ilvl w:val="0"/>
          <w:numId w:val="1004"/>
        </w:numPr>
        <w:pStyle w:val="Compact"/>
      </w:pPr>
      <w:r>
        <w:rPr>
          <w:bCs/>
          <w:b/>
        </w:rPr>
        <w:t xml:space="preserve">Target maturity:</w:t>
      </w:r>
      <w:r>
        <w:t xml:space="preserve"> </w:t>
      </w:r>
      <w:r>
        <w:t xml:space="preserve">Level 3 (Trusted), contingent on a Decision-Runtime-style governance/closure record.</w:t>
      </w:r>
    </w:p>
    <w:bookmarkEnd w:id="32"/>
    <w:bookmarkStart w:id="33" w:name="X4a0a1f188f7314825556bfc2590a198bd594518"/>
    <w:p>
      <w:pPr>
        <w:pStyle w:val="Heading3"/>
      </w:pPr>
      <w:r>
        <w:t xml:space="preserve">Decision Intelligence (skill, career decision types)</w:t>
      </w:r>
    </w:p>
    <w:p>
      <w:pPr>
        <w:numPr>
          <w:ilvl w:val="0"/>
          <w:numId w:val="1005"/>
        </w:numPr>
        <w:pStyle w:val="Compact"/>
      </w:pPr>
      <w:r>
        <w:rPr>
          <w:bCs/>
          <w:b/>
        </w:rPr>
        <w:t xml:space="preserve">Purpose:</w:t>
      </w:r>
      <w:r>
        <w:t xml:space="preserve"> </w:t>
      </w:r>
      <w:r>
        <w:t xml:space="preserve">governed, rule-precedence-ordered, explainable decisions for the two ratified decision types.</w:t>
      </w:r>
    </w:p>
    <w:p>
      <w:pPr>
        <w:numPr>
          <w:ilvl w:val="0"/>
          <w:numId w:val="1005"/>
        </w:numPr>
        <w:pStyle w:val="Compact"/>
      </w:pPr>
      <w:r>
        <w:rPr>
          <w:bCs/>
          <w:b/>
        </w:rPr>
        <w:t xml:space="preserve">Business value:</w:t>
      </w:r>
      <w:r>
        <w:t xml:space="preserve"> </w:t>
      </w:r>
      <w:r>
        <w:t xml:space="preserve">the only AI-assisted output in the repository with a fully independently verified trust chain — implementation, verification, and closure review at each stage.</w:t>
      </w:r>
    </w:p>
    <w:p>
      <w:pPr>
        <w:numPr>
          <w:ilvl w:val="0"/>
          <w:numId w:val="1005"/>
        </w:numPr>
        <w:pStyle w:val="Compact"/>
      </w:pPr>
      <w:r>
        <w:rPr>
          <w:bCs/>
          <w:b/>
        </w:rPr>
        <w:t xml:space="preserve">Primary stakeholders:</w:t>
      </w:r>
      <w:r>
        <w:t xml:space="preserve"> </w:t>
      </w:r>
      <w:r>
        <w:t xml:space="preserve">students.</w:t>
      </w:r>
      <w:r>
        <w:t xml:space="preserve"> </w:t>
      </w:r>
      <w:r>
        <w:rPr>
          <w:bCs/>
          <w:b/>
        </w:rPr>
        <w:t xml:space="preserve">Secondary stakeholders:</w:t>
      </w:r>
      <w:r>
        <w:t xml:space="preserve"> </w:t>
      </w:r>
      <w:r>
        <w:t xml:space="preserve">knowledge stewards (EEP-02 Phase F), platform administrators.</w:t>
      </w:r>
    </w:p>
    <w:p>
      <w:pPr>
        <w:numPr>
          <w:ilvl w:val="0"/>
          <w:numId w:val="1005"/>
        </w:numPr>
        <w:pStyle w:val="Compact"/>
      </w:pPr>
      <w:r>
        <w:rPr>
          <w:bCs/>
          <w:b/>
        </w:rPr>
        <w:t xml:space="preserve">Business owner:</w:t>
      </w:r>
      <w:r>
        <w:t xml:space="preserve"> </w:t>
      </w:r>
      <w:r>
        <w:t xml:space="preserve">HireRise Enterprise Architecture Review Board (ARB), per the WP-XAI2 governance record.</w:t>
      </w:r>
    </w:p>
    <w:p>
      <w:pPr>
        <w:numPr>
          <w:ilvl w:val="0"/>
          <w:numId w:val="1005"/>
        </w:numPr>
        <w:pStyle w:val="Compact"/>
      </w:pPr>
      <w:r>
        <w:rPr>
          <w:bCs/>
          <w:b/>
        </w:rPr>
        <w:t xml:space="preserve">Knowledge dependencies:</w:t>
      </w:r>
      <w:r>
        <w:t xml:space="preserve"> </w:t>
      </w:r>
      <w:r>
        <w:t xml:space="preserve">HKP (EEP-02 Phase F); Decision Intelligence Framework (WP-DIF-01).</w:t>
      </w:r>
    </w:p>
    <w:p>
      <w:pPr>
        <w:numPr>
          <w:ilvl w:val="0"/>
          <w:numId w:val="1005"/>
        </w:numPr>
        <w:pStyle w:val="Compact"/>
      </w:pPr>
      <w:r>
        <w:rPr>
          <w:bCs/>
          <w:b/>
        </w:rPr>
        <w:t xml:space="preserve">Human involvement:</w:t>
      </w:r>
      <w:r>
        <w:t xml:space="preserve"> </w:t>
      </w:r>
      <w:r>
        <w:t xml:space="preserve">ARB-gated expansion; no new decision type ships without a ratified ADR.</w:t>
      </w:r>
    </w:p>
    <w:p>
      <w:pPr>
        <w:numPr>
          <w:ilvl w:val="0"/>
          <w:numId w:val="1005"/>
        </w:numPr>
        <w:pStyle w:val="Compact"/>
      </w:pPr>
      <w:r>
        <w:rPr>
          <w:bCs/>
          <w:b/>
        </w:rPr>
        <w:t xml:space="preserve">Decision authority:</w:t>
      </w:r>
      <w:r>
        <w:t xml:space="preserve"> </w:t>
      </w:r>
      <w:r>
        <w:t xml:space="preserve">AI produces</w:t>
      </w:r>
      <w:r>
        <w:t xml:space="preserve"> </w:t>
      </w:r>
      <w:r>
        <w:rPr>
          <w:rStyle w:val="VerbatimChar"/>
        </w:rPr>
        <w:t xml:space="preserve">DECISION_READY</w:t>
      </w:r>
      <w:r>
        <w:t xml:space="preserve"> </w:t>
      </w:r>
      <w:r>
        <w:t xml:space="preserve">output; fairness remains Phase 1 (disclosed, not verified) —</w:t>
      </w:r>
      <w:r>
        <w:t xml:space="preserve"> </w:t>
      </w:r>
      <w:r>
        <w:rPr>
          <w:bCs/>
          <w:b/>
        </w:rPr>
        <w:t xml:space="preserve">this decision output is not yet claimed as fairness-verified</w:t>
      </w:r>
      <w:r>
        <w:t xml:space="preserve">, a distinction the platform discloses rather than obscures.</w:t>
      </w:r>
    </w:p>
    <w:p>
      <w:pPr>
        <w:numPr>
          <w:ilvl w:val="0"/>
          <w:numId w:val="1005"/>
        </w:numPr>
        <w:pStyle w:val="Compact"/>
      </w:pPr>
      <w:r>
        <w:rPr>
          <w:bCs/>
          <w:b/>
        </w:rPr>
        <w:t xml:space="preserve">Business KPIs:</w:t>
      </w:r>
      <w:r>
        <w:t xml:space="preserve"> </w:t>
      </w:r>
      <w:r>
        <w:t xml:space="preserve">test-suite pass rate as an implementation-quality proxy (288/288 at last verification) — not itself a business KPI; see §17 for genuine business KPI recommendations.</w:t>
      </w:r>
    </w:p>
    <w:p>
      <w:pPr>
        <w:numPr>
          <w:ilvl w:val="0"/>
          <w:numId w:val="1005"/>
        </w:numPr>
        <w:pStyle w:val="Compact"/>
      </w:pPr>
      <w:r>
        <w:rPr>
          <w:bCs/>
          <w:b/>
        </w:rPr>
        <w:t xml:space="preserve">Current maturity:</w:t>
      </w:r>
      <w:r>
        <w:t xml:space="preserve"> </w:t>
      </w:r>
      <w:r>
        <w:t xml:space="preserve">Level 3 (Trusted) for the</w:t>
      </w:r>
      <w:r>
        <w:t xml:space="preserve"> </w:t>
      </w:r>
      <w:r>
        <w:rPr>
          <w:rStyle w:val="VerbatimChar"/>
        </w:rPr>
        <w:t xml:space="preserve">skill</w:t>
      </w:r>
      <w:r>
        <w:t xml:space="preserve">/</w:t>
      </w:r>
      <w:r>
        <w:rPr>
          <w:rStyle w:val="VerbatimChar"/>
        </w:rPr>
        <w:t xml:space="preserve">career</w:t>
      </w:r>
      <w:r>
        <w:t xml:space="preserve"> </w:t>
      </w:r>
      <w:r>
        <w:t xml:space="preserve">types specifically — the only capability in this landscape meeting that bar on repository evidence.</w:t>
      </w:r>
    </w:p>
    <w:p>
      <w:pPr>
        <w:numPr>
          <w:ilvl w:val="0"/>
          <w:numId w:val="1005"/>
        </w:numPr>
        <w:pStyle w:val="Compact"/>
      </w:pPr>
      <w:r>
        <w:rPr>
          <w:bCs/>
          <w:b/>
        </w:rPr>
        <w:t xml:space="preserve">Target maturity:</w:t>
      </w:r>
      <w:r>
        <w:t xml:space="preserve"> </w:t>
      </w:r>
      <w:r>
        <w:t xml:space="preserve">Level 4 (Enterprise) once Fairness Gate Phase 2 and IQF’s remaining 9 dimensions close.</w:t>
      </w:r>
    </w:p>
    <w:bookmarkEnd w:id="33"/>
    <w:bookmarkStart w:id="34" w:name="career-health-index-v2-chi-v2"/>
    <w:p>
      <w:pPr>
        <w:pStyle w:val="Heading3"/>
      </w:pPr>
      <w:r>
        <w:t xml:space="preserve">Career Health Index v2 (CHI v2)</w:t>
      </w:r>
    </w:p>
    <w:p>
      <w:pPr>
        <w:numPr>
          <w:ilvl w:val="0"/>
          <w:numId w:val="1006"/>
        </w:numPr>
        <w:pStyle w:val="Compact"/>
      </w:pPr>
      <w:r>
        <w:rPr>
          <w:bCs/>
          <w:b/>
        </w:rPr>
        <w:t xml:space="preserve">Purpose:</w:t>
      </w:r>
      <w:r>
        <w:t xml:space="preserve"> </w:t>
      </w:r>
      <w:r>
        <w:t xml:space="preserve">composite career-health scoring via orchestrated skill-gap, career-path, and career-opportunity engines.</w:t>
      </w:r>
    </w:p>
    <w:p>
      <w:pPr>
        <w:numPr>
          <w:ilvl w:val="0"/>
          <w:numId w:val="1006"/>
        </w:numPr>
        <w:pStyle w:val="Compact"/>
      </w:pPr>
      <w:r>
        <w:rPr>
          <w:bCs/>
          <w:b/>
        </w:rPr>
        <w:t xml:space="preserve">Business value:</w:t>
      </w:r>
      <w:r>
        <w:t xml:space="preserve"> </w:t>
      </w:r>
      <w:r>
        <w:t xml:space="preserve">single business-facing score aggregating multiple intelligence signals for a student.</w:t>
      </w:r>
    </w:p>
    <w:p>
      <w:pPr>
        <w:numPr>
          <w:ilvl w:val="0"/>
          <w:numId w:val="1006"/>
        </w:numPr>
        <w:pStyle w:val="Compact"/>
      </w:pPr>
      <w:r>
        <w:rPr>
          <w:bCs/>
          <w:b/>
        </w:rPr>
        <w:t xml:space="preserve">Business owner:</w:t>
      </w:r>
      <w:r>
        <w:t xml:space="preserve"> </w:t>
      </w:r>
      <w:r>
        <w:t xml:space="preserve">not named in evidence — gap.</w:t>
      </w:r>
    </w:p>
    <w:p>
      <w:pPr>
        <w:numPr>
          <w:ilvl w:val="0"/>
          <w:numId w:val="1006"/>
        </w:numPr>
        <w:pStyle w:val="Compact"/>
      </w:pPr>
      <w:r>
        <w:rPr>
          <w:bCs/>
          <w:b/>
        </w:rPr>
        <w:t xml:space="preserve">Human involvement / decision authority:</w:t>
      </w:r>
      <w:r>
        <w:t xml:space="preserve"> </w:t>
      </w:r>
      <w:r>
        <w:t xml:space="preserve">advisory score; no autonomous decision.</w:t>
      </w:r>
    </w:p>
    <w:p>
      <w:pPr>
        <w:numPr>
          <w:ilvl w:val="0"/>
          <w:numId w:val="1006"/>
        </w:numPr>
        <w:pStyle w:val="Compact"/>
      </w:pPr>
      <w:r>
        <w:rPr>
          <w:bCs/>
          <w:b/>
        </w:rPr>
        <w:t xml:space="preserve">Current maturity:</w:t>
      </w:r>
      <w:r>
        <w:t xml:space="preserve"> </w:t>
      </w:r>
      <w:r>
        <w:t xml:space="preserve">Level 2 (Operational).</w:t>
      </w:r>
    </w:p>
    <w:p>
      <w:r>
        <w:pict>
          <v:rect style="width:0;height:1.5pt" o:hralign="center" o:hrstd="t" o:hr="t"/>
        </w:pict>
      </w:r>
    </w:p>
    <w:bookmarkEnd w:id="34"/>
    <w:bookmarkEnd w:id="35"/>
    <w:bookmarkStart w:id="36" w:name="humanai-collaboration-model"/>
    <w:p>
      <w:pPr>
        <w:pStyle w:val="Heading2"/>
      </w:pPr>
      <w:r>
        <w:t xml:space="preserve">6. Human–AI Collaboration Model</w:t>
      </w:r>
    </w:p>
    <w:p>
      <w:pPr>
        <w:numPr>
          <w:ilvl w:val="0"/>
          <w:numId w:val="1007"/>
        </w:numPr>
        <w:pStyle w:val="Compact"/>
      </w:pPr>
      <w:r>
        <w:rPr>
          <w:bCs/>
          <w:b/>
        </w:rPr>
        <w:t xml:space="preserve">Human responsibilities:</w:t>
      </w:r>
      <w:r>
        <w:t xml:space="preserve"> </w:t>
      </w:r>
      <w:r>
        <w:t xml:space="preserve">approve new decision-type scope (ARB, per WP-XAI2-04-style ADR); own fairness-evaluation data-sourcing decisions (explicitly reserved from AI/architecture authority per WP-XAI2-01A ADR-01); curate and approve underlying knowledge (EEP-02 Phase F §7).</w:t>
      </w:r>
    </w:p>
    <w:p>
      <w:pPr>
        <w:numPr>
          <w:ilvl w:val="0"/>
          <w:numId w:val="1007"/>
        </w:numPr>
        <w:pStyle w:val="Compact"/>
      </w:pPr>
      <w:r>
        <w:rPr>
          <w:bCs/>
          <w:b/>
        </w:rPr>
        <w:t xml:space="preserve">AI responsibilities:</w:t>
      </w:r>
      <w:r>
        <w:t xml:space="preserve"> </w:t>
      </w:r>
      <w:r>
        <w:t xml:space="preserve">generate recommendations, rationale chains, and confidence/completeness disclosures within the governed Decision Runtime and grounding-guarded retrieval paths.</w:t>
      </w:r>
    </w:p>
    <w:p>
      <w:pPr>
        <w:numPr>
          <w:ilvl w:val="0"/>
          <w:numId w:val="1007"/>
        </w:numPr>
        <w:pStyle w:val="Compact"/>
      </w:pPr>
      <w:r>
        <w:rPr>
          <w:bCs/>
          <w:b/>
        </w:rPr>
        <w:t xml:space="preserve">Shared responsibilities:</w:t>
      </w:r>
      <w:r>
        <w:t xml:space="preserve"> </w:t>
      </w:r>
      <w:r>
        <w:t xml:space="preserve">explainability — AI generates the rationale content; the architecture (human-designed) enforces that the explanation path is structurally pure and auditable.</w:t>
      </w:r>
    </w:p>
    <w:p>
      <w:pPr>
        <w:numPr>
          <w:ilvl w:val="0"/>
          <w:numId w:val="1007"/>
        </w:numPr>
        <w:pStyle w:val="Compact"/>
      </w:pPr>
      <w:r>
        <w:rPr>
          <w:bCs/>
          <w:b/>
        </w:rPr>
        <w:t xml:space="preserve">Decision ownership:</w:t>
      </w:r>
      <w:r>
        <w:t xml:space="preserve"> </w:t>
      </w:r>
      <w:r>
        <w:t xml:space="preserve">business decision authority remains with the student/advisor/ARB depending on decision class (individual guidance vs. platform capability scope) — AI output is a recommendation, never a self-executing business decision, consistent with EEP-02 Phase F’s reasoning architecture.</w:t>
      </w:r>
    </w:p>
    <w:p>
      <w:pPr>
        <w:numPr>
          <w:ilvl w:val="0"/>
          <w:numId w:val="1007"/>
        </w:numPr>
        <w:pStyle w:val="Compact"/>
      </w:pPr>
      <w:r>
        <w:rPr>
          <w:bCs/>
          <w:b/>
        </w:rPr>
        <w:t xml:space="preserve">Escalation:</w:t>
      </w:r>
      <w:r>
        <w:t xml:space="preserve"> </w:t>
      </w:r>
      <w:r>
        <w:t xml:space="preserve">unresolved fairness or data-quality gaps are disclosed via</w:t>
      </w:r>
      <w:r>
        <w:t xml:space="preserve"> </w:t>
      </w:r>
      <w:r>
        <w:rPr>
          <w:rStyle w:val="VerbatimChar"/>
        </w:rPr>
        <w:t xml:space="preserve">evaluated: false</w:t>
      </w:r>
      <w:r>
        <w:t xml:space="preserve"> </w:t>
      </w:r>
      <w:r>
        <w:t xml:space="preserve">+ note (the pattern DR-PRI-01/02 and DR-FAIR-01 both use), not silently passed through.</w:t>
      </w:r>
    </w:p>
    <w:p>
      <w:pPr>
        <w:numPr>
          <w:ilvl w:val="0"/>
          <w:numId w:val="1007"/>
        </w:numPr>
        <w:pStyle w:val="Compact"/>
      </w:pPr>
      <w:r>
        <w:rPr>
          <w:bCs/>
          <w:b/>
        </w:rPr>
        <w:t xml:space="preserve">Approval boundaries:</w:t>
      </w:r>
      <w:r>
        <w:t xml:space="preserve"> </w:t>
      </w:r>
      <w:r>
        <w:t xml:space="preserve">no new Decision Runtime type reaches production without an ADR tracing it to a named reasoning objective in the Decision Intelligence Framework (DIF Objective 10).</w:t>
      </w:r>
    </w:p>
    <w:p>
      <w:pPr>
        <w:numPr>
          <w:ilvl w:val="0"/>
          <w:numId w:val="1007"/>
        </w:numPr>
        <w:pStyle w:val="Compact"/>
      </w:pPr>
      <w:r>
        <w:rPr>
          <w:bCs/>
          <w:b/>
        </w:rPr>
        <w:t xml:space="preserve">Review responsibilities:</w:t>
      </w:r>
      <w:r>
        <w:t xml:space="preserve"> </w:t>
      </w:r>
      <w:r>
        <w:t xml:space="preserve">the WP-XAI2 series’ own multi-stage discipline (Implementation → Verification → Closure Review, each re-deriving rather than trusting the prior stage) is itself the review model this document recommends generalizing to future AI capabilities (§18).</w:t>
      </w:r>
    </w:p>
    <w:p>
      <w:pPr>
        <w:numPr>
          <w:ilvl w:val="0"/>
          <w:numId w:val="1007"/>
        </w:numPr>
        <w:pStyle w:val="Compact"/>
      </w:pPr>
      <w:r>
        <w:rPr>
          <w:bCs/>
          <w:b/>
        </w:rPr>
        <w:t xml:space="preserve">Exception handling:</w:t>
      </w:r>
      <w:r>
        <w:t xml:space="preserve"> </w:t>
      </w:r>
      <w:r>
        <w:t xml:space="preserve">grounding guard’s refusal keys (e.g.,</w:t>
      </w:r>
      <w:r>
        <w:t xml:space="preserve"> </w:t>
      </w:r>
      <w:r>
        <w:rPr>
          <w:rStyle w:val="VerbatimChar"/>
        </w:rPr>
        <w:t xml:space="preserve">no_salary_data</w:t>
      </w:r>
      <w:r>
        <w:t xml:space="preserve">) are the operating exception-handling mechanism when required data is insufficient.</w:t>
      </w:r>
    </w:p>
    <w:p>
      <w:pPr>
        <w:numPr>
          <w:ilvl w:val="0"/>
          <w:numId w:val="1007"/>
        </w:numPr>
        <w:pStyle w:val="Compact"/>
      </w:pPr>
      <w:r>
        <w:rPr>
          <w:bCs/>
          <w:b/>
        </w:rPr>
        <w:t xml:space="preserve">Trust boundaries:</w:t>
      </w:r>
      <w:r>
        <w:t xml:space="preserve"> </w:t>
      </w:r>
      <w:r>
        <w:t xml:space="preserve">an AI capability is not treated as production-trustworthy until it has passed the same closure discipline the Decision Runtime has — this is the working definition of</w:t>
      </w:r>
      <w:r>
        <w:t xml:space="preserve"> </w:t>
      </w:r>
      <w:r>
        <w:t xml:space="preserve">“</w:t>
      </w:r>
      <w:r>
        <w:t xml:space="preserve">trusted</w:t>
      </w:r>
      <w:r>
        <w:t xml:space="preserve">”</w:t>
      </w:r>
      <w:r>
        <w:t xml:space="preserve"> </w:t>
      </w:r>
      <w:r>
        <w:t xml:space="preserve">this document adopts for §10’s maturity model.</w:t>
      </w:r>
    </w:p>
    <w:p>
      <w:r>
        <w:pict>
          <v:rect style="width:0;height:1.5pt" o:hralign="center" o:hrstd="t" o:hr="t"/>
        </w:pict>
      </w:r>
    </w:p>
    <w:bookmarkEnd w:id="36"/>
    <w:bookmarkStart w:id="37" w:name="enterprise-ai-decision-architecture"/>
    <w:p>
      <w:pPr>
        <w:pStyle w:val="Heading2"/>
      </w:pPr>
      <w:r>
        <w:t xml:space="preserve">7. Enterprise AI Decision Architecture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Business Decision</w:t>
            </w:r>
          </w:p>
        </w:tc>
        <w:tc>
          <w:tcPr/>
          <w:p>
            <w:pPr>
              <w:pStyle w:val="Compact"/>
              <w:jc w:val="left"/>
            </w:pPr>
            <w:r>
              <w:t xml:space="preserve">AI Recommendation</w:t>
            </w:r>
          </w:p>
        </w:tc>
        <w:tc>
          <w:tcPr/>
          <w:p>
            <w:pPr>
              <w:pStyle w:val="Compact"/>
              <w:jc w:val="left"/>
            </w:pPr>
            <w:r>
              <w:t xml:space="preserve">Business Decision</w:t>
            </w:r>
          </w:p>
        </w:tc>
        <w:tc>
          <w:tcPr/>
          <w:p>
            <w:pPr>
              <w:pStyle w:val="Compact"/>
              <w:jc w:val="left"/>
            </w:pPr>
            <w:r>
              <w:t xml:space="preserve">Human Approval</w:t>
            </w:r>
          </w:p>
        </w:tc>
      </w:tr>
      <w:tr>
        <w:tc>
          <w:tcPr/>
          <w:p>
            <w:pPr>
              <w:pStyle w:val="Compact"/>
              <w:jc w:val="left"/>
            </w:pPr>
            <w:r>
              <w:t xml:space="preserve">Skill decisions</w:t>
            </w:r>
          </w:p>
        </w:tc>
        <w:tc>
          <w:tcPr/>
          <w:p>
            <w:pPr>
              <w:pStyle w:val="Compact"/>
              <w:jc w:val="left"/>
            </w:pPr>
            <w:r>
              <w:rPr>
                <w:rStyle w:val="VerbatimChar"/>
              </w:rPr>
              <w:t xml:space="preserve">DECISION_READY</w:t>
            </w:r>
            <w:r>
              <w:t xml:space="preserve"> </w:t>
            </w:r>
            <w:r>
              <w:t xml:space="preserve">skill output with rationale, confidence, disclosed fairness-evaluation status</w:t>
            </w:r>
          </w:p>
        </w:tc>
        <w:tc>
          <w:tcPr/>
          <w:p>
            <w:pPr>
              <w:pStyle w:val="Compact"/>
              <w:jc w:val="left"/>
            </w:pPr>
            <w:r>
              <w:t xml:space="preserve">Student/advisor acts on it</w:t>
            </w:r>
          </w:p>
        </w:tc>
        <w:tc>
          <w:tcPr/>
          <w:p>
            <w:pPr>
              <w:pStyle w:val="Compact"/>
              <w:jc w:val="left"/>
            </w:pPr>
            <w:r>
              <w:t xml:space="preserve">Implicit — decision type itself is ARB-approved; no per-instance human sign-off evidenced</w:t>
            </w:r>
          </w:p>
        </w:tc>
      </w:tr>
      <w:tr>
        <w:tc>
          <w:tcPr/>
          <w:p>
            <w:pPr>
              <w:pStyle w:val="Compact"/>
              <w:jc w:val="left"/>
            </w:pPr>
            <w:r>
              <w:t xml:space="preserve">Career decisions</w:t>
            </w:r>
          </w:p>
        </w:tc>
        <w:tc>
          <w:tcPr/>
          <w:p>
            <w:pPr>
              <w:pStyle w:val="Compact"/>
              <w:jc w:val="left"/>
            </w:pPr>
            <w:r>
              <w:rPr>
                <w:rStyle w:val="VerbatimChar"/>
              </w:rPr>
              <w:t xml:space="preserve">DECISION_READY</w:t>
            </w:r>
            <w:r>
              <w:t xml:space="preserve"> </w:t>
            </w:r>
            <w:r>
              <w:t xml:space="preserve">career output, same disclosure pattern</w:t>
            </w:r>
          </w:p>
        </w:tc>
        <w:tc>
          <w:tcPr/>
          <w:p>
            <w:pPr>
              <w:pStyle w:val="Compact"/>
              <w:jc w:val="left"/>
            </w:pPr>
            <w:r>
              <w:t xml:space="preserve">Student/advisor acts on it</w:t>
            </w:r>
          </w:p>
        </w:tc>
        <w:tc>
          <w:tcPr/>
          <w:p>
            <w:pPr>
              <w:pStyle w:val="Compact"/>
              <w:jc w:val="left"/>
            </w:pPr>
            <w:r>
              <w:t xml:space="preserve">Same as above</w:t>
            </w:r>
          </w:p>
        </w:tc>
      </w:tr>
      <w:tr>
        <w:tc>
          <w:tcPr/>
          <w:p>
            <w:pPr>
              <w:pStyle w:val="Compact"/>
              <w:jc w:val="left"/>
            </w:pPr>
            <w:r>
              <w:t xml:space="preserve">Career advisory (chat)</w:t>
            </w:r>
          </w:p>
        </w:tc>
        <w:tc>
          <w:tcPr/>
          <w:p>
            <w:pPr>
              <w:pStyle w:val="Compact"/>
              <w:jc w:val="left"/>
            </w:pPr>
            <w:r>
              <w:t xml:space="preserve">Conversational guidance, refusal when ungrounded</w:t>
            </w:r>
          </w:p>
        </w:tc>
        <w:tc>
          <w:tcPr/>
          <w:p>
            <w:pPr>
              <w:pStyle w:val="Compact"/>
              <w:jc w:val="left"/>
            </w:pPr>
            <w:r>
              <w:t xml:space="preserve">Student interprets and acts</w:t>
            </w:r>
          </w:p>
        </w:tc>
        <w:tc>
          <w:tcPr/>
          <w:p>
            <w:pPr>
              <w:pStyle w:val="Compact"/>
              <w:jc w:val="left"/>
            </w:pPr>
            <w:r>
              <w:t xml:space="preserve">No structured approval gate evidenced — TARGET</w:t>
            </w:r>
          </w:p>
        </w:tc>
      </w:tr>
      <w:tr>
        <w:tc>
          <w:tcPr/>
          <w:p>
            <w:pPr>
              <w:pStyle w:val="Compact"/>
              <w:jc w:val="left"/>
            </w:pPr>
            <w:r>
              <w:t xml:space="preserve">Decision-type scope expansion</w:t>
            </w:r>
          </w:p>
        </w:tc>
        <w:tc>
          <w:tcPr/>
          <w:p>
            <w:pPr>
              <w:pStyle w:val="Compact"/>
              <w:jc w:val="left"/>
            </w:pPr>
            <w:r>
              <w:t xml:space="preserve">N/A (not a per-student decision)</w:t>
            </w:r>
          </w:p>
        </w:tc>
        <w:tc>
          <w:tcPr/>
          <w:p>
            <w:pPr>
              <w:pStyle w:val="Compact"/>
              <w:jc w:val="left"/>
            </w:pPr>
            <w:r>
              <w:t xml:space="preserve">Whether to implement a new Decision Runtime type</w:t>
            </w:r>
          </w:p>
        </w:tc>
        <w:tc>
          <w:tcPr/>
          <w:p>
            <w:pPr>
              <w:pStyle w:val="Compact"/>
              <w:jc w:val="left"/>
            </w:pPr>
            <w:r>
              <w:rPr>
                <w:bCs/>
                <w:b/>
              </w:rPr>
              <w:t xml:space="preserve">Mandatory</w:t>
            </w:r>
            <w:r>
              <w:t xml:space="preserve"> </w:t>
            </w:r>
            <w:r>
              <w:t xml:space="preserve">— ARB ADR required (WP-XAI2-04 precedent)</w:t>
            </w:r>
          </w:p>
        </w:tc>
      </w:tr>
      <w:tr>
        <w:tc>
          <w:tcPr/>
          <w:p>
            <w:pPr>
              <w:pStyle w:val="Compact"/>
              <w:jc w:val="left"/>
            </w:pPr>
            <w:r>
              <w:t xml:space="preserve">Fairness evaluation scope</w:t>
            </w:r>
          </w:p>
        </w:tc>
        <w:tc>
          <w:tcPr/>
          <w:p>
            <w:pPr>
              <w:pStyle w:val="Compact"/>
              <w:jc w:val="left"/>
            </w:pPr>
            <w:r>
              <w:t xml:space="preserve">N/A</w:t>
            </w:r>
          </w:p>
        </w:tc>
        <w:tc>
          <w:tcPr/>
          <w:p>
            <w:pPr>
              <w:pStyle w:val="Compact"/>
              <w:jc w:val="left"/>
            </w:pPr>
            <w:r>
              <w:t xml:space="preserve">Whether/when to source demographic data for Phase 2</w:t>
            </w:r>
          </w:p>
        </w:tc>
        <w:tc>
          <w:tcPr/>
          <w:p>
            <w:pPr>
              <w:pStyle w:val="Compact"/>
              <w:jc w:val="left"/>
            </w:pPr>
            <w:r>
              <w:rPr>
                <w:bCs/>
                <w:b/>
              </w:rPr>
              <w:t xml:space="preserve">Reserved for a non-architectural, human governance decision</w:t>
            </w:r>
            <w:r>
              <w:t xml:space="preserve"> </w:t>
            </w:r>
            <w:r>
              <w:t xml:space="preserve">— explicitly not decided by AI or by this architecture</w:t>
            </w:r>
          </w:p>
        </w:tc>
      </w:tr>
      <w:tr>
        <w:tc>
          <w:tcPr/>
          <w:p>
            <w:pPr>
              <w:pStyle w:val="Compact"/>
              <w:jc w:val="left"/>
            </w:pPr>
            <w:r>
              <w:t xml:space="preserve">Knowledge publication</w:t>
            </w:r>
          </w:p>
        </w:tc>
        <w:tc>
          <w:tcPr/>
          <w:p>
            <w:pPr>
              <w:pStyle w:val="Compact"/>
              <w:jc w:val="left"/>
            </w:pPr>
            <w:r>
              <w:t xml:space="preserve">N/A (upstream of AI)</w:t>
            </w:r>
          </w:p>
        </w:tc>
        <w:tc>
          <w:tcPr/>
          <w:p>
            <w:pPr>
              <w:pStyle w:val="Compact"/>
              <w:jc w:val="left"/>
            </w:pPr>
            <w:r>
              <w:t xml:space="preserve">Whether curated knowledge is trustworthy enough to reason over</w:t>
            </w:r>
          </w:p>
        </w:tc>
        <w:tc>
          <w:tcPr/>
          <w:p>
            <w:pPr>
              <w:pStyle w:val="Compact"/>
              <w:jc w:val="left"/>
            </w:pPr>
            <w:r>
              <w:t xml:space="preserve">Human curator/steward approval (EEP-02 Phase F §7)</w:t>
            </w:r>
          </w:p>
        </w:tc>
      </w:tr>
    </w:tbl>
    <w:p>
      <w:pPr>
        <w:pStyle w:val="BodyText"/>
      </w:pPr>
      <w:r>
        <w:t xml:space="preserve">The distinction this table enforces — AI recommendation vs. business decision vs. human approval — is the operating discipline the repository’s own decision-service architecture (rule precedence,</w:t>
      </w:r>
      <w:r>
        <w:t xml:space="preserve"> </w:t>
      </w:r>
      <w:r>
        <w:rPr>
          <w:rStyle w:val="VerbatimChar"/>
        </w:rPr>
        <w:t xml:space="preserve">DR-TYP-01</w:t>
      </w:r>
      <w:r>
        <w:t xml:space="preserve"> </w:t>
      </w:r>
      <w:r>
        <w:t xml:space="preserve">gate,</w:t>
      </w:r>
      <w:r>
        <w:t xml:space="preserve"> </w:t>
      </w:r>
      <w:r>
        <w:rPr>
          <w:rStyle w:val="VerbatimChar"/>
        </w:rPr>
        <w:t xml:space="preserve">DR-FAIR-01</w:t>
      </w:r>
      <w:r>
        <w:t xml:space="preserve"> </w:t>
      </w:r>
      <w:r>
        <w:t xml:space="preserve">disclosure) already implements for the two ratified types, and the gap analysis (no per-instance approval gate for chat advisory) is a genuine, evidenced business gap rather than a hypothetical one.</w:t>
      </w:r>
    </w:p>
    <w:p>
      <w:r>
        <w:pict>
          <v:rect style="width:0;height:1.5pt" o:hralign="center" o:hrstd="t" o:hr="t"/>
        </w:pict>
      </w:r>
    </w:p>
    <w:bookmarkEnd w:id="37"/>
    <w:bookmarkStart w:id="38" w:name="responsible-ai-trust-architecture"/>
    <w:p>
      <w:pPr>
        <w:pStyle w:val="Heading2"/>
      </w:pPr>
      <w:r>
        <w:t xml:space="preserve">8. Responsible AI &amp; Trust Architecture</w:t>
      </w:r>
    </w:p>
    <w:p>
      <w:pPr>
        <w:numPr>
          <w:ilvl w:val="0"/>
          <w:numId w:val="1008"/>
        </w:numPr>
        <w:pStyle w:val="Compact"/>
      </w:pPr>
      <w:r>
        <w:rPr>
          <w:bCs/>
          <w:b/>
        </w:rPr>
        <w:t xml:space="preserve">Business governance:</w:t>
      </w:r>
      <w:r>
        <w:t xml:space="preserve"> </w:t>
      </w:r>
      <w:r>
        <w:t xml:space="preserve">the Enterprise Architecture Review Board (ARB) is the evidenced governance body — it ratifies decision-type scope (WP-XAI2-04), reviews fairness architecture (WP-XAI2-01A), and closes work packages only after independent, source-re-deriving verification.</w:t>
      </w:r>
    </w:p>
    <w:p>
      <w:pPr>
        <w:numPr>
          <w:ilvl w:val="0"/>
          <w:numId w:val="1008"/>
        </w:numPr>
        <w:pStyle w:val="Compact"/>
      </w:pPr>
      <w:r>
        <w:rPr>
          <w:bCs/>
          <w:b/>
        </w:rPr>
        <w:t xml:space="preserve">Bias mitigation:</w:t>
      </w:r>
      <w:r>
        <w:t xml:space="preserve"> </w:t>
      </w:r>
      <w:r>
        <w:t xml:space="preserve">explicitly deferred rather than fabricated — WP-XAI2-01A ADR-04 prohibits inferring demographic proxies from non-demographic fields (e.g., school type, name), a concrete, evidenced anti-pattern this document reaffirms as a standing constraint.</w:t>
      </w:r>
    </w:p>
    <w:p>
      <w:pPr>
        <w:numPr>
          <w:ilvl w:val="0"/>
          <w:numId w:val="1008"/>
        </w:numPr>
        <w:pStyle w:val="Compact"/>
      </w:pPr>
      <w:r>
        <w:rPr>
          <w:bCs/>
          <w:b/>
        </w:rPr>
        <w:t xml:space="preserve">Fairness:</w:t>
      </w:r>
      <w:r>
        <w:t xml:space="preserve"> </w:t>
      </w:r>
      <w:r>
        <w:t xml:space="preserve">modeled as a first-precedence-category rule (</w:t>
      </w:r>
      <w:r>
        <w:rPr>
          <w:rStyle w:val="VerbatimChar"/>
        </w:rPr>
        <w:t xml:space="preserve">DR-FAIR-01</w:t>
      </w:r>
      <w:r>
        <w:t xml:space="preserve">, immediately after the type gate) that is honestly marked unevaluated pending a human data-sourcing decision, not silently passed.</w:t>
      </w:r>
    </w:p>
    <w:p>
      <w:pPr>
        <w:numPr>
          <w:ilvl w:val="0"/>
          <w:numId w:val="1008"/>
        </w:numPr>
        <w:pStyle w:val="Compact"/>
      </w:pPr>
      <w:r>
        <w:rPr>
          <w:bCs/>
          <w:b/>
        </w:rPr>
        <w:t xml:space="preserve">Transparency:</w:t>
      </w:r>
      <w:r>
        <w:t xml:space="preserve"> </w:t>
      </w:r>
      <w:r>
        <w:t xml:space="preserve">Response Contract Governance (WP-XAI2-02) is the strongest evidenced transparency control — it found and fixed real leakage of internal identifiers (</w:t>
      </w:r>
      <w:r>
        <w:rPr>
          <w:rStyle w:val="VerbatimChar"/>
        </w:rPr>
        <w:t xml:space="preserve">userId</w:t>
      </w:r>
      <w:r>
        <w:t xml:space="preserve">,</w:t>
      </w:r>
      <w:r>
        <w:t xml:space="preserve"> </w:t>
      </w:r>
      <w:r>
        <w:rPr>
          <w:rStyle w:val="VerbatimChar"/>
        </w:rPr>
        <w:t xml:space="preserve">ruleId</w:t>
      </w:r>
      <w:r>
        <w:t xml:space="preserve">) into public responses across five controllers, and added a regression test (</w:t>
      </w:r>
      <w:r>
        <w:rPr>
          <w:rStyle w:val="VerbatimChar"/>
        </w:rPr>
        <w:t xml:space="preserve">response-shape.test.js</w:t>
      </w:r>
      <w:r>
        <w:t xml:space="preserve">) to prevent recurrence.</w:t>
      </w:r>
    </w:p>
    <w:p>
      <w:pPr>
        <w:numPr>
          <w:ilvl w:val="0"/>
          <w:numId w:val="1008"/>
        </w:numPr>
        <w:pStyle w:val="Compact"/>
      </w:pPr>
      <w:r>
        <w:rPr>
          <w:bCs/>
          <w:b/>
        </w:rPr>
        <w:t xml:space="preserve">Explainability:</w:t>
      </w:r>
      <w:r>
        <w:t xml:space="preserve"> </w:t>
      </w:r>
      <w:r>
        <w:t xml:space="preserve">structurally enforced by architectural separation, not merely a documentation claim —</w:t>
      </w:r>
      <w:r>
        <w:t xml:space="preserve"> </w:t>
      </w:r>
      <w:r>
        <w:rPr>
          <w:rStyle w:val="VerbatimChar"/>
        </w:rPr>
        <w:t xml:space="preserve">explainability.service.js</w:t>
      </w:r>
      <w:r>
        <w:t xml:space="preserve"> </w:t>
      </w:r>
      <w:r>
        <w:t xml:space="preserve">has no write path into the Decision Runtime and no shared import with it, independently confirmed by direct source inspection.</w:t>
      </w:r>
    </w:p>
    <w:p>
      <w:pPr>
        <w:numPr>
          <w:ilvl w:val="0"/>
          <w:numId w:val="1008"/>
        </w:numPr>
        <w:pStyle w:val="Compact"/>
      </w:pPr>
      <w:r>
        <w:rPr>
          <w:bCs/>
          <w:b/>
        </w:rPr>
        <w:t xml:space="preserve">Human oversight:</w:t>
      </w:r>
      <w:r>
        <w:t xml:space="preserve"> </w:t>
      </w:r>
      <w:r>
        <w:t xml:space="preserve">mandatory at two levels evidenced in the repository — capability-scope oversight (ARB ADRs gate new decision types) and data-sourcing oversight (fairness Phase 2 is explicitly reserved from architectural/AI authority).</w:t>
      </w:r>
    </w:p>
    <w:p>
      <w:pPr>
        <w:numPr>
          <w:ilvl w:val="0"/>
          <w:numId w:val="1008"/>
        </w:numPr>
        <w:pStyle w:val="Compact"/>
      </w:pPr>
      <w:r>
        <w:rPr>
          <w:bCs/>
          <w:b/>
        </w:rPr>
        <w:t xml:space="preserve">Ethical principles:</w:t>
      </w:r>
      <w:r>
        <w:t xml:space="preserve"> </w:t>
      </w:r>
      <w:r>
        <w:t xml:space="preserve">“</w:t>
      </w:r>
      <w:r>
        <w:t xml:space="preserve">do not fabricate</w:t>
      </w:r>
      <w:r>
        <w:t xml:space="preserve">”</w:t>
      </w:r>
      <w:r>
        <w:t xml:space="preserve"> </w:t>
      </w:r>
      <w:r>
        <w:t xml:space="preserve">is the single most consistently applied ethical rule across the evidence — repeated verbatim in the Fairness Gate ADR, the anti-proxy-inference prohibition, and the grounding guard’s refusal behavior.</w:t>
      </w:r>
    </w:p>
    <w:p>
      <w:pPr>
        <w:numPr>
          <w:ilvl w:val="0"/>
          <w:numId w:val="1008"/>
        </w:numPr>
        <w:pStyle w:val="Compact"/>
      </w:pPr>
      <w:r>
        <w:rPr>
          <w:bCs/>
          <w:b/>
        </w:rPr>
        <w:t xml:space="preserve">Business accountability:</w:t>
      </w:r>
      <w:r>
        <w:t xml:space="preserve"> </w:t>
      </w:r>
      <w:r>
        <w:t xml:space="preserve">the ARB, not an engineering individual, is the accountable body of record for AI capability-scope decisions, per the WP-XAI2 series’ own framing of itself.</w:t>
      </w:r>
    </w:p>
    <w:p>
      <w:pPr>
        <w:numPr>
          <w:ilvl w:val="0"/>
          <w:numId w:val="1008"/>
        </w:numPr>
        <w:pStyle w:val="Compact"/>
      </w:pPr>
      <w:r>
        <w:rPr>
          <w:bCs/>
          <w:b/>
        </w:rPr>
        <w:t xml:space="preserve">Appeal mechanisms:</w:t>
      </w:r>
      <w:r>
        <w:t xml:space="preserve"> </w:t>
      </w:r>
      <w:r>
        <w:t xml:space="preserve">not evidenced in the repository for individual student-facing recommendations — a genuine gap (§16, §18).</w:t>
      </w:r>
    </w:p>
    <w:p>
      <w:pPr>
        <w:numPr>
          <w:ilvl w:val="0"/>
          <w:numId w:val="1008"/>
        </w:numPr>
        <w:pStyle w:val="Compact"/>
      </w:pPr>
      <w:r>
        <w:rPr>
          <w:bCs/>
          <w:b/>
        </w:rPr>
        <w:t xml:space="preserve">Confidence disclosure:</w:t>
      </w:r>
      <w:r>
        <w:t xml:space="preserve"> </w:t>
      </w:r>
      <w:r>
        <w:rPr>
          <w:rStyle w:val="VerbatimChar"/>
        </w:rPr>
        <w:t xml:space="preserve">groundingGuard.js</w:t>
      </w:r>
      <w:r>
        <w:t xml:space="preserve">’s</w:t>
      </w:r>
      <w:r>
        <w:t xml:space="preserve"> </w:t>
      </w:r>
      <w:r>
        <w:rPr>
          <w:rStyle w:val="VerbatimChar"/>
        </w:rPr>
        <w:t xml:space="preserve">MIN_COMPLETENESS</w:t>
      </w:r>
      <w:r>
        <w:t xml:space="preserve">/</w:t>
      </w:r>
      <w:r>
        <w:rPr>
          <w:rStyle w:val="VerbatimChar"/>
        </w:rPr>
        <w:t xml:space="preserve">MIN_CONFIDENCE</w:t>
      </w:r>
      <w:r>
        <w:t xml:space="preserve"> </w:t>
      </w:r>
      <w:r>
        <w:t xml:space="preserve">thresholds and the Decision Runtime’s disclosed-unevaluated pattern are the two operating confidence-disclosure mechanisms found in evidence.</w:t>
      </w:r>
    </w:p>
    <w:p>
      <w:r>
        <w:pict>
          <v:rect style="width:0;height:1.5pt" o:hralign="center" o:hrstd="t" o:hr="t"/>
        </w:pict>
      </w:r>
    </w:p>
    <w:bookmarkEnd w:id="38"/>
    <w:bookmarkStart w:id="39" w:name="enterprise-ai-consumers"/>
    <w:p>
      <w:pPr>
        <w:pStyle w:val="Heading2"/>
      </w:pPr>
      <w:r>
        <w:t xml:space="preserve">9. Enterprise AI Consumers</w:t>
      </w:r>
    </w:p>
    <w:p>
      <w:pPr>
        <w:pStyle w:val="FirstParagraph"/>
      </w:pPr>
      <w:r>
        <w:t xml:space="preserve">Reused from EEP-02 Phase F §9 consumer map, restated for AI-specific capability: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Consumer</w:t>
            </w:r>
          </w:p>
        </w:tc>
        <w:tc>
          <w:tcPr/>
          <w:p>
            <w:pPr>
              <w:pStyle w:val="Compact"/>
              <w:jc w:val="left"/>
            </w:pPr>
            <w:r>
              <w:t xml:space="preserve">AI Capability Consumed</w:t>
            </w:r>
          </w:p>
        </w:tc>
        <w:tc>
          <w:tcPr/>
          <w:p>
            <w:pPr>
              <w:pStyle w:val="Compact"/>
              <w:jc w:val="left"/>
            </w:pPr>
            <w:r>
              <w:t xml:space="preserve">Current/Target</w:t>
            </w:r>
          </w:p>
        </w:tc>
      </w:tr>
      <w:tr>
        <w:tc>
          <w:tcPr/>
          <w:p>
            <w:pPr>
              <w:pStyle w:val="Compact"/>
              <w:jc w:val="left"/>
            </w:pPr>
            <w:r>
              <w:t xml:space="preserve">Students</w:t>
            </w:r>
          </w:p>
        </w:tc>
        <w:tc>
          <w:tcPr/>
          <w:p>
            <w:pPr>
              <w:pStyle w:val="Compact"/>
              <w:jc w:val="left"/>
            </w:pPr>
            <w:r>
              <w:t xml:space="preserve">Career Advisory AI, Career Copilot, CHI v2, Decision Runtime (skill/career)</w:t>
            </w:r>
          </w:p>
        </w:tc>
        <w:tc>
          <w:tcPr/>
          <w:p>
            <w:pPr>
              <w:pStyle w:val="Compact"/>
              <w:jc w:val="left"/>
            </w:pPr>
            <w:r>
              <w:t xml:space="preserve">Current</w:t>
            </w:r>
          </w:p>
        </w:tc>
      </w:tr>
      <w:tr>
        <w:tc>
          <w:tcPr/>
          <w:p>
            <w:pPr>
              <w:pStyle w:val="Compact"/>
              <w:jc w:val="left"/>
            </w:pPr>
            <w:r>
              <w:t xml:space="preserve">Parents</w:t>
            </w:r>
          </w:p>
        </w:tc>
        <w:tc>
          <w:tcPr/>
          <w:p>
            <w:pPr>
              <w:pStyle w:val="Compact"/>
              <w:jc w:val="left"/>
            </w:pPr>
            <w:r>
              <w:t xml:space="preserve">Indirect, via student-facing outputs; no parent-specific AI capability evidenced</w:t>
            </w:r>
          </w:p>
        </w:tc>
        <w:tc>
          <w:tcPr/>
          <w:p>
            <w:pPr>
              <w:pStyle w:val="Compact"/>
              <w:jc w:val="left"/>
            </w:pPr>
            <w:r>
              <w:t xml:space="preserve">Target (parent-specific surface not evidenced)</w:t>
            </w:r>
          </w:p>
        </w:tc>
      </w:tr>
      <w:tr>
        <w:tc>
          <w:tcPr/>
          <w:p>
            <w:pPr>
              <w:pStyle w:val="Compact"/>
              <w:jc w:val="left"/>
            </w:pPr>
            <w:r>
              <w:t xml:space="preserve">Schools</w:t>
            </w:r>
          </w:p>
        </w:tc>
        <w:tc>
          <w:tcPr/>
          <w:p>
            <w:pPr>
              <w:pStyle w:val="Compact"/>
              <w:jc w:val="left"/>
            </w:pPr>
            <w:r>
              <w:t xml:space="preserve">Aggregate intelligence via</w:t>
            </w:r>
            <w:r>
              <w:t xml:space="preserve"> </w:t>
            </w:r>
            <w:r>
              <w:rPr>
                <w:rStyle w:val="VerbatimChar"/>
              </w:rPr>
              <w:t xml:space="preserve">analytics</w:t>
            </w:r>
            <w:r>
              <w:t xml:space="preserve">/</w:t>
            </w:r>
            <w:r>
              <w:rPr>
                <w:rStyle w:val="VerbatimChar"/>
              </w:rPr>
              <w:t xml:space="preserve">platform-intelligence</w:t>
            </w:r>
          </w:p>
        </w:tc>
        <w:tc>
          <w:tcPr/>
          <w:p>
            <w:pPr>
              <w:pStyle w:val="Compact"/>
              <w:jc w:val="left"/>
            </w:pPr>
            <w:r>
              <w:t xml:space="preserve">Current (partial)</w:t>
            </w:r>
          </w:p>
        </w:tc>
      </w:tr>
      <w:tr>
        <w:tc>
          <w:tcPr/>
          <w:p>
            <w:pPr>
              <w:pStyle w:val="Compact"/>
              <w:jc w:val="left"/>
            </w:pPr>
            <w:r>
              <w:t xml:space="preserve">Universities</w:t>
            </w:r>
          </w:p>
        </w:tc>
        <w:tc>
          <w:tcPr/>
          <w:p>
            <w:pPr>
              <w:pStyle w:val="Compact"/>
              <w:jc w:val="left"/>
            </w:pPr>
            <w:r>
              <w:t xml:space="preserve">Indirect, via academic-pathway recommendations</w:t>
            </w:r>
          </w:p>
        </w:tc>
        <w:tc>
          <w:tcPr/>
          <w:p>
            <w:pPr>
              <w:pStyle w:val="Compact"/>
              <w:jc w:val="left"/>
            </w:pPr>
            <w:r>
              <w:t xml:space="preserve">Current (indirect)</w:t>
            </w:r>
          </w:p>
        </w:tc>
      </w:tr>
      <w:tr>
        <w:tc>
          <w:tcPr/>
          <w:p>
            <w:pPr>
              <w:pStyle w:val="Compact"/>
              <w:jc w:val="left"/>
            </w:pPr>
            <w:r>
              <w:t xml:space="preserve">Employers</w:t>
            </w:r>
          </w:p>
        </w:tc>
        <w:tc>
          <w:tcPr/>
          <w:p>
            <w:pPr>
              <w:pStyle w:val="Compact"/>
              <w:jc w:val="left"/>
            </w:pPr>
            <w:r>
              <w:t xml:space="preserve">Indirect, via</w:t>
            </w:r>
            <w:r>
              <w:t xml:space="preserve"> </w:t>
            </w:r>
            <w:r>
              <w:rPr>
                <w:rStyle w:val="VerbatimChar"/>
              </w:rPr>
              <w:t xml:space="preserve">employer</w:t>
            </w:r>
            <w:r>
              <w:t xml:space="preserve"> </w:t>
            </w:r>
            <w:r>
              <w:t xml:space="preserve">+ labor-market intelligence agents in</w:t>
            </w:r>
            <w:r>
              <w:t xml:space="preserve"> </w:t>
            </w:r>
            <w:r>
              <w:rPr>
                <w:rStyle w:val="VerbatimChar"/>
              </w:rPr>
              <w:t xml:space="preserve">career-copilot</w:t>
            </w:r>
          </w:p>
        </w:tc>
        <w:tc>
          <w:tcPr/>
          <w:p>
            <w:pPr>
              <w:pStyle w:val="Compact"/>
              <w:jc w:val="left"/>
            </w:pPr>
            <w:r>
              <w:t xml:space="preserve">Current (partial)</w:t>
            </w:r>
          </w:p>
        </w:tc>
      </w:tr>
      <w:tr>
        <w:tc>
          <w:tcPr/>
          <w:p>
            <w:pPr>
              <w:pStyle w:val="Compact"/>
              <w:jc w:val="left"/>
            </w:pPr>
            <w:r>
              <w:t xml:space="preserve">Recruiters</w:t>
            </w:r>
          </w:p>
        </w:tc>
        <w:tc>
          <w:tcPr/>
          <w:p>
            <w:pPr>
              <w:pStyle w:val="Compact"/>
              <w:jc w:val="left"/>
            </w:pPr>
            <w:r>
              <w:t xml:space="preserve">Resume/skill-matching intelligence</w:t>
            </w:r>
          </w:p>
        </w:tc>
        <w:tc>
          <w:tcPr/>
          <w:p>
            <w:pPr>
              <w:pStyle w:val="Compact"/>
              <w:jc w:val="left"/>
            </w:pPr>
            <w:r>
              <w:t xml:space="preserve">Current</w:t>
            </w:r>
          </w:p>
        </w:tc>
      </w:tr>
      <w:tr>
        <w:tc>
          <w:tcPr/>
          <w:p>
            <w:pPr>
              <w:pStyle w:val="Compact"/>
              <w:jc w:val="left"/>
            </w:pPr>
            <w:r>
              <w:t xml:space="preserve">Career Advisors</w:t>
            </w:r>
          </w:p>
        </w:tc>
        <w:tc>
          <w:tcPr/>
          <w:p>
            <w:pPr>
              <w:pStyle w:val="Compact"/>
              <w:jc w:val="left"/>
            </w:pPr>
            <w:r>
              <w:t xml:space="preserve">No distinct advisor-facing AI tooling evidenced</w:t>
            </w:r>
          </w:p>
        </w:tc>
        <w:tc>
          <w:tcPr/>
          <w:p>
            <w:pPr>
              <w:pStyle w:val="Compact"/>
              <w:jc w:val="left"/>
            </w:pPr>
            <w:r>
              <w:t xml:space="preserve">Target</w:t>
            </w:r>
          </w:p>
        </w:tc>
      </w:tr>
      <w:tr>
        <w:tc>
          <w:tcPr/>
          <w:p>
            <w:pPr>
              <w:pStyle w:val="Compact"/>
              <w:jc w:val="left"/>
            </w:pPr>
            <w:r>
              <w:t xml:space="preserve">Knowledge Stewards</w:t>
            </w:r>
          </w:p>
        </w:tc>
        <w:tc>
          <w:tcPr/>
          <w:p>
            <w:pPr>
              <w:pStyle w:val="Compact"/>
              <w:jc w:val="left"/>
            </w:pPr>
            <w:r>
              <w:t xml:space="preserve">Reused from EEP-02 Phase F — AI curation assistance (design-complete, WP-KD-01), not yet an operating AI capability</w:t>
            </w:r>
          </w:p>
        </w:tc>
        <w:tc>
          <w:tcPr/>
          <w:p>
            <w:pPr>
              <w:pStyle w:val="Compact"/>
              <w:jc w:val="left"/>
            </w:pPr>
            <w:r>
              <w:t xml:space="preserve">Target</w:t>
            </w:r>
          </w:p>
        </w:tc>
      </w:tr>
      <w:tr>
        <w:tc>
          <w:tcPr/>
          <w:p>
            <w:pPr>
              <w:pStyle w:val="Compact"/>
              <w:jc w:val="left"/>
            </w:pPr>
            <w:r>
              <w:t xml:space="preserve">Platform Administrators</w:t>
            </w:r>
          </w:p>
        </w:tc>
        <w:tc>
          <w:tcPr/>
          <w:p>
            <w:pPr>
              <w:pStyle w:val="Compact"/>
              <w:jc w:val="left"/>
            </w:pPr>
            <w:r>
              <w:rPr>
                <w:rStyle w:val="VerbatimChar"/>
              </w:rPr>
              <w:t xml:space="preserve">intelligence-quality</w:t>
            </w:r>
            <w:r>
              <w:t xml:space="preserve">,</w:t>
            </w:r>
            <w:r>
              <w:t xml:space="preserve"> </w:t>
            </w:r>
            <w:r>
              <w:rPr>
                <w:rStyle w:val="VerbatimChar"/>
              </w:rPr>
              <w:t xml:space="preserve">platform-intelligence</w:t>
            </w:r>
            <w:r>
              <w:t xml:space="preserve"> </w:t>
            </w:r>
            <w:r>
              <w:t xml:space="preserve">dashboards</w:t>
            </w:r>
          </w:p>
        </w:tc>
        <w:tc>
          <w:tcPr/>
          <w:p>
            <w:pPr>
              <w:pStyle w:val="Compact"/>
              <w:jc w:val="left"/>
            </w:pPr>
            <w:r>
              <w:t xml:space="preserve">Current</w:t>
            </w:r>
          </w:p>
        </w:tc>
      </w:tr>
      <w:tr>
        <w:tc>
          <w:tcPr/>
          <w:p>
            <w:pPr>
              <w:pStyle w:val="Compact"/>
              <w:jc w:val="left"/>
            </w:pPr>
            <w:r>
              <w:t xml:space="preserve">Future ecosystem partners</w:t>
            </w:r>
          </w:p>
        </w:tc>
        <w:tc>
          <w:tcPr/>
          <w:p>
            <w:pPr>
              <w:pStyle w:val="Compact"/>
              <w:jc w:val="left"/>
            </w:pPr>
            <w:r>
              <w:t xml:space="preserve">Not evidenced</w:t>
            </w:r>
          </w:p>
        </w:tc>
        <w:tc>
          <w:tcPr/>
          <w:p>
            <w:pPr>
              <w:pStyle w:val="Compact"/>
              <w:jc w:val="left"/>
            </w:pPr>
            <w:r>
              <w:t xml:space="preserve">Target</w:t>
            </w:r>
          </w:p>
        </w:tc>
      </w:tr>
    </w:tbl>
    <w:p>
      <w:r>
        <w:pict>
          <v:rect style="width:0;height:1.5pt" o:hralign="center" o:hrstd="t" o:hr="t"/>
        </w:pict>
      </w:r>
    </w:p>
    <w:bookmarkEnd w:id="39"/>
    <w:bookmarkStart w:id="40" w:name="ai-business-maturity"/>
    <w:p>
      <w:pPr>
        <w:pStyle w:val="Heading2"/>
      </w:pPr>
      <w:r>
        <w:t xml:space="preserve">10. AI Business Maturity</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AI Capability</w:t>
            </w:r>
          </w:p>
        </w:tc>
        <w:tc>
          <w:tcPr/>
          <w:p>
            <w:pPr>
              <w:pStyle w:val="Compact"/>
              <w:jc w:val="left"/>
            </w:pPr>
            <w:r>
              <w:t xml:space="preserve">Level 1 Assisted</w:t>
            </w:r>
          </w:p>
        </w:tc>
        <w:tc>
          <w:tcPr/>
          <w:p>
            <w:pPr>
              <w:pStyle w:val="Compact"/>
              <w:jc w:val="left"/>
            </w:pPr>
            <w:r>
              <w:t xml:space="preserve">Level 2 Operational</w:t>
            </w:r>
          </w:p>
        </w:tc>
        <w:tc>
          <w:tcPr/>
          <w:p>
            <w:pPr>
              <w:pStyle w:val="Compact"/>
              <w:jc w:val="left"/>
            </w:pPr>
            <w:r>
              <w:t xml:space="preserve">Level 3 Trusted</w:t>
            </w:r>
          </w:p>
        </w:tc>
        <w:tc>
          <w:tcPr/>
          <w:p>
            <w:pPr>
              <w:pStyle w:val="Compact"/>
              <w:jc w:val="left"/>
            </w:pPr>
            <w:r>
              <w:t xml:space="preserve">Level 4 Enterprise</w:t>
            </w:r>
          </w:p>
        </w:tc>
        <w:tc>
          <w:tcPr/>
          <w:p>
            <w:pPr>
              <w:pStyle w:val="Compact"/>
              <w:jc w:val="left"/>
            </w:pPr>
            <w:r>
              <w:t xml:space="preserve">Level 5 Adaptive</w:t>
            </w:r>
          </w:p>
        </w:tc>
        <w:tc>
          <w:tcPr/>
          <w:p>
            <w:pPr>
              <w:pStyle w:val="Compact"/>
              <w:jc w:val="left"/>
            </w:pPr>
            <w:r>
              <w:t xml:space="preserve">Assessed Level</w:t>
            </w:r>
          </w:p>
        </w:tc>
        <w:tc>
          <w:tcPr/>
          <w:p>
            <w:pPr>
              <w:pStyle w:val="Compact"/>
              <w:jc w:val="left"/>
            </w:pPr>
            <w:r>
              <w:t xml:space="preserve">Evidence</w:t>
            </w:r>
          </w:p>
        </w:tc>
      </w:tr>
      <w:tr>
        <w:tc>
          <w:tcPr/>
          <w:p>
            <w:pPr>
              <w:pStyle w:val="Compact"/>
              <w:jc w:val="left"/>
            </w:pPr>
            <w:r>
              <w:t xml:space="preserve">Decision Runtime — skill/career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3 — Trusted</w:t>
            </w:r>
          </w:p>
        </w:tc>
        <w:tc>
          <w:tcPr/>
          <w:p>
            <w:pPr>
              <w:pStyle w:val="Compact"/>
              <w:jc w:val="left"/>
            </w:pPr>
            <w:r>
              <w:t xml:space="preserve">Multi-stage independent closure review; Response Contract Governance; disclosed (not fabricated) fairness state</w:t>
            </w:r>
          </w:p>
        </w:tc>
      </w:tr>
      <w:tr>
        <w:tc>
          <w:tcPr/>
          <w:p>
            <w:pPr>
              <w:pStyle w:val="Compact"/>
              <w:jc w:val="left"/>
            </w:pPr>
            <w:r>
              <w:t xml:space="preserve">Career Copilot / Advisory 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2 — Operational</w:t>
            </w:r>
          </w:p>
        </w:tc>
        <w:tc>
          <w:tcPr/>
          <w:p>
            <w:pPr>
              <w:pStyle w:val="Compact"/>
              <w:jc w:val="left"/>
            </w:pPr>
            <w:r>
              <w:t xml:space="preserve">Grounding guard operating; no closure-review-grade verification evidenced</w:t>
            </w:r>
          </w:p>
        </w:tc>
      </w:tr>
      <w:tr>
        <w:tc>
          <w:tcPr/>
          <w:p>
            <w:pPr>
              <w:pStyle w:val="Compact"/>
              <w:jc w:val="left"/>
            </w:pPr>
            <w:r>
              <w:t xml:space="preserve">CHI v2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2 — Operational</w:t>
            </w:r>
          </w:p>
        </w:tc>
        <w:tc>
          <w:tcPr/>
          <w:p>
            <w:pPr>
              <w:pStyle w:val="Compact"/>
              <w:jc w:val="left"/>
            </w:pPr>
            <w:r>
              <w:t xml:space="preserve">Orchestrated engines operating; no independent verification record evidenced</w:t>
            </w:r>
          </w:p>
        </w:tc>
      </w:tr>
      <w:tr>
        <w:tc>
          <w:tcPr/>
          <w:p>
            <w:pPr>
              <w:pStyle w:val="Compact"/>
              <w:jc w:val="left"/>
            </w:pPr>
            <w:r>
              <w:t xml:space="preserve">Explainability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3 — Trusted</w:t>
            </w:r>
          </w:p>
        </w:tc>
        <w:tc>
          <w:tcPr/>
          <w:p>
            <w:pPr>
              <w:pStyle w:val="Compact"/>
              <w:jc w:val="left"/>
            </w:pPr>
            <w:r>
              <w:t xml:space="preserve">Structural purity independently confirmed</w:t>
            </w:r>
          </w:p>
        </w:tc>
      </w:tr>
      <w:tr>
        <w:tc>
          <w:tcPr/>
          <w:p>
            <w:pPr>
              <w:pStyle w:val="Compact"/>
              <w:jc w:val="left"/>
            </w:pPr>
            <w:r>
              <w:t xml:space="preserve">Personalization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2 — Operational</w:t>
            </w:r>
          </w:p>
        </w:tc>
        <w:tc>
          <w:tcPr/>
          <w:p>
            <w:pPr>
              <w:pStyle w:val="Compact"/>
              <w:jc w:val="left"/>
            </w:pPr>
            <w:r>
              <w:t xml:space="preserve">Working module; no governance record evidenced</w:t>
            </w:r>
          </w:p>
        </w:tc>
      </w:tr>
      <w:tr>
        <w:tc>
          <w:tcPr/>
          <w:p>
            <w:pPr>
              <w:pStyle w:val="Compact"/>
              <w:jc w:val="left"/>
            </w:pPr>
            <w:r>
              <w:t xml:space="preserve">Intelligence Quality (IQF)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 — Assisted</w:t>
            </w:r>
          </w:p>
        </w:tc>
        <w:tc>
          <w:tcPr/>
          <w:p>
            <w:pPr>
              <w:pStyle w:val="Compact"/>
              <w:jc w:val="left"/>
            </w:pPr>
            <w:r>
              <w:t xml:space="preserve">2 of 11 documented dimensions implemented</w:t>
            </w:r>
          </w:p>
        </w:tc>
      </w:tr>
      <w:tr>
        <w:tc>
          <w:tcPr/>
          <w:p>
            <w:pPr>
              <w:pStyle w:val="Compact"/>
              <w:jc w:val="left"/>
            </w:pPr>
            <w:r>
              <w:t xml:space="preserve">Outcome Intelligence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Not yet started</w:t>
            </w:r>
          </w:p>
        </w:tc>
        <w:tc>
          <w:tcPr/>
          <w:p>
            <w:pPr>
              <w:pStyle w:val="Compact"/>
              <w:jc w:val="left"/>
            </w:pPr>
            <w:r>
              <w:t xml:space="preserve">TARGET STATE per EEP-02 Phase F</w:t>
            </w:r>
          </w:p>
        </w:tc>
      </w:tr>
    </w:tbl>
    <w:p>
      <w:pPr>
        <w:pStyle w:val="BodyText"/>
      </w:pPr>
      <w:r>
        <w:t xml:space="preserve">No AI capability in this landscape is evidenced at Level 4 (Enterprise) or Level 5 (Adaptive) — both remain TARGET STATE, contingent on the adoption triggers in §11 and §13.</w:t>
      </w:r>
    </w:p>
    <w:p>
      <w:r>
        <w:pict>
          <v:rect style="width:0;height:1.5pt" o:hralign="center" o:hrstd="t" o:hr="t"/>
        </w:pict>
      </w:r>
    </w:p>
    <w:bookmarkEnd w:id="40"/>
    <w:bookmarkStart w:id="41" w:name="current-state-vs-target-state"/>
    <w:p>
      <w:pPr>
        <w:pStyle w:val="Heading2"/>
      </w:pPr>
      <w:r>
        <w:t xml:space="preserve">11. Current State vs Target State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Current State</w:t>
            </w:r>
          </w:p>
        </w:tc>
        <w:tc>
          <w:tcPr/>
          <w:p>
            <w:pPr>
              <w:pStyle w:val="Compact"/>
              <w:jc w:val="left"/>
            </w:pPr>
            <w:r>
              <w:t xml:space="preserve">Target State</w:t>
            </w:r>
          </w:p>
        </w:tc>
        <w:tc>
          <w:tcPr/>
          <w:p>
            <w:pPr>
              <w:pStyle w:val="Compact"/>
              <w:jc w:val="left"/>
            </w:pPr>
            <w:r>
              <w:t xml:space="preserve">Adoption Trigger</w:t>
            </w:r>
          </w:p>
        </w:tc>
      </w:tr>
      <w:tr>
        <w:tc>
          <w:tcPr/>
          <w:p>
            <w:pPr>
              <w:pStyle w:val="Compact"/>
              <w:jc w:val="left"/>
            </w:pPr>
            <w:r>
              <w:t xml:space="preserve">Fairness evaluation</w:t>
            </w:r>
          </w:p>
        </w:tc>
        <w:tc>
          <w:tcPr/>
          <w:p>
            <w:pPr>
              <w:pStyle w:val="Compact"/>
              <w:jc w:val="left"/>
            </w:pPr>
            <w:r>
              <w:t xml:space="preserve">Phase 1 — disclosed, unevaluated (</w:t>
            </w:r>
            <w:r>
              <w:rPr>
                <w:rStyle w:val="VerbatimChar"/>
              </w:rPr>
              <w:t xml:space="preserve">DR-FAIR-01</w:t>
            </w:r>
            <w:r>
              <w:t xml:space="preserve">)</w:t>
            </w:r>
          </w:p>
        </w:tc>
        <w:tc>
          <w:tcPr/>
          <w:p>
            <w:pPr>
              <w:pStyle w:val="Compact"/>
              <w:jc w:val="left"/>
            </w:pPr>
            <w:r>
              <w:t xml:space="preserve">Phase 2 — actual demographic-comparison evaluation</w:t>
            </w:r>
          </w:p>
        </w:tc>
        <w:tc>
          <w:tcPr/>
          <w:p>
            <w:pPr>
              <w:pStyle w:val="Compact"/>
              <w:jc w:val="left"/>
            </w:pPr>
            <w:r>
              <w:t xml:space="preserve">A separate, human, non-architectural data-sourcing/privacy decision authorizes demographic data collection</w:t>
            </w:r>
          </w:p>
        </w:tc>
      </w:tr>
      <w:tr>
        <w:tc>
          <w:tcPr/>
          <w:p>
            <w:pPr>
              <w:pStyle w:val="Compact"/>
              <w:jc w:val="left"/>
            </w:pPr>
            <w:r>
              <w:t xml:space="preserve">Decision Runtime coverage</w:t>
            </w:r>
          </w:p>
        </w:tc>
        <w:tc>
          <w:tcPr/>
          <w:p>
            <w:pPr>
              <w:pStyle w:val="Compact"/>
              <w:jc w:val="left"/>
            </w:pPr>
            <w:r>
              <w:t xml:space="preserve">2 of 8 candidate types (</w:t>
            </w:r>
            <w:r>
              <w:rPr>
                <w:rStyle w:val="VerbatimChar"/>
              </w:rPr>
              <w:t xml:space="preserve">skill</w:t>
            </w:r>
            <w:r>
              <w:t xml:space="preserve">,</w:t>
            </w:r>
            <w:r>
              <w:t xml:space="preserve"> </w:t>
            </w:r>
            <w:r>
              <w:rPr>
                <w:rStyle w:val="VerbatimChar"/>
              </w:rPr>
              <w:t xml:space="preserve">career</w:t>
            </w:r>
            <w:r>
              <w:t xml:space="preserve">)</w:t>
            </w:r>
          </w:p>
        </w:tc>
        <w:tc>
          <w:tcPr/>
          <w:p>
            <w:pPr>
              <w:pStyle w:val="Compact"/>
              <w:jc w:val="left"/>
            </w:pPr>
            <w:r>
              <w:t xml:space="preserve">Ratified expansion to</w:t>
            </w:r>
            <w:r>
              <w:t xml:space="preserve"> </w:t>
            </w:r>
            <w:r>
              <w:rPr>
                <w:rStyle w:val="VerbatimChar"/>
              </w:rPr>
              <w:t xml:space="preserve">programme</w:t>
            </w:r>
            <w:r>
              <w:t xml:space="preserve">/</w:t>
            </w:r>
            <w:r>
              <w:rPr>
                <w:rStyle w:val="VerbatimChar"/>
              </w:rPr>
              <w:t xml:space="preserve">course</w:t>
            </w:r>
            <w:r>
              <w:t xml:space="preserve">/</w:t>
            </w:r>
            <w:r>
              <w:rPr>
                <w:rStyle w:val="VerbatimChar"/>
              </w:rPr>
              <w:t xml:space="preserve">scholarship</w:t>
            </w:r>
            <w:r>
              <w:t xml:space="preserve">/</w:t>
            </w:r>
            <w:r>
              <w:rPr>
                <w:rStyle w:val="VerbatimChar"/>
              </w:rPr>
              <w:t xml:space="preserve">institution</w:t>
            </w:r>
            <w:r>
              <w:t xml:space="preserve">/</w:t>
            </w:r>
            <w:r>
              <w:rPr>
                <w:rStyle w:val="VerbatimChar"/>
              </w:rPr>
              <w:t xml:space="preserve">futureSkill</w:t>
            </w:r>
            <w:r>
              <w:t xml:space="preserve"> </w:t>
            </w:r>
            <w:r>
              <w:t xml:space="preserve">as each is individually scope-ratified</w:t>
            </w:r>
          </w:p>
        </w:tc>
        <w:tc>
          <w:tcPr/>
          <w:p>
            <w:pPr>
              <w:pStyle w:val="Compact"/>
              <w:jc w:val="left"/>
            </w:pPr>
            <w:r>
              <w:t xml:space="preserve">Each type requires its own ADR tracing it to a named DIF reasoning objective (per WP-XAI2-04 precedent);</w:t>
            </w:r>
            <w:r>
              <w:t xml:space="preserve"> </w:t>
            </w:r>
            <w:r>
              <w:rPr>
                <w:rStyle w:val="VerbatimChar"/>
              </w:rPr>
              <w:t xml:space="preserve">occupation</w:t>
            </w:r>
            <w:r>
              <w:t xml:space="preserve"> </w:t>
            </w:r>
            <w:r>
              <w:t xml:space="preserve">excluded until it has an architectural source</w:t>
            </w:r>
          </w:p>
        </w:tc>
      </w:tr>
      <w:tr>
        <w:tc>
          <w:tcPr/>
          <w:p>
            <w:pPr>
              <w:pStyle w:val="Compact"/>
              <w:jc w:val="left"/>
            </w:pPr>
            <w:r>
              <w:t xml:space="preserve">IQF quality dimensions</w:t>
            </w:r>
          </w:p>
        </w:tc>
        <w:tc>
          <w:tcPr/>
          <w:p>
            <w:pPr>
              <w:pStyle w:val="Compact"/>
              <w:jc w:val="left"/>
            </w:pPr>
            <w:r>
              <w:t xml:space="preserve">2 of 11 implemented</w:t>
            </w:r>
          </w:p>
        </w:tc>
        <w:tc>
          <w:tcPr/>
          <w:p>
            <w:pPr>
              <w:pStyle w:val="Compact"/>
              <w:jc w:val="left"/>
            </w:pPr>
            <w:r>
              <w:t xml:space="preserve">Remaining 9 implemented</w:t>
            </w:r>
          </w:p>
        </w:tc>
        <w:tc>
          <w:tcPr/>
          <w:p>
            <w:pPr>
              <w:pStyle w:val="Compact"/>
              <w:jc w:val="left"/>
            </w:pPr>
            <w:r>
              <w:t xml:space="preserve">A second AI capability’s trust becomes blocked by a missing IQF dimension, evidencing the gap is load-bearing, not cosmetic</w:t>
            </w:r>
          </w:p>
        </w:tc>
      </w:tr>
      <w:tr>
        <w:tc>
          <w:tcPr/>
          <w:p>
            <w:pPr>
              <w:pStyle w:val="Compact"/>
              <w:jc w:val="left"/>
            </w:pPr>
            <w:r>
              <w:t xml:space="preserve">Conversational advisory governance</w:t>
            </w:r>
          </w:p>
        </w:tc>
        <w:tc>
          <w:tcPr/>
          <w:p>
            <w:pPr>
              <w:pStyle w:val="Compact"/>
              <w:jc w:val="left"/>
            </w:pPr>
            <w:r>
              <w:t xml:space="preserve">No closure-review-grade verification</w:t>
            </w:r>
          </w:p>
        </w:tc>
        <w:tc>
          <w:tcPr/>
          <w:p>
            <w:pPr>
              <w:pStyle w:val="Compact"/>
              <w:jc w:val="left"/>
            </w:pPr>
            <w:r>
              <w:t xml:space="preserve">Same multi-stage (Implementation → Verification → Closure) discipline applied to Career Copilot as to the Decision Runtime</w:t>
            </w:r>
          </w:p>
        </w:tc>
        <w:tc>
          <w:tcPr/>
          <w:p>
            <w:pPr>
              <w:pStyle w:val="Compact"/>
              <w:jc w:val="left"/>
            </w:pPr>
            <w:r>
              <w:t xml:space="preserve">Career Copilot usage volume or a trust incident makes ungoverned status unacceptable</w:t>
            </w:r>
          </w:p>
        </w:tc>
      </w:tr>
      <w:tr>
        <w:tc>
          <w:tcPr/>
          <w:p>
            <w:pPr>
              <w:pStyle w:val="Compact"/>
              <w:jc w:val="left"/>
            </w:pPr>
            <w:r>
              <w:t xml:space="preserve">Outcome-based AI recalibration</w:t>
            </w:r>
          </w:p>
        </w:tc>
        <w:tc>
          <w:tcPr/>
          <w:p>
            <w:pPr>
              <w:pStyle w:val="Compact"/>
              <w:jc w:val="left"/>
            </w:pPr>
            <w:r>
              <w:t xml:space="preserve">Not started</w:t>
            </w:r>
          </w:p>
        </w:tc>
        <w:tc>
          <w:tcPr/>
          <w:p>
            <w:pPr>
              <w:pStyle w:val="Compact"/>
              <w:jc w:val="left"/>
            </w:pPr>
            <w:r>
              <w:t xml:space="preserve">AI capability built against EEP-02 Phase F’s TARGET-STATE Career Outcome Intelligence</w:t>
            </w:r>
          </w:p>
        </w:tc>
        <w:tc>
          <w:tcPr/>
          <w:p>
            <w:pPr>
              <w:pStyle w:val="Compact"/>
              <w:jc w:val="left"/>
            </w:pPr>
            <w:r>
              <w:t xml:space="preserve">Career Outcome Intelligence knowledge capability becomes operational</w:t>
            </w:r>
          </w:p>
        </w:tc>
      </w:tr>
      <w:tr>
        <w:tc>
          <w:tcPr/>
          <w:p>
            <w:pPr>
              <w:pStyle w:val="Compact"/>
              <w:jc w:val="left"/>
            </w:pPr>
            <w:r>
              <w:t xml:space="preserve">Appeal/override mechanism</w:t>
            </w:r>
          </w:p>
        </w:tc>
        <w:tc>
          <w:tcPr/>
          <w:p>
            <w:pPr>
              <w:pStyle w:val="Compact"/>
              <w:jc w:val="left"/>
            </w:pPr>
            <w:r>
              <w:t xml:space="preserve">Not evidenced</w:t>
            </w:r>
          </w:p>
        </w:tc>
        <w:tc>
          <w:tcPr/>
          <w:p>
            <w:pPr>
              <w:pStyle w:val="Compact"/>
              <w:jc w:val="left"/>
            </w:pPr>
            <w:r>
              <w:t xml:space="preserve">Student/advisor-facing mechanism to contest or override an AI-assisted decision</w:t>
            </w:r>
          </w:p>
        </w:tc>
        <w:tc>
          <w:tcPr/>
          <w:p>
            <w:pPr>
              <w:pStyle w:val="Compact"/>
              <w:jc w:val="left"/>
            </w:pPr>
            <w:r>
              <w:t xml:space="preserve">First documented instance of a contested recommendation without a defined resolution path</w:t>
            </w:r>
          </w:p>
        </w:tc>
      </w:tr>
    </w:tbl>
    <w:p>
      <w:r>
        <w:pict>
          <v:rect style="width:0;height:1.5pt" o:hralign="center" o:hrstd="t" o:hr="t"/>
        </w:pict>
      </w:r>
    </w:p>
    <w:bookmarkEnd w:id="41"/>
    <w:bookmarkStart w:id="42" w:name="enterprise-ai-heat-map"/>
    <w:p>
      <w:pPr>
        <w:pStyle w:val="Heading2"/>
      </w:pPr>
      <w:r>
        <w:t xml:space="preserve">12. Enterprise AI Heat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Classification</w:t>
            </w:r>
          </w:p>
        </w:tc>
        <w:tc>
          <w:tcPr/>
          <w:p>
            <w:pPr>
              <w:pStyle w:val="Compact"/>
              <w:jc w:val="left"/>
            </w:pPr>
            <w:r>
              <w:t xml:space="preserve">Capabilities</w:t>
            </w:r>
          </w:p>
        </w:tc>
        <w:tc>
          <w:tcPr/>
          <w:p>
            <w:pPr>
              <w:pStyle w:val="Compact"/>
              <w:jc w:val="left"/>
            </w:pPr>
            <w:r>
              <w:t xml:space="preserve">Rationale</w:t>
            </w:r>
          </w:p>
        </w:tc>
      </w:tr>
      <w:tr>
        <w:tc>
          <w:tcPr/>
          <w:p>
            <w:pPr>
              <w:pStyle w:val="Compact"/>
              <w:jc w:val="left"/>
            </w:pPr>
            <w:r>
              <w:rPr>
                <w:bCs/>
                <w:b/>
              </w:rPr>
              <w:t xml:space="preserve">Strategic Investment</w:t>
            </w:r>
          </w:p>
        </w:tc>
        <w:tc>
          <w:tcPr/>
          <w:p>
            <w:pPr>
              <w:pStyle w:val="Compact"/>
              <w:jc w:val="left"/>
            </w:pPr>
            <w:r>
              <w:t xml:space="preserve">Decision Runtime (expansion to ratified types), Fairness Gate Phase 2 groundwork</w:t>
            </w:r>
          </w:p>
        </w:tc>
        <w:tc>
          <w:tcPr/>
          <w:p>
            <w:pPr>
              <w:pStyle w:val="Compact"/>
              <w:jc w:val="left"/>
            </w:pPr>
            <w:r>
              <w:t xml:space="preserve">Highest-leverage, most rigorously governed capability; expanding it compounds trust already established</w:t>
            </w:r>
          </w:p>
        </w:tc>
      </w:tr>
      <w:tr>
        <w:tc>
          <w:tcPr/>
          <w:p>
            <w:pPr>
              <w:pStyle w:val="Compact"/>
              <w:jc w:val="left"/>
            </w:pPr>
            <w:r>
              <w:rPr>
                <w:bCs/>
                <w:b/>
              </w:rPr>
              <w:t xml:space="preserve">Maintain</w:t>
            </w:r>
          </w:p>
        </w:tc>
        <w:tc>
          <w:tcPr/>
          <w:p>
            <w:pPr>
              <w:pStyle w:val="Compact"/>
              <w:jc w:val="left"/>
            </w:pPr>
            <w:r>
              <w:t xml:space="preserve">Decision Runtime —</w:t>
            </w:r>
            <w:r>
              <w:t xml:space="preserve"> </w:t>
            </w:r>
            <w:r>
              <w:rPr>
                <w:rStyle w:val="VerbatimChar"/>
              </w:rPr>
              <w:t xml:space="preserve">skill</w:t>
            </w:r>
            <w:r>
              <w:t xml:space="preserve">/</w:t>
            </w:r>
            <w:r>
              <w:rPr>
                <w:rStyle w:val="VerbatimChar"/>
              </w:rPr>
              <w:t xml:space="preserve">career</w:t>
            </w:r>
            <w:r>
              <w:t xml:space="preserve"> </w:t>
            </w:r>
            <w:r>
              <w:t xml:space="preserve">types, Explainability</w:t>
            </w:r>
          </w:p>
        </w:tc>
        <w:tc>
          <w:tcPr/>
          <w:p>
            <w:pPr>
              <w:pStyle w:val="Compact"/>
              <w:jc w:val="left"/>
            </w:pPr>
            <w:r>
              <w:t xml:space="preserve">Functionally complete and independently verified; incremental only</w:t>
            </w:r>
          </w:p>
        </w:tc>
      </w:tr>
      <w:tr>
        <w:tc>
          <w:tcPr/>
          <w:p>
            <w:pPr>
              <w:pStyle w:val="Compact"/>
              <w:jc w:val="left"/>
            </w:pPr>
            <w:r>
              <w:rPr>
                <w:bCs/>
                <w:b/>
              </w:rPr>
              <w:t xml:space="preserve">Improve</w:t>
            </w:r>
          </w:p>
        </w:tc>
        <w:tc>
          <w:tcPr/>
          <w:p>
            <w:pPr>
              <w:pStyle w:val="Compact"/>
              <w:jc w:val="left"/>
            </w:pPr>
            <w:r>
              <w:t xml:space="preserve">Response Contract Governance (extend pattern to non-knowledge-runtime controllers), IQF (close remaining 9 dimensions)</w:t>
            </w:r>
          </w:p>
        </w:tc>
        <w:tc>
          <w:tcPr/>
          <w:p>
            <w:pPr>
              <w:pStyle w:val="Compact"/>
              <w:jc w:val="left"/>
            </w:pPr>
            <w:r>
              <w:t xml:space="preserve">Governance pattern proven effective; gap is coverage, not design</w:t>
            </w:r>
          </w:p>
        </w:tc>
      </w:tr>
      <w:tr>
        <w:tc>
          <w:tcPr/>
          <w:p>
            <w:pPr>
              <w:pStyle w:val="Compact"/>
              <w:jc w:val="left"/>
            </w:pPr>
            <w:r>
              <w:rPr>
                <w:bCs/>
                <w:b/>
              </w:rPr>
              <w:t xml:space="preserve">Emerging</w:t>
            </w:r>
          </w:p>
        </w:tc>
        <w:tc>
          <w:tcPr/>
          <w:p>
            <w:pPr>
              <w:pStyle w:val="Compact"/>
              <w:jc w:val="left"/>
            </w:pPr>
            <w:r>
              <w:t xml:space="preserve">Career Copilot, CHI v2</w:t>
            </w:r>
          </w:p>
        </w:tc>
        <w:tc>
          <w:tcPr/>
          <w:p>
            <w:pPr>
              <w:pStyle w:val="Compact"/>
              <w:jc w:val="left"/>
            </w:pPr>
            <w:r>
              <w:t xml:space="preserve">Operating, valuable, not yet subject to the same verification discipline as the Decision Runtime</w:t>
            </w:r>
          </w:p>
        </w:tc>
      </w:tr>
      <w:tr>
        <w:tc>
          <w:tcPr/>
          <w:p>
            <w:pPr>
              <w:pStyle w:val="Compact"/>
              <w:jc w:val="left"/>
            </w:pPr>
            <w:r>
              <w:rPr>
                <w:bCs/>
                <w:b/>
              </w:rPr>
              <w:t xml:space="preserve">Experimental</w:t>
            </w:r>
          </w:p>
        </w:tc>
        <w:tc>
          <w:tcPr/>
          <w:p>
            <w:pPr>
              <w:pStyle w:val="Compact"/>
              <w:jc w:val="left"/>
            </w:pPr>
            <w:r>
              <w:t xml:space="preserve">Personalization AI-driven features</w:t>
            </w:r>
          </w:p>
        </w:tc>
        <w:tc>
          <w:tcPr/>
          <w:p>
            <w:pPr>
              <w:pStyle w:val="Compact"/>
              <w:jc w:val="left"/>
            </w:pPr>
            <w:r>
              <w:t xml:space="preserve">Working but without an evidenced governance record</w:t>
            </w:r>
          </w:p>
        </w:tc>
      </w:tr>
      <w:tr>
        <w:tc>
          <w:tcPr/>
          <w:p>
            <w:pPr>
              <w:pStyle w:val="Compact"/>
              <w:jc w:val="left"/>
            </w:pPr>
            <w:r>
              <w:rPr>
                <w:bCs/>
                <w:b/>
              </w:rPr>
              <w:t xml:space="preserve">Future</w:t>
            </w:r>
          </w:p>
        </w:tc>
        <w:tc>
          <w:tcPr/>
          <w:p>
            <w:pPr>
              <w:pStyle w:val="Compact"/>
              <w:jc w:val="left"/>
            </w:pPr>
            <w:r>
              <w:t xml:space="preserve">Outcome Intelligence AI, Decision Runtime types beyond</w:t>
            </w:r>
            <w:r>
              <w:t xml:space="preserve"> </w:t>
            </w:r>
            <w:r>
              <w:rPr>
                <w:rStyle w:val="VerbatimChar"/>
              </w:rPr>
              <w:t xml:space="preserve">skill</w:t>
            </w:r>
            <w:r>
              <w:t xml:space="preserve">/</w:t>
            </w:r>
            <w:r>
              <w:rPr>
                <w:rStyle w:val="VerbatimChar"/>
              </w:rPr>
              <w:t xml:space="preserve">career</w:t>
            </w:r>
            <w:r>
              <w:t xml:space="preserve">, advisor/parent-facing AI surfaces</w:t>
            </w:r>
          </w:p>
        </w:tc>
        <w:tc>
          <w:tcPr/>
          <w:p>
            <w:pPr>
              <w:pStyle w:val="Compact"/>
              <w:jc w:val="left"/>
            </w:pPr>
            <w:r>
              <w:t xml:space="preserve">Named, architecturally anticipated, not built</w:t>
            </w:r>
          </w:p>
        </w:tc>
      </w:tr>
      <w:tr>
        <w:tc>
          <w:tcPr/>
          <w:p>
            <w:pPr>
              <w:pStyle w:val="Compact"/>
              <w:jc w:val="left"/>
            </w:pPr>
            <w:r>
              <w:rPr>
                <w:bCs/>
                <w:b/>
              </w:rPr>
              <w:t xml:space="preserve">Legacy</w:t>
            </w:r>
          </w:p>
        </w:tc>
        <w:tc>
          <w:tcPr/>
          <w:p>
            <w:pPr>
              <w:pStyle w:val="Compact"/>
              <w:jc w:val="left"/>
            </w:pPr>
            <w:r>
              <w:t xml:space="preserve">—</w:t>
            </w:r>
          </w:p>
        </w:tc>
        <w:tc>
          <w:tcPr/>
          <w:p>
            <w:pPr>
              <w:pStyle w:val="Compact"/>
              <w:jc w:val="left"/>
            </w:pPr>
            <w:r>
              <w:t xml:space="preserve">No repository evidence of deprecated AI capability; omitted per instruction</w:t>
            </w:r>
          </w:p>
        </w:tc>
      </w:tr>
    </w:tbl>
    <w:p>
      <w:r>
        <w:pict>
          <v:rect style="width:0;height:1.5pt" o:hralign="center" o:hrstd="t" o:hr="t"/>
        </w:pict>
      </w:r>
    </w:p>
    <w:bookmarkEnd w:id="42"/>
    <w:bookmarkStart w:id="43" w:name="enterprise-ai-roadmap"/>
    <w:p>
      <w:pPr>
        <w:pStyle w:val="Heading2"/>
      </w:pPr>
      <w:r>
        <w:t xml:space="preserve">13. Enterprise AI Roadmap</w:t>
      </w:r>
    </w:p>
    <w:p>
      <w:pPr>
        <w:pStyle w:val="FirstParagraph"/>
      </w:pPr>
      <w:r>
        <w:rPr>
          <w:bCs/>
          <w:b/>
        </w:rPr>
        <w:t xml:space="preserve">Short-term (0–2 quarters).</w:t>
      </w:r>
      <w:r>
        <w:t xml:space="preserve"> </w:t>
      </w:r>
      <w:r>
        <w:t xml:space="preserve">Extend the WP-XAI2-02 Response Contract Governance pattern beyond</w:t>
      </w:r>
      <w:r>
        <w:t xml:space="preserve"> </w:t>
      </w:r>
      <w:r>
        <w:rPr>
          <w:rStyle w:val="VerbatimChar"/>
        </w:rPr>
        <w:t xml:space="preserve">knowledge-runtime</w:t>
      </w:r>
      <w:r>
        <w:t xml:space="preserve"> </w:t>
      </w:r>
      <w:r>
        <w:t xml:space="preserve">to</w:t>
      </w:r>
      <w:r>
        <w:t xml:space="preserve"> </w:t>
      </w:r>
      <w:r>
        <w:rPr>
          <w:rStyle w:val="VerbatimChar"/>
        </w:rPr>
        <w:t xml:space="preserve">career-copilot</w:t>
      </w:r>
      <w:r>
        <w:t xml:space="preserve"> </w:t>
      </w:r>
      <w:r>
        <w:t xml:space="preserve">and</w:t>
      </w:r>
      <w:r>
        <w:t xml:space="preserve"> </w:t>
      </w:r>
      <w:r>
        <w:rPr>
          <w:rStyle w:val="VerbatimChar"/>
        </w:rPr>
        <w:t xml:space="preserve">chiV2</w:t>
      </w:r>
      <w:r>
        <w:t xml:space="preserve"> </w:t>
      </w:r>
      <w:r>
        <w:t xml:space="preserve">controllers.</w:t>
      </w:r>
      <w:r>
        <w:t xml:space="preserve"> </w:t>
      </w:r>
      <w:r>
        <w:rPr>
          <w:iCs/>
          <w:i/>
        </w:rPr>
        <w:t xml:space="preserve">Adoption trigger:</w:t>
      </w:r>
      <w:r>
        <w:t xml:space="preserve"> </w:t>
      </w:r>
      <w:r>
        <w:t xml:space="preserve">any AI-assisted controller outside</w:t>
      </w:r>
      <w:r>
        <w:t xml:space="preserve"> </w:t>
      </w:r>
      <w:r>
        <w:rPr>
          <w:rStyle w:val="VerbatimChar"/>
        </w:rPr>
        <w:t xml:space="preserve">knowledge-runtime</w:t>
      </w:r>
      <w:r>
        <w:t xml:space="preserve"> </w:t>
      </w:r>
      <w:r>
        <w:t xml:space="preserve">found passing raw service objects to a public response (the same defect class WP-XAI2-02 fixed).</w:t>
      </w:r>
    </w:p>
    <w:p>
      <w:pPr>
        <w:pStyle w:val="BodyText"/>
      </w:pPr>
      <w:r>
        <w:rPr>
          <w:bCs/>
          <w:b/>
        </w:rPr>
        <w:t xml:space="preserve">Medium-term (2–4 quarters).</w:t>
      </w:r>
      <w:r>
        <w:t xml:space="preserve"> </w:t>
      </w:r>
      <w:r>
        <w:t xml:space="preserve">Apply the Implementation → Verification → Closure discipline to Career Copilot and CHI v2, bringing them from Level 2 (Operational) to Level 3 (Trusted).</w:t>
      </w:r>
      <w:r>
        <w:t xml:space="preserve"> </w:t>
      </w:r>
      <w:r>
        <w:rPr>
          <w:iCs/>
          <w:i/>
        </w:rPr>
        <w:t xml:space="preserve">Adoption trigger:</w:t>
      </w:r>
      <w:r>
        <w:t xml:space="preserve"> </w:t>
      </w:r>
      <w:r>
        <w:t xml:space="preserve">usage volume or a trust incident on either capability.</w:t>
      </w:r>
    </w:p>
    <w:p>
      <w:pPr>
        <w:pStyle w:val="BodyText"/>
      </w:pPr>
      <w:r>
        <w:rPr>
          <w:bCs/>
          <w:b/>
        </w:rPr>
        <w:t xml:space="preserve">Long-term (4+ quarters).</w:t>
      </w:r>
      <w:r>
        <w:t xml:space="preserve"> </w:t>
      </w:r>
      <w:r>
        <w:t xml:space="preserve">Ratify and implement further Decision Runtime types via the WP-XAI2-04 ADR precedent, prioritizing types with existing DIF traceability; build Outcome Intelligence AI once EEP-02 Phase F’s Career Outcome Intelligence knowledge capability is operational.</w:t>
      </w:r>
      <w:r>
        <w:t xml:space="preserve"> </w:t>
      </w:r>
      <w:r>
        <w:rPr>
          <w:iCs/>
          <w:i/>
        </w:rPr>
        <w:t xml:space="preserve">Adoption trigger:</w:t>
      </w:r>
      <w:r>
        <w:t xml:space="preserve"> </w:t>
      </w:r>
      <w:r>
        <w:t xml:space="preserve">per-type DIF traceability evidence (Decision Runtime); outcome-data cohort availability (Outcome Intelligence).</w:t>
      </w:r>
    </w:p>
    <w:p>
      <w:pPr>
        <w:pStyle w:val="BodyText"/>
      </w:pPr>
      <w:r>
        <w:rPr>
          <w:bCs/>
          <w:b/>
        </w:rPr>
        <w:t xml:space="preserve">Enterprise evolution.</w:t>
      </w:r>
      <w:r>
        <w:t xml:space="preserve"> </w:t>
      </w:r>
      <w:r>
        <w:t xml:space="preserve">Move Fairness Gate to Phase 2 only upon an explicit, separately-governed human decision to source demographic data — this document reaffirms, rather than second-guesses, WP-XAI2-01A’s decision to keep that authority outside architecture’s reach.</w:t>
      </w:r>
    </w:p>
    <w:p>
      <w:r>
        <w:pict>
          <v:rect style="width:0;height:1.5pt" o:hralign="center" o:hrstd="t" o:hr="t"/>
        </w:pict>
      </w:r>
    </w:p>
    <w:bookmarkEnd w:id="43"/>
    <w:bookmarkStart w:id="44" w:name="traceability"/>
    <w:p>
      <w:pPr>
        <w:pStyle w:val="Heading2"/>
      </w:pPr>
      <w:r>
        <w:t xml:space="preserve">14. Traceability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This Phase (G)</w:t>
            </w:r>
          </w:p>
        </w:tc>
        <w:tc>
          <w:tcPr/>
          <w:p>
            <w:pPr>
              <w:pStyle w:val="Compact"/>
              <w:jc w:val="left"/>
            </w:pPr>
            <w:r>
              <w:t xml:space="preserve">Traces to</w:t>
            </w:r>
          </w:p>
        </w:tc>
      </w:tr>
      <w:tr>
        <w:tc>
          <w:tcPr/>
          <w:p>
            <w:pPr>
              <w:pStyle w:val="Compact"/>
              <w:jc w:val="left"/>
            </w:pPr>
            <w:r>
              <w:t xml:space="preserve">AI as business capability catalog</w:t>
            </w:r>
          </w:p>
        </w:tc>
        <w:tc>
          <w:tcPr/>
          <w:p>
            <w:pPr>
              <w:pStyle w:val="Compact"/>
              <w:jc w:val="left"/>
            </w:pPr>
            <w:r>
              <w:t xml:space="preserve">EEP-02 Phase A capabilities</w:t>
            </w:r>
          </w:p>
        </w:tc>
      </w:tr>
      <w:tr>
        <w:tc>
          <w:tcPr/>
          <w:p>
            <w:pPr>
              <w:pStyle w:val="Compact"/>
              <w:jc w:val="left"/>
            </w:pPr>
            <w:r>
              <w:t xml:space="preserve">Human–AI collaboration boundaries</w:t>
            </w:r>
          </w:p>
        </w:tc>
        <w:tc>
          <w:tcPr/>
          <w:p>
            <w:pPr>
              <w:pStyle w:val="Compact"/>
              <w:jc w:val="left"/>
            </w:pPr>
            <w:r>
              <w:t xml:space="preserve">EEP-02 Phase B domain ownership</w:t>
            </w:r>
          </w:p>
        </w:tc>
      </w:tr>
      <w:tr>
        <w:tc>
          <w:tcPr/>
          <w:p>
            <w:pPr>
              <w:pStyle w:val="Compact"/>
              <w:jc w:val="left"/>
            </w:pPr>
            <w:r>
              <w:t xml:space="preserve">AI-assisted decision points</w:t>
            </w:r>
          </w:p>
        </w:tc>
        <w:tc>
          <w:tcPr/>
          <w:p>
            <w:pPr>
              <w:pStyle w:val="Compact"/>
              <w:jc w:val="left"/>
            </w:pPr>
            <w:r>
              <w:t xml:space="preserve">EEP-02 Phase C value streams (student decision journeys)</w:t>
            </w:r>
          </w:p>
        </w:tc>
      </w:tr>
      <w:tr>
        <w:tc>
          <w:tcPr/>
          <w:p>
            <w:pPr>
              <w:pStyle w:val="Compact"/>
              <w:jc w:val="left"/>
            </w:pPr>
            <w:r>
              <w:t xml:space="preserve">AI-enabled business services</w:t>
            </w:r>
          </w:p>
        </w:tc>
        <w:tc>
          <w:tcPr/>
          <w:p>
            <w:pPr>
              <w:pStyle w:val="Compact"/>
              <w:jc w:val="left"/>
            </w:pPr>
            <w:r>
              <w:t xml:space="preserve">EEP-02 Phase D business services</w:t>
            </w:r>
          </w:p>
        </w:tc>
      </w:tr>
      <w:tr>
        <w:tc>
          <w:tcPr/>
          <w:p>
            <w:pPr>
              <w:pStyle w:val="Compact"/>
              <w:jc w:val="left"/>
            </w:pPr>
            <w:r>
              <w:t xml:space="preserve">AI-assisted process steps</w:t>
            </w:r>
          </w:p>
        </w:tc>
        <w:tc>
          <w:tcPr/>
          <w:p>
            <w:pPr>
              <w:pStyle w:val="Compact"/>
              <w:jc w:val="left"/>
            </w:pPr>
            <w:r>
              <w:t xml:space="preserve">EEP-02 Phase E business processes</w:t>
            </w:r>
          </w:p>
        </w:tc>
      </w:tr>
      <w:tr>
        <w:tc>
          <w:tcPr/>
          <w:p>
            <w:pPr>
              <w:pStyle w:val="Compact"/>
              <w:jc w:val="left"/>
            </w:pPr>
            <w:r>
              <w:t xml:space="preserve">Knowledge dependency of every AI capability</w:t>
            </w:r>
          </w:p>
        </w:tc>
        <w:tc>
          <w:tcPr/>
          <w:p>
            <w:pPr>
              <w:pStyle w:val="Compact"/>
              <w:jc w:val="left"/>
            </w:pPr>
            <w:r>
              <w:t xml:space="preserve">EEP-02 Phase F Enterprise Knowledge &amp; Intelligence Architecture</w:t>
            </w:r>
          </w:p>
        </w:tc>
      </w:tr>
      <w:tr>
        <w:tc>
          <w:tcPr/>
          <w:p>
            <w:pPr>
              <w:pStyle w:val="Compact"/>
              <w:jc w:val="left"/>
            </w:pPr>
            <w:r>
              <w:t xml:space="preserve">AI runtime, orchestration, provider, infrastructure (not redefined here)</w:t>
            </w:r>
          </w:p>
        </w:tc>
        <w:tc>
          <w:tcPr/>
          <w:p>
            <w:pPr>
              <w:pStyle w:val="Compact"/>
              <w:jc w:val="left"/>
            </w:pPr>
            <w:r>
              <w:t xml:space="preserve">EEP-01 Phase F Enterprise AI &amp; Intelligent Automation Architecture</w:t>
            </w:r>
          </w:p>
        </w:tc>
      </w:tr>
      <w:tr>
        <w:tc>
          <w:tcPr/>
          <w:p>
            <w:pPr>
              <w:pStyle w:val="Compact"/>
              <w:jc w:val="left"/>
            </w:pPr>
            <w:r>
              <w:t xml:space="preserve">Platform hosting of AI services</w:t>
            </w:r>
          </w:p>
        </w:tc>
        <w:tc>
          <w:tcPr/>
          <w:p>
            <w:pPr>
              <w:pStyle w:val="Compact"/>
              <w:jc w:val="left"/>
            </w:pPr>
            <w:r>
              <w:t xml:space="preserve">EEP-01 Phase G Enterprise Platform &amp; Runtime Architecture</w:t>
            </w:r>
          </w:p>
        </w:tc>
      </w:tr>
      <w:tr>
        <w:tc>
          <w:tcPr/>
          <w:p>
            <w:pPr>
              <w:pStyle w:val="Compact"/>
              <w:jc w:val="left"/>
            </w:pPr>
            <w:r>
              <w:t xml:space="preserve">Response contract / data exposure governance</w:t>
            </w:r>
          </w:p>
        </w:tc>
        <w:tc>
          <w:tcPr/>
          <w:p>
            <w:pPr>
              <w:pStyle w:val="Compact"/>
              <w:jc w:val="left"/>
            </w:pPr>
            <w:r>
              <w:t xml:space="preserve">EEP-01 Phase B Enterprise Security Architecture (extended by WP-SEC-01/WP-XAI2-02)</w:t>
            </w:r>
          </w:p>
        </w:tc>
      </w:tr>
    </w:tbl>
    <w:p>
      <w:r>
        <w:pict>
          <v:rect style="width:0;height:1.5pt" o:hralign="center" o:hrstd="t" o:hr="t"/>
        </w:pict>
      </w:r>
    </w:p>
    <w:bookmarkEnd w:id="44"/>
    <w:bookmarkStart w:id="45" w:name="architecture-decisions"/>
    <w:p>
      <w:pPr>
        <w:pStyle w:val="Heading2"/>
      </w:pPr>
      <w:r>
        <w:t xml:space="preserve">15. Architecture Decisions</w:t>
      </w:r>
    </w:p>
    <w:p>
      <w:pPr>
        <w:pStyle w:val="FirstParagraph"/>
      </w:pPr>
      <w:r>
        <w:rPr>
          <w:bCs/>
          <w:b/>
        </w:rPr>
        <w:t xml:space="preserve">Decision 1 — AI decision-type scope expands only via ratified, per-type ADR, never by default.</w:t>
      </w:r>
      <w:r>
        <w:t xml:space="preserve"> </w:t>
      </w:r>
      <w:r>
        <w:rPr>
          <w:iCs/>
          <w:i/>
        </w:rPr>
        <w:t xml:space="preserve">Context:</w:t>
      </w:r>
      <w:r>
        <w:t xml:space="preserve"> </w:t>
      </w:r>
      <w:r>
        <w:t xml:space="preserve">seven candidate Decision Runtime types existed; implementing all by default risked replicating an unresolved trust gap.</w:t>
      </w:r>
      <w:r>
        <w:t xml:space="preserve"> </w:t>
      </w:r>
      <w:r>
        <w:rPr>
          <w:iCs/>
          <w:i/>
        </w:rPr>
        <w:t xml:space="preserve">Alternatives considered:</w:t>
      </w:r>
      <w:r>
        <w:t xml:space="preserve"> </w:t>
      </w:r>
      <w:r>
        <w:t xml:space="preserve">implement all seven at once; implement by engineering convenience/ease.</w:t>
      </w:r>
      <w:r>
        <w:t xml:space="preserve"> </w:t>
      </w:r>
      <w:r>
        <w:rPr>
          <w:iCs/>
          <w:i/>
        </w:rPr>
        <w:t xml:space="preserve">Trade-offs:</w:t>
      </w:r>
      <w:r>
        <w:t xml:space="preserve"> </w:t>
      </w:r>
      <w:r>
        <w:t xml:space="preserve">slower expansion in exchange for evidence-traced, defensible scope.</w:t>
      </w:r>
      <w:r>
        <w:t xml:space="preserve"> </w:t>
      </w:r>
      <w:r>
        <w:rPr>
          <w:iCs/>
          <w:i/>
        </w:rPr>
        <w:t xml:space="preserve">Rationale:</w:t>
      </w:r>
      <w:r>
        <w:t xml:space="preserve"> </w:t>
      </w:r>
      <w:r>
        <w:t xml:space="preserve">directly reuses WP-XAI2-04’s own precedent —</w:t>
      </w:r>
      <w:r>
        <w:t xml:space="preserve"> </w:t>
      </w:r>
      <w:r>
        <w:rPr>
          <w:rStyle w:val="VerbatimChar"/>
        </w:rPr>
        <w:t xml:space="preserve">occupation</w:t>
      </w:r>
      <w:r>
        <w:t xml:space="preserve"> </w:t>
      </w:r>
      <w:r>
        <w:t xml:space="preserve">was excluded specifically because it lacked a named reasoning objective, and</w:t>
      </w:r>
      <w:r>
        <w:t xml:space="preserve"> </w:t>
      </w:r>
      <w:r>
        <w:rPr>
          <w:rStyle w:val="VerbatimChar"/>
        </w:rPr>
        <w:t xml:space="preserve">career</w:t>
      </w:r>
      <w:r>
        <w:t xml:space="preserve"> </w:t>
      </w:r>
      <w:r>
        <w:t xml:space="preserve">was selected specifically because it had one. This document adopts that precedent as the standing rule for all future AI capability scope decisions, not just Decision Runtime types.</w:t>
      </w:r>
    </w:p>
    <w:p>
      <w:pPr>
        <w:pStyle w:val="BodyText"/>
      </w:pPr>
      <w:r>
        <w:rPr>
          <w:bCs/>
          <w:b/>
        </w:rPr>
        <w:t xml:space="preserve">Decision 2 — Fairness is disclosed as unresolved rather than fabricated or silently omitted.</w:t>
      </w:r>
      <w:r>
        <w:t xml:space="preserve"> </w:t>
      </w:r>
      <w:r>
        <w:rPr>
          <w:iCs/>
          <w:i/>
        </w:rPr>
        <w:t xml:space="preserve">Context:</w:t>
      </w:r>
      <w:r>
        <w:t xml:space="preserve"> </w:t>
      </w:r>
      <w:r>
        <w:t xml:space="preserve">the frozen fairness definition requires demographic data that does not exist in the repository.</w:t>
      </w:r>
      <w:r>
        <w:t xml:space="preserve"> </w:t>
      </w:r>
      <w:r>
        <w:rPr>
          <w:iCs/>
          <w:i/>
        </w:rPr>
        <w:t xml:space="preserve">Alternatives considered:</w:t>
      </w:r>
      <w:r>
        <w:t xml:space="preserve"> </w:t>
      </w:r>
      <w:r>
        <w:t xml:space="preserve">implement against fabricated/inferred demographic proxies; silently omit the fairness field.</w:t>
      </w:r>
      <w:r>
        <w:t xml:space="preserve"> </w:t>
      </w:r>
      <w:r>
        <w:rPr>
          <w:iCs/>
          <w:i/>
        </w:rPr>
        <w:t xml:space="preserve">Trade-offs:</w:t>
      </w:r>
      <w:r>
        <w:t xml:space="preserve"> </w:t>
      </w:r>
      <w:r>
        <w:t xml:space="preserve">the platform ships an honestly incomplete trust property rather than a false one.</w:t>
      </w:r>
      <w:r>
        <w:t xml:space="preserve"> </w:t>
      </w:r>
      <w:r>
        <w:rPr>
          <w:iCs/>
          <w:i/>
        </w:rPr>
        <w:t xml:space="preserve">Rationale:</w:t>
      </w:r>
      <w:r>
        <w:t xml:space="preserve"> </w:t>
      </w:r>
      <w:r>
        <w:t xml:space="preserve">consistent with the Decision Runtime’s existing</w:t>
      </w:r>
      <w:r>
        <w:t xml:space="preserve"> </w:t>
      </w:r>
      <w:r>
        <w:rPr>
          <w:rStyle w:val="VerbatimChar"/>
        </w:rPr>
        <w:t xml:space="preserve">evaluated: false</w:t>
      </w:r>
      <w:r>
        <w:t xml:space="preserve"> </w:t>
      </w:r>
      <w:r>
        <w:t xml:space="preserve">pattern for other data-gap rules (DR-PRI-01/02); extends, rather than invents, an already-proven repository convention.</w:t>
      </w:r>
    </w:p>
    <w:p>
      <w:pPr>
        <w:pStyle w:val="BodyText"/>
      </w:pPr>
      <w:r>
        <w:rPr>
          <w:bCs/>
          <w:b/>
        </w:rPr>
        <w:t xml:space="preserve">Decision 3 — Data-exposure governance (Response Contract Governance) is a standing, extensible pattern, not a one-time fix.</w:t>
      </w:r>
      <w:r>
        <w:t xml:space="preserve"> </w:t>
      </w:r>
      <w:r>
        <w:rPr>
          <w:iCs/>
          <w:i/>
        </w:rPr>
        <w:t xml:space="preserve">Context:</w:t>
      </w:r>
      <w:r>
        <w:t xml:space="preserve"> </w:t>
      </w:r>
      <w:r>
        <w:t xml:space="preserve">the same PII-leakage defect class recurred across five controllers after being fixed once for Decision.</w:t>
      </w:r>
      <w:r>
        <w:t xml:space="preserve"> </w:t>
      </w:r>
      <w:r>
        <w:rPr>
          <w:iCs/>
          <w:i/>
        </w:rPr>
        <w:t xml:space="preserve">Alternatives considered:</w:t>
      </w:r>
      <w:r>
        <w:t xml:space="preserve"> </w:t>
      </w:r>
      <w:r>
        <w:t xml:space="preserve">fix only the originally reported instance; leave sibling controllers unaudited.</w:t>
      </w:r>
      <w:r>
        <w:t xml:space="preserve"> </w:t>
      </w:r>
      <w:r>
        <w:rPr>
          <w:iCs/>
          <w:i/>
        </w:rPr>
        <w:t xml:space="preserve">Trade-offs:</w:t>
      </w:r>
      <w:r>
        <w:t xml:space="preserve"> </w:t>
      </w:r>
      <w:r>
        <w:t xml:space="preserve">broader audit scope costs more up front, in exchange for closing a defect class rather than one instance of it.</w:t>
      </w:r>
      <w:r>
        <w:t xml:space="preserve"> </w:t>
      </w:r>
      <w:r>
        <w:rPr>
          <w:iCs/>
          <w:i/>
        </w:rPr>
        <w:t xml:space="preserve">Rationale:</w:t>
      </w:r>
      <w:r>
        <w:t xml:space="preserve"> </w:t>
      </w:r>
      <w:r>
        <w:t xml:space="preserve">WP-XAI2-02’s own regression test (</w:t>
      </w:r>
      <w:r>
        <w:rPr>
          <w:rStyle w:val="VerbatimChar"/>
        </w:rPr>
        <w:t xml:space="preserve">response-shape.test.js</w:t>
      </w:r>
      <w:r>
        <w:t xml:space="preserve">) exists specifically to prevent recurrence — this document recommends (§18) generalizing that audit to every AI-assisted controller as new capabilities are added.</w:t>
      </w:r>
    </w:p>
    <w:p>
      <w:r>
        <w:pict>
          <v:rect style="width:0;height:1.5pt" o:hralign="center" o:hrstd="t" o:hr="t"/>
        </w:pict>
      </w:r>
    </w:p>
    <w:bookmarkEnd w:id="45"/>
    <w:bookmarkStart w:id="46" w:name="risks"/>
    <w:p>
      <w:pPr>
        <w:pStyle w:val="Heading2"/>
      </w:pPr>
      <w:r>
        <w:t xml:space="preserve">16.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Business AI risk</w:t>
            </w:r>
          </w:p>
        </w:tc>
        <w:tc>
          <w:tcPr/>
          <w:p>
            <w:pPr>
              <w:pStyle w:val="Compact"/>
              <w:jc w:val="left"/>
            </w:pPr>
            <w:r>
              <w:t xml:space="preserve">AI capabilities without closure-review-grade verification (Career Copilot, CHI v2) are trusted at the same level as verified ones by end users, despite a real maturity gap</w:t>
            </w:r>
          </w:p>
        </w:tc>
        <w:tc>
          <w:tcPr/>
          <w:p>
            <w:pPr>
              <w:pStyle w:val="Compact"/>
              <w:jc w:val="left"/>
            </w:pPr>
            <w:r>
              <w:t xml:space="preserve">Apply §13 medium-term roadmap; disclose maturity level in internal documentation</w:t>
            </w:r>
          </w:p>
        </w:tc>
      </w:tr>
      <w:tr>
        <w:tc>
          <w:tcPr/>
          <w:p>
            <w:pPr>
              <w:pStyle w:val="Compact"/>
              <w:jc w:val="left"/>
            </w:pPr>
            <w:r>
              <w:t xml:space="preserve">Trust risk</w:t>
            </w:r>
          </w:p>
        </w:tc>
        <w:tc>
          <w:tcPr/>
          <w:p>
            <w:pPr>
              <w:pStyle w:val="Compact"/>
              <w:jc w:val="left"/>
            </w:pPr>
            <w:r>
              <w:t xml:space="preserve">Fairness Gate Phase 1’s honest disclosure could be misread externally as</w:t>
            </w:r>
            <w:r>
              <w:t xml:space="preserve"> </w:t>
            </w:r>
            <w:r>
              <w:t xml:space="preserve">“</w:t>
            </w:r>
            <w:r>
              <w:t xml:space="preserve">fairness solved</w:t>
            </w:r>
            <w:r>
              <w:t xml:space="preserve">”</w:t>
            </w:r>
            <w:r>
              <w:t xml:space="preserve"> </w:t>
            </w:r>
            <w:r>
              <w:t xml:space="preserve">if not clearly communicated</w:t>
            </w:r>
          </w:p>
        </w:tc>
        <w:tc>
          <w:tcPr/>
          <w:p>
            <w:pPr>
              <w:pStyle w:val="Compact"/>
              <w:jc w:val="left"/>
            </w:pPr>
            <w:r>
              <w:t xml:space="preserve">Maintain the ADR’s own instruction (ADR-01 Consequences) that Phase 1 status must remain visible in the public contract</w:t>
            </w:r>
          </w:p>
        </w:tc>
      </w:tr>
      <w:tr>
        <w:tc>
          <w:tcPr/>
          <w:p>
            <w:pPr>
              <w:pStyle w:val="Compact"/>
              <w:jc w:val="left"/>
            </w:pPr>
            <w:r>
              <w:t xml:space="preserve">Adoption risk</w:t>
            </w:r>
          </w:p>
        </w:tc>
        <w:tc>
          <w:tcPr/>
          <w:p>
            <w:pPr>
              <w:pStyle w:val="Compact"/>
              <w:jc w:val="left"/>
            </w:pPr>
            <w:r>
              <w:t xml:space="preserve">Expanding Decision Runtime coverage without per-type ADR discipline replicates the pre-XAI-2 trust gap at a larger scale</w:t>
            </w:r>
          </w:p>
        </w:tc>
        <w:tc>
          <w:tcPr/>
          <w:p>
            <w:pPr>
              <w:pStyle w:val="Compact"/>
              <w:jc w:val="left"/>
            </w:pPr>
            <w:r>
              <w:t xml:space="preserve">Enforce WP-XAI2-04’s ADR-per-type precedent as a non-negotiable gate</w:t>
            </w:r>
          </w:p>
        </w:tc>
      </w:tr>
      <w:tr>
        <w:tc>
          <w:tcPr/>
          <w:p>
            <w:pPr>
              <w:pStyle w:val="Compact"/>
              <w:jc w:val="left"/>
            </w:pPr>
            <w:r>
              <w:t xml:space="preserve">Knowledge dependency risk</w:t>
            </w:r>
          </w:p>
        </w:tc>
        <w:tc>
          <w:tcPr/>
          <w:p>
            <w:pPr>
              <w:pStyle w:val="Compact"/>
              <w:jc w:val="left"/>
            </w:pPr>
            <w:r>
              <w:t xml:space="preserve">Any AI capability’s trustworthiness inherits EEP-02 Phase F’s knowledge-quality gaps (unenforced Quality Model gate)</w:t>
            </w:r>
          </w:p>
        </w:tc>
        <w:tc>
          <w:tcPr/>
          <w:p>
            <w:pPr>
              <w:pStyle w:val="Compact"/>
              <w:jc w:val="left"/>
            </w:pPr>
            <w:r>
              <w:t xml:space="preserve">Reuse, do not duplicate, EEP-02 Phase F §16 mitigation (quality gate enforcement)</w:t>
            </w:r>
          </w:p>
        </w:tc>
      </w:tr>
      <w:tr>
        <w:tc>
          <w:tcPr/>
          <w:p>
            <w:pPr>
              <w:pStyle w:val="Compact"/>
              <w:jc w:val="left"/>
            </w:pPr>
            <w:r>
              <w:t xml:space="preserve">Ethical risk</w:t>
            </w:r>
          </w:p>
        </w:tc>
        <w:tc>
          <w:tcPr/>
          <w:p>
            <w:pPr>
              <w:pStyle w:val="Compact"/>
              <w:jc w:val="left"/>
            </w:pPr>
            <w:r>
              <w:t xml:space="preserve">Anti-proxy-inference prohibition (no inferring demographics from school type, name, etc.) could be inadvertently violated by future feature work unaware of the ADR</w:t>
            </w:r>
          </w:p>
        </w:tc>
        <w:tc>
          <w:tcPr/>
          <w:p>
            <w:pPr>
              <w:pStyle w:val="Compact"/>
              <w:jc w:val="left"/>
            </w:pPr>
            <w:r>
              <w:t xml:space="preserve">Codify ADR-04 as a standing engineering constraint, not just a governance document</w:t>
            </w:r>
          </w:p>
        </w:tc>
      </w:tr>
      <w:tr>
        <w:tc>
          <w:tcPr/>
          <w:p>
            <w:pPr>
              <w:pStyle w:val="Compact"/>
              <w:jc w:val="left"/>
            </w:pPr>
            <w:r>
              <w:t xml:space="preserve">Governance risk</w:t>
            </w:r>
          </w:p>
        </w:tc>
        <w:tc>
          <w:tcPr/>
          <w:p>
            <w:pPr>
              <w:pStyle w:val="Compact"/>
              <w:jc w:val="left"/>
            </w:pPr>
            <w:r>
              <w:t xml:space="preserve">ARB’s ADR-gating discipline depends on continued small-team diligence; does not yet have a redundant/backup review mechanism</w:t>
            </w:r>
          </w:p>
        </w:tc>
        <w:tc>
          <w:tcPr/>
          <w:p>
            <w:pPr>
              <w:pStyle w:val="Compact"/>
              <w:jc w:val="left"/>
            </w:pPr>
            <w:r>
              <w:t xml:space="preserve">Acceptable at current team scale; revisit if contributor count grows (per EEP-01 Phase H/I methodological note)</w:t>
            </w:r>
          </w:p>
        </w:tc>
      </w:tr>
      <w:tr>
        <w:tc>
          <w:tcPr/>
          <w:p>
            <w:pPr>
              <w:pStyle w:val="Compact"/>
              <w:jc w:val="left"/>
            </w:pPr>
            <w:r>
              <w:t xml:space="preserve">Transformation risk</w:t>
            </w:r>
          </w:p>
        </w:tc>
        <w:tc>
          <w:tcPr/>
          <w:p>
            <w:pPr>
              <w:pStyle w:val="Compact"/>
              <w:jc w:val="left"/>
            </w:pPr>
            <w:r>
              <w:t xml:space="preserve">Extending Response Contract Governance to more controllers could surface further undisclosed defects</w:t>
            </w:r>
          </w:p>
        </w:tc>
        <w:tc>
          <w:tcPr/>
          <w:p>
            <w:pPr>
              <w:pStyle w:val="Compact"/>
              <w:jc w:val="left"/>
            </w:pPr>
            <w:r>
              <w:t xml:space="preserve">Treat each newly audited controller as its own bounded closure cycle, per the proven WP-XAI2-02 pattern</w:t>
            </w:r>
          </w:p>
        </w:tc>
      </w:tr>
      <w:tr>
        <w:tc>
          <w:tcPr/>
          <w:p>
            <w:pPr>
              <w:pStyle w:val="Compact"/>
              <w:jc w:val="left"/>
            </w:pPr>
            <w:r>
              <w:t xml:space="preserve">Technology independence risk</w:t>
            </w:r>
          </w:p>
        </w:tc>
        <w:tc>
          <w:tcPr/>
          <w:p>
            <w:pPr>
              <w:pStyle w:val="Compact"/>
              <w:jc w:val="left"/>
            </w:pPr>
            <w:r>
              <w:t xml:space="preserve">None specific to this document — provider/model choice is out of scope by design</w:t>
            </w:r>
          </w:p>
        </w:tc>
        <w:tc>
          <w:tcPr/>
          <w:p>
            <w:pPr>
              <w:pStyle w:val="Compact"/>
              <w:jc w:val="left"/>
            </w:pPr>
            <w:r>
              <w:t xml:space="preserve">EEP-01 Phase F ownership preserved</w:t>
            </w:r>
          </w:p>
        </w:tc>
      </w:tr>
    </w:tbl>
    <w:p>
      <w:r>
        <w:pict>
          <v:rect style="width:0;height:1.5pt" o:hralign="center" o:hrstd="t" o:hr="t"/>
        </w:pict>
      </w:r>
    </w:p>
    <w:bookmarkEnd w:id="46"/>
    <w:bookmarkStart w:id="47" w:name="success-metrics"/>
    <w:p>
      <w:pPr>
        <w:pStyle w:val="Heading2"/>
      </w:pPr>
      <w:r>
        <w:t xml:space="preserve">17. Success Metrics</w:t>
      </w:r>
    </w:p>
    <w:p>
      <w:pPr>
        <w:numPr>
          <w:ilvl w:val="0"/>
          <w:numId w:val="1009"/>
        </w:numPr>
        <w:pStyle w:val="Compact"/>
      </w:pPr>
      <w:r>
        <w:rPr>
          <w:bCs/>
          <w:b/>
        </w:rPr>
        <w:t xml:space="preserve">AI adoption</w:t>
      </w:r>
      <w:r>
        <w:t xml:space="preserve"> </w:t>
      </w:r>
      <w:r>
        <w:t xml:space="preserve">— proportion of eligible business decisions (per §7) routed through the governed Decision Runtime vs. ungoverned paths.</w:t>
      </w:r>
    </w:p>
    <w:p>
      <w:pPr>
        <w:numPr>
          <w:ilvl w:val="0"/>
          <w:numId w:val="1009"/>
        </w:numPr>
        <w:pStyle w:val="Compact"/>
      </w:pPr>
      <w:r>
        <w:rPr>
          <w:bCs/>
          <w:b/>
        </w:rPr>
        <w:t xml:space="preserve">Recommendation acceptance</w:t>
      </w:r>
      <w:r>
        <w:t xml:space="preserve"> </w:t>
      </w:r>
      <w:r>
        <w:t xml:space="preserve">— not yet instrumented in evidence; recommended as a §18 priority.</w:t>
      </w:r>
    </w:p>
    <w:p>
      <w:pPr>
        <w:numPr>
          <w:ilvl w:val="0"/>
          <w:numId w:val="1009"/>
        </w:numPr>
        <w:pStyle w:val="Compact"/>
      </w:pPr>
      <w:r>
        <w:rPr>
          <w:bCs/>
          <w:b/>
        </w:rPr>
        <w:t xml:space="preserve">Student trust</w:t>
      </w:r>
      <w:r>
        <w:t xml:space="preserve"> </w:t>
      </w:r>
      <w:r>
        <w:t xml:space="preserve">— not yet instrumented; candidate proxy metric: appeal/override requests once that mechanism exists (§11).</w:t>
      </w:r>
    </w:p>
    <w:p>
      <w:pPr>
        <w:numPr>
          <w:ilvl w:val="0"/>
          <w:numId w:val="1009"/>
        </w:numPr>
        <w:pStyle w:val="Compact"/>
      </w:pPr>
      <w:r>
        <w:rPr>
          <w:bCs/>
          <w:b/>
        </w:rPr>
        <w:t xml:space="preserve">Explainability coverage</w:t>
      </w:r>
      <w:r>
        <w:t xml:space="preserve"> </w:t>
      </w:r>
      <w:r>
        <w:t xml:space="preserve">— proportion of AI-assisted decision types with a structurally verified (not just claimed) pure explanation path — currently 2 of 2 ratified types; target extends as coverage grows.</w:t>
      </w:r>
    </w:p>
    <w:p>
      <w:pPr>
        <w:numPr>
          <w:ilvl w:val="0"/>
          <w:numId w:val="1009"/>
        </w:numPr>
        <w:pStyle w:val="Compact"/>
      </w:pPr>
      <w:r>
        <w:rPr>
          <w:bCs/>
          <w:b/>
        </w:rPr>
        <w:t xml:space="preserve">Decision quality</w:t>
      </w:r>
      <w:r>
        <w:t xml:space="preserve"> </w:t>
      </w:r>
      <w:r>
        <w:t xml:space="preserve">— regression-test pass rate on decision/response-contract suites as an implementation-quality proxy (288/288 at last verification).</w:t>
      </w:r>
    </w:p>
    <w:p>
      <w:pPr>
        <w:numPr>
          <w:ilvl w:val="0"/>
          <w:numId w:val="1009"/>
        </w:numPr>
        <w:pStyle w:val="Compact"/>
      </w:pPr>
      <w:r>
        <w:rPr>
          <w:bCs/>
          <w:b/>
        </w:rPr>
        <w:t xml:space="preserve">Human override rate</w:t>
      </w:r>
      <w:r>
        <w:t xml:space="preserve"> </w:t>
      </w:r>
      <w:r>
        <w:t xml:space="preserve">— not yet instrumented; requires the appeal mechanism named in §11 as a prerequisite.</w:t>
      </w:r>
    </w:p>
    <w:p>
      <w:pPr>
        <w:numPr>
          <w:ilvl w:val="0"/>
          <w:numId w:val="1009"/>
        </w:numPr>
        <w:pStyle w:val="Compact"/>
      </w:pPr>
      <w:r>
        <w:rPr>
          <w:bCs/>
          <w:b/>
        </w:rPr>
        <w:t xml:space="preserve">Career outcome improvement</w:t>
      </w:r>
      <w:r>
        <w:t xml:space="preserve"> </w:t>
      </w:r>
      <w:r>
        <w:t xml:space="preserve">— deferred, per EEP-02 Phase F §17, until Career Outcome Intelligence is operational.</w:t>
      </w:r>
    </w:p>
    <w:p>
      <w:pPr>
        <w:numPr>
          <w:ilvl w:val="0"/>
          <w:numId w:val="1009"/>
        </w:numPr>
        <w:pStyle w:val="Compact"/>
      </w:pPr>
      <w:r>
        <w:rPr>
          <w:bCs/>
          <w:b/>
        </w:rPr>
        <w:t xml:space="preserve">Knowledge utilization</w:t>
      </w:r>
      <w:r>
        <w:t xml:space="preserve"> </w:t>
      </w:r>
      <w:r>
        <w:t xml:space="preserve">— reused from EEP-02 Phase F §17</w:t>
      </w:r>
      <w:r>
        <w:t xml:space="preserve"> </w:t>
      </w:r>
      <w:r>
        <w:t xml:space="preserve">“</w:t>
      </w:r>
      <w:r>
        <w:t xml:space="preserve">knowledge reuse</w:t>
      </w:r>
      <w:r>
        <w:t xml:space="preserve">”</w:t>
      </w:r>
      <w:r>
        <w:t xml:space="preserve"> </w:t>
      </w:r>
      <w:r>
        <w:t xml:space="preserve">metric — extended here to track what proportion of AI capabilities consume HKP canonical entities vs. private data.</w:t>
      </w:r>
    </w:p>
    <w:p>
      <w:pPr>
        <w:numPr>
          <w:ilvl w:val="0"/>
          <w:numId w:val="1009"/>
        </w:numPr>
        <w:pStyle w:val="Compact"/>
      </w:pPr>
      <w:r>
        <w:rPr>
          <w:bCs/>
          <w:b/>
        </w:rPr>
        <w:t xml:space="preserve">Business productivity</w:t>
      </w:r>
      <w:r>
        <w:t xml:space="preserve"> </w:t>
      </w:r>
      <w:r>
        <w:t xml:space="preserve">— not evidenced; a genuine instrumentation gap.</w:t>
      </w:r>
    </w:p>
    <w:p>
      <w:pPr>
        <w:numPr>
          <w:ilvl w:val="0"/>
          <w:numId w:val="1009"/>
        </w:numPr>
        <w:pStyle w:val="Compact"/>
      </w:pPr>
      <w:r>
        <w:rPr>
          <w:bCs/>
          <w:b/>
        </w:rPr>
        <w:t xml:space="preserve">Responsible AI compliance</w:t>
      </w:r>
      <w:r>
        <w:t xml:space="preserve"> </w:t>
      </w:r>
      <w:r>
        <w:t xml:space="preserve">— proportion of AI-assisted controllers passing the Response Contract Governance regression suite; proportion of decision rules with disclosed (not fabricated or silently omitted) evaluation status.</w:t>
      </w:r>
    </w:p>
    <w:p>
      <w:r>
        <w:pict>
          <v:rect style="width:0;height:1.5pt" o:hralign="center" o:hrstd="t" o:hr="t"/>
        </w:pict>
      </w:r>
    </w:p>
    <w:bookmarkEnd w:id="47"/>
    <w:bookmarkStart w:id="48" w:name="recommendations"/>
    <w:p>
      <w:pPr>
        <w:pStyle w:val="Heading2"/>
      </w:pPr>
      <w:r>
        <w:t xml:space="preserve">18. Recommendations</w:t>
      </w:r>
    </w:p>
    <w:p>
      <w:pPr>
        <w:pStyle w:val="FirstParagraph"/>
      </w:pPr>
      <w:r>
        <w:rPr>
          <w:bCs/>
          <w:b/>
        </w:rPr>
        <w:t xml:space="preserve">Immediate priorities.</w:t>
      </w:r>
      <w:r>
        <w:t xml:space="preserve"> </w:t>
      </w:r>
      <w:r>
        <w:t xml:space="preserve">(1) Extend the Response Contract Governance audit and regression-test pattern to</w:t>
      </w:r>
      <w:r>
        <w:t xml:space="preserve"> </w:t>
      </w:r>
      <w:r>
        <w:rPr>
          <w:rStyle w:val="VerbatimChar"/>
        </w:rPr>
        <w:t xml:space="preserve">career-copilot</w:t>
      </w:r>
      <w:r>
        <w:t xml:space="preserve"> </w:t>
      </w:r>
      <w:r>
        <w:t xml:space="preserve">and</w:t>
      </w:r>
      <w:r>
        <w:t xml:space="preserve"> </w:t>
      </w:r>
      <w:r>
        <w:rPr>
          <w:rStyle w:val="VerbatimChar"/>
        </w:rPr>
        <w:t xml:space="preserve">chiV2</w:t>
      </w:r>
      <w:r>
        <w:t xml:space="preserve"> </w:t>
      </w:r>
      <w:r>
        <w:t xml:space="preserve">controllers before either capability grows further. (2) Instrument recommendation-acceptance and human-override metrics now, so a genuine baseline exists before volume grows.</w:t>
      </w:r>
    </w:p>
    <w:p>
      <w:pPr>
        <w:pStyle w:val="BodyText"/>
      </w:pPr>
      <w:r>
        <w:rPr>
          <w:bCs/>
          <w:b/>
        </w:rPr>
        <w:t xml:space="preserve">Near-term improvements.</w:t>
      </w:r>
      <w:r>
        <w:t xml:space="preserve"> </w:t>
      </w:r>
      <w:r>
        <w:t xml:space="preserve">Apply the Implementation → Verification → Closure discipline already proven on the Decision Runtime to Career Copilot and CHI v2, closing the maturity gap identified in §10.</w:t>
      </w:r>
    </w:p>
    <w:p>
      <w:pPr>
        <w:pStyle w:val="BodyText"/>
      </w:pPr>
      <w:r>
        <w:rPr>
          <w:bCs/>
          <w:b/>
        </w:rPr>
        <w:t xml:space="preserve">Medium-term improvements.</w:t>
      </w:r>
      <w:r>
        <w:t xml:space="preserve"> </w:t>
      </w:r>
      <w:r>
        <w:t xml:space="preserve">Build a student/advisor-facing appeal or override mechanism for AI-assisted decisions — the single most consequential Responsible AI gap this assessment found no repository evidence for.</w:t>
      </w:r>
    </w:p>
    <w:p>
      <w:pPr>
        <w:pStyle w:val="BodyText"/>
      </w:pPr>
      <w:r>
        <w:rPr>
          <w:bCs/>
          <w:b/>
        </w:rPr>
        <w:t xml:space="preserve">Long-term evolution.</w:t>
      </w:r>
      <w:r>
        <w:t xml:space="preserve"> </w:t>
      </w:r>
      <w:r>
        <w:t xml:space="preserve">Ratify further Decision Runtime types strictly via the per-type ADR precedent (§15 Decision 1); build Outcome Intelligence AI once its knowledge prerequisite (EEP-02 Phase F) is operational; revisit Fairness Gate Phase 2 only upon a separately governed human data-sourcing decision.</w:t>
      </w:r>
    </w:p>
    <w:p>
      <w:pPr>
        <w:pStyle w:val="BodyText"/>
      </w:pPr>
      <w:r>
        <w:rPr>
          <w:bCs/>
          <w:b/>
        </w:rPr>
        <w:t xml:space="preserve">Strategic investments.</w:t>
      </w:r>
      <w:r>
        <w:t xml:space="preserve"> </w:t>
      </w:r>
      <w:r>
        <w:t xml:space="preserve">The single highest-leverage investment this assessment identifies is generalizing the WP-XAI2 governance discipline itself — independent, source-re-deriving, multi-stage verification before any AI capability is called</w:t>
      </w:r>
      <w:r>
        <w:t xml:space="preserve"> </w:t>
      </w:r>
      <w:r>
        <w:t xml:space="preserve">“</w:t>
      </w:r>
      <w:r>
        <w:t xml:space="preserve">trusted</w:t>
      </w:r>
      <w:r>
        <w:t xml:space="preserve">”</w:t>
      </w:r>
      <w:r>
        <w:t xml:space="preserve"> </w:t>
      </w:r>
      <w:r>
        <w:t xml:space="preserve">— from the Decision Runtime, where it originated, to every other AI business capability in this landscape. That discipline, not any specific model or feature, is HireRise’s actual Responsible AI moat as evidenced by this repository.</w:t>
      </w:r>
    </w:p>
    <w:p>
      <w:r>
        <w:pict>
          <v:rect style="width:0;height:1.5pt" o:hralign="center" o:hrstd="t" o:hr="t"/>
        </w:pict>
      </w:r>
    </w:p>
    <w:p>
      <w:pPr>
        <w:pStyle w:val="FirstParagraph"/>
      </w:pPr>
      <w:r>
        <w:rPr>
          <w:iCs/>
          <w:i/>
        </w:rPr>
        <w:t xml:space="preserve">End of EEP-02 Phase G — Enterprise AI Business Architecture. This document does not begin EEP-02 Phase H or any subsequent phase, and does not redesign EEP-01 Phase F.</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2026-07-08T08:21:33Z</dcterms:created>
  <dcterms:modified xsi:type="dcterms:W3CDTF">2026-07-08T08:21:33Z</dcterms:modified>
</cp:coreProperties>
</file>

<file path=docProps/custom.xml><?xml version="1.0" encoding="utf-8"?>
<Properties xmlns="http://schemas.openxmlformats.org/officeDocument/2006/custom-properties" xmlns:vt="http://schemas.openxmlformats.org/officeDocument/2006/docPropsVTypes"/>
</file>