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HireRise Career Intelligence Platform</w:t>
      </w:r>
      <w:r>
        <w:t xml:space="preserve"> </w:t>
      </w:r>
      <w:r>
        <w:t xml:space="preserve">Enterprise Operating Model Architecture</w:t>
      </w:r>
      <w:r>
        <w:t xml:space="preserve"> </w:t>
      </w:r>
      <w:r>
        <w:t xml:space="preserve">EEP-02 — Enterprise Engineering Program, Phase H</w:t>
      </w:r>
    </w:p>
    <w:p>
      <w:pPr>
        <w:pStyle w:val="BodyText"/>
      </w:pPr>
      <w:r>
        <w:t xml:space="preserve">Document status: Canonical — Phase H only, per program constraint</w:t>
      </w:r>
      <w:r>
        <w:t xml:space="preserve"> </w:t>
      </w:r>
      <w:r>
        <w:t xml:space="preserve">Version 1.0 — July 2026</w:t>
      </w:r>
      <w:r>
        <w:t xml:space="preserve"> </w:t>
      </w:r>
      <w:r>
        <w:t xml:space="preserve">Prepared as a combined Enterprise Operating Model / Governance / Organization Design deliverable</w:t>
      </w:r>
      <w:r>
        <w:t xml:space="preserve"> </w:t>
      </w:r>
      <w:r>
        <w:t xml:space="preserve">Built on, and traceable to, EEP-01 (Enterprise Technical Architecture, Phases A–J, in particular Phase H — Enterprise Operations, Governance &amp; Service Management Architecture) and the completed EEP-02 Phases A–G (Business Capability, Business Domain, Value Stream, Business Service, Business Process, Knowledge &amp; Intelligence, and AI Business Architecture)</w:t>
      </w:r>
    </w:p>
    <w:bookmarkStart w:id="20" w:name="how-to-read-this-document"/>
    <w:p>
      <w:pPr>
        <w:pStyle w:val="Heading2"/>
      </w:pPr>
      <w:r>
        <w:t xml:space="preserve">How to Read This Document</w:t>
      </w:r>
    </w:p>
    <w:p>
      <w:pPr>
        <w:pStyle w:val="FirstParagraph"/>
      </w:pPr>
      <w:r>
        <w:t xml:space="preserve">This document follows the evidentiary discipline established across EEP-01 and EEP-02 Phases A–G: every operating-model statement is grounded in the HireRise repository — its Architecture Review Board (ARB) governance record (</w:t>
      </w:r>
      <w:r>
        <w:rPr>
          <w:rStyle w:val="VerbatimChar"/>
        </w:rPr>
        <w:t xml:space="preserve">documents/WP-ARB-01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documents/ACR-01</w:t>
      </w:r>
      <w:r>
        <w:t xml:space="preserve">), its automated governance CI (</w:t>
      </w:r>
      <w:r>
        <w:rPr>
          <w:rStyle w:val="VerbatimChar"/>
        </w:rPr>
        <w:t xml:space="preserve">.github/workflows/governance.yml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core/src/infrastructure/governance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core/docs/governance</w:t>
      </w:r>
      <w:r>
        <w:t xml:space="preserve">), its admin/platform-administration module (</w:t>
      </w:r>
      <w:r>
        <w:rPr>
          <w:rStyle w:val="VerbatimChar"/>
        </w:rPr>
        <w:t xml:space="preserve">core/src/modules/admin</w:t>
      </w:r>
      <w:r>
        <w:t xml:space="preserve">), and the full chain of completed work-package governance across EEP-01, EEP-02 Phases A–G, and the XAI-1/XAI-2 series — not a generic industry operating-model template relabeled with HireRise’s name.</w:t>
      </w:r>
    </w:p>
    <w:p>
      <w:pPr>
        <w:pStyle w:val="BodyText"/>
      </w:pPr>
      <w:r>
        <w:t xml:space="preserve">Two conventions carry over unchanged: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CURRENT STATE</w:t>
      </w:r>
      <w:r>
        <w:t xml:space="preserve"> </w:t>
      </w:r>
      <w:r>
        <w:t xml:space="preserve">describes an operating-model element — an ownership pattern, a governance mechanism, a decision right — that exists in the repository today, evidenced by a named document, role, workflow, or module.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TARGET STATE</w:t>
      </w:r>
      <w:r>
        <w:t xml:space="preserve"> </w:t>
      </w:r>
      <w:r>
        <w:t xml:space="preserve">describes an operating-model element HireRise does not yet have, expressed as a reference point to grow into — with an explicit, measurable adoption trigger, never an unconditional roadmap commitment.</w:t>
      </w:r>
    </w:p>
    <w:p>
      <w:pPr>
        <w:pStyle w:val="FirstParagraph"/>
      </w:pPr>
      <w:r>
        <w:t xml:space="preserve">The methodological note carried forward from every prior EEP-01 and EEP-02 phase is the single most load-bearing convention in this particular document: the engineering evidence throughout this repository — one integrated codebase, a small number of contributors, one CI pipeline, no separated business functions — indicates a small, high-leverage team. Phase H is where that fact must be taken most seriously, because an operating-model document is precisely the kind of document that tempts invention of departments, committees, and RACI grids that look</w:t>
      </w:r>
      <w:r>
        <w:t xml:space="preserve"> </w:t>
      </w:r>
      <w:r>
        <w:t xml:space="preserve">“</w:t>
      </w:r>
      <w:r>
        <w:t xml:space="preserve">enterprise</w:t>
      </w:r>
      <w:r>
        <w:t xml:space="preserve">”</w:t>
      </w:r>
      <w:r>
        <w:t xml:space="preserve"> </w:t>
      </w:r>
      <w:r>
        <w:t xml:space="preserve">but describe no one who actually exists. This document does not do that. Where the repository’s own governance record already uses enterprise-sounding role titles (e.g.,</w:t>
      </w:r>
      <w:r>
        <w:t xml:space="preserve"> </w:t>
      </w:r>
      <w:r>
        <w:t xml:space="preserve">“</w:t>
      </w:r>
      <w:r>
        <w:t xml:space="preserve">ARB Chair,</w:t>
      </w:r>
      <w:r>
        <w:t xml:space="preserve">”</w:t>
      </w:r>
      <w:r>
        <w:t xml:space="preserve"> </w:t>
      </w:r>
      <w:r>
        <w:t xml:space="preserve">“</w:t>
      </w:r>
      <w:r>
        <w:t xml:space="preserve">Principal Runtime Architect</w:t>
      </w:r>
      <w:r>
        <w:t xml:space="preserve">”</w:t>
      </w:r>
      <w:r>
        <w:t xml:space="preserve">), this document treats them as evidenced</w:t>
      </w:r>
      <w:r>
        <w:t xml:space="preserve"> </w:t>
      </w:r>
      <w:r>
        <w:rPr>
          <w:bCs/>
          <w:b/>
        </w:rPr>
        <w:t xml:space="preserve">review roles a small team formally holds during governance events</w:t>
      </w:r>
      <w:r>
        <w:t xml:space="preserve">, not as evidence of a large distinct organization — and says so explicitly rather than silently amplifying the titles into departments.</w:t>
      </w:r>
    </w:p>
    <w:p>
      <w:pPr>
        <w:pStyle w:val="BodyText"/>
      </w:pPr>
      <w:r>
        <w:t xml:space="preserve">This document is Phase H of EEP-02 only. It defines how HireRise is organized, owns, decides, and governs itself as a business — reusing EEP-02 Phases A–G and EEP-01 Phase H without redesigning either. It is not an org chart, an HR document, an IT operating model, or a technical operations architecture — runtime operations, SRE, monitoring, and incident management remain EEP-01 Phase H’s canonical territory.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rPr>
          <w:bCs/>
          <w:b/>
        </w:rPr>
        <w:t xml:space="preserve">Enterprise operating vision.</w:t>
      </w:r>
      <w:r>
        <w:t xml:space="preserve"> </w:t>
      </w:r>
      <w:r>
        <w:t xml:space="preserve">HireRise operates as a small, high-leverage engineering-and-product team that has, unusually for its size, already built a rigorous</w:t>
      </w:r>
      <w:r>
        <w:t xml:space="preserve"> </w:t>
      </w:r>
      <w:r>
        <w:rPr>
          <w:iCs/>
          <w:i/>
        </w:rPr>
        <w:t xml:space="preserve">document-and-CI-based</w:t>
      </w:r>
      <w:r>
        <w:t xml:space="preserve"> </w:t>
      </w:r>
      <w:r>
        <w:t xml:space="preserve">governance discipline in place of a</w:t>
      </w:r>
      <w:r>
        <w:t xml:space="preserve"> </w:t>
      </w:r>
      <w:r>
        <w:rPr>
          <w:iCs/>
          <w:i/>
        </w:rPr>
        <w:t xml:space="preserve">committee-based</w:t>
      </w:r>
      <w:r>
        <w:t xml:space="preserve"> </w:t>
      </w:r>
      <w:r>
        <w:t xml:space="preserve">one. The operating vision this document ratifies is to keep it that way deliberately: govern through frozen documents, ratified ADRs, and enforced CI checks for as long as team scale allows it, and add organizational structure only when evidenced friction — not aspiration — demands it.</w:t>
      </w:r>
    </w:p>
    <w:p>
      <w:pPr>
        <w:pStyle w:val="BodyText"/>
      </w:pPr>
      <w:r>
        <w:rPr>
          <w:bCs/>
          <w:b/>
        </w:rPr>
        <w:t xml:space="preserve">Business operating philosophy.</w:t>
      </w:r>
      <w:r>
        <w:t xml:space="preserve"> </w:t>
      </w:r>
      <w:r>
        <w:t xml:space="preserve">Decisions are made by the smallest accountable unit that has the evidence to make them, recorded in a durable artifact (an ADR, a closure review, a CI rule), and never left as an implicit understanding. The WP-ARB-01 and XAI-2 governance record (EEP-02 Phase G §8) demonstrates this philosophy operating in practice: conditional approvals, explicitly named open risks, and re-verification checkpoints, not verbal sign-off.</w:t>
      </w:r>
    </w:p>
    <w:p>
      <w:pPr>
        <w:pStyle w:val="BodyText"/>
      </w:pPr>
      <w:r>
        <w:rPr>
          <w:bCs/>
          <w:b/>
        </w:rPr>
        <w:t xml:space="preserve">Architecture objectives.</w:t>
      </w:r>
      <w:r>
        <w:t xml:space="preserve"> </w:t>
      </w:r>
      <w:r>
        <w:t xml:space="preserve">(1) State, without invention, who owns what across business capabilities, domains, knowledge, and AI (EEP-02 Phases A, B, F, G). (2) Make decision rights explicit — which decisions are architectural, which are business, which are operational — and who holds each. (3) Describe governance as it is actually practiced (ARB review events, automated CI governance) rather than as a conventional enterprise governance org would be described. (4) Provide adoption triggers for every piece of additional organizational structure this document declines to introduce today.</w:t>
      </w:r>
    </w:p>
    <w:p>
      <w:pPr>
        <w:pStyle w:val="BodyText"/>
      </w:pPr>
      <w:r>
        <w:rPr>
          <w:bCs/>
          <w:b/>
        </w:rPr>
        <w:t xml:space="preserve">Expected business outcomes.</w:t>
      </w:r>
      <w:r>
        <w:t xml:space="preserve"> </w:t>
      </w:r>
      <w:r>
        <w:t xml:space="preserve">A defensible, evidence-based account of HireRise’s operating model suitable for investor, partner, or regulator review; a clear point at which to introduce additional governance structure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it becomes a bottleneck, not after; continuity of the trust discipline already proven in the XAI-2 governance record as the platform and its knowledge/AI capabilities (Phases F, G) grow.</w:t>
      </w:r>
    </w:p>
    <w:p>
      <w:r>
        <w:pict>
          <v:rect style="width:0;height:1.5pt" o:hralign="center" o:hrstd="t" o:hr="t"/>
        </w:pict>
      </w:r>
    </w:p>
    <w:bookmarkEnd w:id="21"/>
    <w:bookmarkStart w:id="29" w:name="current-state-assessment"/>
    <w:p>
      <w:pPr>
        <w:pStyle w:val="Heading2"/>
      </w:pPr>
      <w:r>
        <w:t xml:space="preserve">2. Current State Assessment</w:t>
      </w:r>
    </w:p>
    <w:bookmarkStart w:id="22" w:name="current-operating-model"/>
    <w:p>
      <w:pPr>
        <w:pStyle w:val="Heading3"/>
      </w:pPr>
      <w:r>
        <w:t xml:space="preserve">2.1 Current operating model</w:t>
      </w:r>
    </w:p>
    <w:p>
      <w:pPr>
        <w:pStyle w:val="FirstParagraph"/>
      </w:pPr>
      <w:r>
        <w:t xml:space="preserve">HireRise’s evidenced operating model is</w:t>
      </w:r>
      <w:r>
        <w:t xml:space="preserve"> </w:t>
      </w:r>
      <w:r>
        <w:rPr>
          <w:bCs/>
          <w:b/>
        </w:rPr>
        <w:t xml:space="preserve">unified engineering-led ownership with document-and-CI governance</w:t>
      </w:r>
      <w:r>
        <w:t xml:space="preserve">, not a multi-function enterprise structure. There is no repository evidence of separate business, product, and engineering organizations — one integrated codebase (</w:t>
      </w:r>
      <w:r>
        <w:rPr>
          <w:rStyle w:val="VerbatimChar"/>
        </w:rPr>
        <w:t xml:space="preserve">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front</w:t>
      </w:r>
      <w:r>
        <w:t xml:space="preserve">), one CI pipeline (</w:t>
      </w:r>
      <w:r>
        <w:rPr>
          <w:rStyle w:val="VerbatimChar"/>
        </w:rPr>
        <w:t xml:space="preserve">.github/workflows/governance.yml</w:t>
      </w:r>
      <w:r>
        <w:t xml:space="preserve">), and a single, cross-cutting Architecture Review Board that convenes for governance events rather than operating as a standing department.</w:t>
      </w:r>
    </w:p>
    <w:bookmarkEnd w:id="22"/>
    <w:bookmarkStart w:id="23" w:name="current-ownership"/>
    <w:p>
      <w:pPr>
        <w:pStyle w:val="Heading3"/>
      </w:pPr>
      <w:r>
        <w:t xml:space="preserve">2.2 Current ownership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Domain/capability ownership</w:t>
      </w:r>
      <w:r>
        <w:t xml:space="preserve"> </w:t>
      </w:r>
      <w:r>
        <w:t xml:space="preserve">is evidenced structurally, not organizationally:</w:t>
      </w:r>
      <w:r>
        <w:t xml:space="preserve"> </w:t>
      </w:r>
      <w:r>
        <w:rPr>
          <w:rStyle w:val="VerbatimChar"/>
        </w:rPr>
        <w:t xml:space="preserve">core/src/modules/*</w:t>
      </w:r>
      <w:r>
        <w:t xml:space="preserve"> </w:t>
      </w:r>
      <w:r>
        <w:t xml:space="preserve">boundaries (reused from EEP-02 Phase B domain boundaries) are the operating unit of ownership — each module is the de facto owned unit, with no evidence of named individual or team owners beyond the module boundary itself.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Knowledge stewardship</w:t>
      </w:r>
      <w:r>
        <w:t xml:space="preserve"> </w:t>
      </w:r>
      <w:r>
        <w:t xml:space="preserve">is design-complete but not yet staffed (EEP-02 Phase F §7): the three-tier Knowledge Governance Council / Domain Knowledge Officer / Curation Team model exists on paper (WP-KD-01) with no repository evidence of an operating instance.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AI stewardship</w:t>
      </w:r>
      <w:r>
        <w:t xml:space="preserve"> </w:t>
      </w:r>
      <w:r>
        <w:t xml:space="preserve">is the most mature ownership pattern evidenced: the ARB is the confirmed, active, evidenced governing body for AI/decision-runtime capability scope (EEP-02 Phase G §8), operating through ratified ADRs (e.g., WP-XAI2-04) rather than a standing committee.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Platform administration</w:t>
      </w:r>
      <w:r>
        <w:t xml:space="preserve"> </w:t>
      </w:r>
      <w:r>
        <w:t xml:space="preserve">is a real, implemented capability (</w:t>
      </w:r>
      <w:r>
        <w:rPr>
          <w:rStyle w:val="VerbatimChar"/>
        </w:rPr>
        <w:t xml:space="preserve">core/src/modules/admin</w:t>
      </w:r>
      <w:r>
        <w:t xml:space="preserve"> </w:t>
      </w:r>
      <w:r>
        <w:t xml:space="preserve">— graph import/admin, CMS generic factory, signal lineage, job/import administration) — the operational locus for platform-level administrative decisions, distinct from architectural governance.</w:t>
      </w:r>
    </w:p>
    <w:bookmarkEnd w:id="23"/>
    <w:bookmarkStart w:id="24" w:name="current-governance"/>
    <w:p>
      <w:pPr>
        <w:pStyle w:val="Heading3"/>
      </w:pPr>
      <w:r>
        <w:t xml:space="preserve">2.3 Current governance</w:t>
      </w:r>
    </w:p>
    <w:p>
      <w:pPr>
        <w:pStyle w:val="FirstParagraph"/>
      </w:pPr>
      <w:r>
        <w:t xml:space="preserve">Two governance mechanisms are evidenced, and they are different in kind: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Document-based architecture governance</w:t>
      </w:r>
      <w:r>
        <w:t xml:space="preserve"> </w:t>
      </w:r>
      <w:r>
        <w:t xml:space="preserve">— the ARB review chain (</w:t>
      </w:r>
      <w:r>
        <w:rPr>
          <w:rStyle w:val="VerbatimChar"/>
        </w:rPr>
        <w:t xml:space="preserve">WP-ARB-01/ARB_FINAL_DECISION.md</w:t>
      </w:r>
      <w:r>
        <w:t xml:space="preserve">, the ACR-01 conformance-report series:</w:t>
      </w:r>
      <w:r>
        <w:t xml:space="preserve"> </w:t>
      </w:r>
      <w:r>
        <w:rPr>
          <w:rStyle w:val="VerbatimChar"/>
        </w:rPr>
        <w:t xml:space="preserve">ARCHITECTURE_GOVERNANCE_SCORECARD.md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SECURITY_CONFORMANCE_REPORT.md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REPOSITORY_CONFORMANCE_REPORT.md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TECHNICAL_DEBT_REGISTER.md</w:t>
      </w:r>
      <w:r>
        <w:t xml:space="preserve">, and others) and the XAI-2 Implementation → Verification → Closure discipline (EEP-02 Phase G §6). This is deliberate, human, evidence-re-deriving governance, used for capability-scope and trust-bearing decisions.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Automated CI governance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.github/workflows/governance.yml</w:t>
      </w:r>
      <w:r>
        <w:t xml:space="preserve"> </w:t>
      </w:r>
      <w:r>
        <w:t xml:space="preserve">runs on every pull request: frontend and backend linting with zero-warning tolerance, circular-dependency detection (</w:t>
      </w:r>
      <w:r>
        <w:rPr>
          <w:rStyle w:val="VerbatimChar"/>
        </w:rPr>
        <w:t xml:space="preserve">madge --circular</w:t>
      </w:r>
      <w:r>
        <w:t xml:space="preserve">), and architectural dependency-rule validation (</w:t>
      </w:r>
      <w:r>
        <w:rPr>
          <w:rStyle w:val="VerbatimChar"/>
        </w:rPr>
        <w:t xml:space="preserve">depcruise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.dependency-cruiser.cjs</w:t>
      </w:r>
      <w:r>
        <w:t xml:space="preserve">). This is continuous, non-human, structural governance, enforcing module-boundary discipline on every change without requiring a human review event.</w:t>
      </w:r>
    </w:p>
    <w:p>
      <w:pPr>
        <w:pStyle w:val="FirstParagraph"/>
      </w:pPr>
      <w:r>
        <w:t xml:space="preserve">The combination — human governance for scope/trust decisions, automated governance for structural/dependency discipline — is itself the most important, and most repository-evidenced, finding of this operating-model assessment.</w:t>
      </w:r>
    </w:p>
    <w:bookmarkEnd w:id="24"/>
    <w:bookmarkStart w:id="25" w:name="current-decision-making"/>
    <w:p>
      <w:pPr>
        <w:pStyle w:val="Heading3"/>
      </w:pPr>
      <w:r>
        <w:t xml:space="preserve">2.4 Current decision making</w:t>
      </w:r>
    </w:p>
    <w:p>
      <w:pPr>
        <w:pStyle w:val="FirstParagraph"/>
      </w:pPr>
      <w:r>
        <w:t xml:space="preserve">WP-ARB-01’s</w:t>
      </w:r>
      <w:r>
        <w:t xml:space="preserve"> </w:t>
      </w:r>
      <w:r>
        <w:rPr>
          <w:rStyle w:val="VerbatimChar"/>
        </w:rPr>
        <w:t xml:space="preserve">ARB_FINAL_DECISION.md</w:t>
      </w:r>
      <w:r>
        <w:t xml:space="preserve"> </w:t>
      </w:r>
      <w:r>
        <w:t xml:space="preserve">is the clearest evidenced example of the operating decision-making pattern: a conditional approval, with named, numbered conditions, an explicit distinction between architecture gaps / implementation gaps / future roadmap items, and named sign-off roles. This pattern — not a generic</w:t>
      </w:r>
      <w:r>
        <w:t xml:space="preserve"> </w:t>
      </w:r>
      <w:r>
        <w:t xml:space="preserve">“</w:t>
      </w:r>
      <w:r>
        <w:t xml:space="preserve">leadership decides</w:t>
      </w:r>
      <w:r>
        <w:t xml:space="preserve">”</w:t>
      </w:r>
      <w:r>
        <w:t xml:space="preserve"> </w:t>
      </w:r>
      <w:r>
        <w:t xml:space="preserve">model — is what this document formalizes in §6.</w:t>
      </w:r>
    </w:p>
    <w:bookmarkEnd w:id="25"/>
    <w:bookmarkStart w:id="26" w:name="repository-evidence"/>
    <w:p>
      <w:pPr>
        <w:pStyle w:val="Heading3"/>
      </w:pPr>
      <w:r>
        <w:t xml:space="preserve">2.5 Repository evidence</w:t>
      </w:r>
    </w:p>
    <w:p>
      <w:pPr>
        <w:pStyle w:val="FirstParagraph"/>
      </w:pPr>
      <w:r>
        <w:t xml:space="preserve">Primary evidence:</w:t>
      </w:r>
      <w:r>
        <w:t xml:space="preserve"> </w:t>
      </w:r>
      <w:r>
        <w:rPr>
          <w:rStyle w:val="VerbatimChar"/>
        </w:rPr>
        <w:t xml:space="preserve">documents/WP-ARB-01/*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documents/ACR-01/*</w:t>
      </w:r>
      <w:r>
        <w:t xml:space="preserve">,</w:t>
      </w:r>
      <w:r>
        <w:t xml:space="preserve"> </w:t>
      </w:r>
      <w:r>
        <w:rPr>
          <w:rStyle w:val="VerbatimChar"/>
        </w:rPr>
        <w:t xml:space="preserve">.github/workflows/governance.yml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core/src/infrastructure/governance/replayPolicy.engine.js</w:t>
      </w:r>
      <w:r>
        <w:t xml:space="preserve">,</w:t>
      </w:r>
      <w:r>
        <w:t xml:space="preserve"> </w:t>
      </w:r>
      <w:r>
        <w:rPr>
          <w:rStyle w:val="VerbatimChar"/>
        </w:rPr>
        <w:t xml:space="preserve">core/docs/governance/phase4a-governance-validation.md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core/docs/governance/violation-classification.md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core/src/modules/admin/*</w:t>
      </w:r>
      <w:r>
        <w:t xml:space="preserve">, and the full EEP-02 Phase A–G document set this phase reuses.</w:t>
      </w:r>
    </w:p>
    <w:bookmarkEnd w:id="26"/>
    <w:bookmarkStart w:id="27" w:name="organizational-constraints"/>
    <w:p>
      <w:pPr>
        <w:pStyle w:val="Heading3"/>
      </w:pPr>
      <w:r>
        <w:t xml:space="preserve">2.6 Organizational constraints</w:t>
      </w:r>
    </w:p>
    <w:p>
      <w:pPr>
        <w:pStyle w:val="FirstParagraph"/>
      </w:pPr>
      <w:r>
        <w:t xml:space="preserve">No repository evidence supports departments, a headcount structure, reporting lines, or HR-organization detail — and per this program’s own instruction, none is invented. The operating model described here is a governance-and-ownership model, not an org chart.</w:t>
      </w:r>
    </w:p>
    <w:bookmarkEnd w:id="27"/>
    <w:bookmarkStart w:id="28" w:name="operating-gaps"/>
    <w:p>
      <w:pPr>
        <w:pStyle w:val="Heading3"/>
      </w:pPr>
      <w:r>
        <w:t xml:space="preserve">2.7 Operating gaps</w:t>
      </w:r>
    </w:p>
    <w:p>
      <w:pPr>
        <w:numPr>
          <w:ilvl w:val="0"/>
          <w:numId w:val="1004"/>
        </w:numPr>
        <w:pStyle w:val="Compact"/>
      </w:pPr>
      <w:r>
        <w:t xml:space="preserve">No evidence of an operating Knowledge Governance Council or Domain Knowledge Officer role (EEP-02 Phase F §7) — stewardship remains architecturally designed, not organizationally staffed.</w:t>
      </w:r>
    </w:p>
    <w:p>
      <w:pPr>
        <w:numPr>
          <w:ilvl w:val="0"/>
          <w:numId w:val="1004"/>
        </w:numPr>
        <w:pStyle w:val="Compact"/>
      </w:pPr>
      <w:r>
        <w:t xml:space="preserve">No evidence of a defined escalation path for a business (as opposed to architectural) disagreement — the ARB’s evidenced authority is architecture/AI-capability scope, not general business decision-making.</w:t>
      </w:r>
    </w:p>
    <w:p>
      <w:pPr>
        <w:numPr>
          <w:ilvl w:val="0"/>
          <w:numId w:val="1004"/>
        </w:numPr>
        <w:pStyle w:val="Compact"/>
      </w:pPr>
      <w:r>
        <w:t xml:space="preserve">No evidence of a Product Owner or Business Owner role distinct from the engineering function that also performs architecture review — the same small team appears to hold both hats, consistent with the small-team methodological note.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enterprise-operating-principles"/>
    <w:p>
      <w:pPr>
        <w:pStyle w:val="Heading2"/>
      </w:pPr>
      <w:r>
        <w:t xml:space="preserve">3. Enterprise Operating Principles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Principle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Ownership is structural (module boundary) before it is organizational (named role)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core/src/modules/*</w:t>
            </w:r>
            <w:r>
              <w:t xml:space="preserve"> </w:t>
            </w:r>
            <w:r>
              <w:t xml:space="preserve">boundaries; no named-owner evidence beyond module 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governance decision is a durable, named artifact — never a verbal or implicit understanding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WP-ARB-01</w:t>
            </w:r>
            <w:r>
              <w:t xml:space="preserve"> </w:t>
            </w:r>
            <w:r>
              <w:rPr>
                <w:rStyle w:val="VerbatimChar"/>
              </w:rPr>
              <w:t xml:space="preserve">ARB_FINAL_DECISION.md</w:t>
            </w:r>
            <w:r>
              <w:t xml:space="preserve">; XAI-2 closure review series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 transparency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Conditions, risks, and open gaps are named explicitly, not smoothed into an unconditional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WP-ARB-01 four numbered conditions; ADR-01</w:t>
            </w:r>
            <w:r>
              <w:t xml:space="preserve"> </w:t>
            </w:r>
            <w:r>
              <w:t xml:space="preserve">“</w:t>
            </w:r>
            <w:r>
              <w:t xml:space="preserve">Consequences</w:t>
            </w:r>
            <w:r>
              <w:t xml:space="preserve">”</w:t>
            </w:r>
            <w:r>
              <w:t xml:space="preserve"> </w:t>
            </w:r>
            <w:r>
              <w:t xml:space="preserve">disclosure pattern (EEP-02 Phase 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Cross-domain collaboration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Collaboration happens through shared, versioned, canonical artifacts (HKP, frozen architecture documents), not standing liaison 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EEP-02 Phase F Canonical Entity Model; WP-DIF-01 frozen references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stewardship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Designed for eventual multi-tier stewardship, operated today by the same team that builds the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EEP-02 Phase F §7; WP-KD-01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stewardship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ARB is the standing, evidenced authority for AI/decision capability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EEP-02 Phase G §8; WP-XAI2-04 ADR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Continuous improvement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re-derives from source at every governance stage rather than trusting prior self-report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XAI-2 Implementation → Verification → Closure discipline (repeated across all six WP-XAI2 items)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agility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is proportionate — automated CI for every change, human ARB review only for capability-scope or trust-bearing decisions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.github/workflows/governance.yml</w:t>
            </w:r>
            <w:r>
              <w:t xml:space="preserve"> </w:t>
            </w:r>
            <w:r>
              <w:t xml:space="preserve">vs. </w:t>
            </w:r>
            <w:r>
              <w:rPr>
                <w:rStyle w:val="VerbatimChar"/>
              </w:rPr>
              <w:t xml:space="preserve">WP-ARB-01</w:t>
            </w:r>
            <w:r>
              <w:t xml:space="preserve">/XAI-2 review cadence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Technology independence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document describes ownership and decision rights, never a specific tool, database, or AI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with EEP-01/EEP-02’s technology-independence principle throughout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enterprise-operating-model"/>
    <w:p>
      <w:pPr>
        <w:pStyle w:val="Heading2"/>
      </w:pPr>
      <w:r>
        <w:t xml:space="preserve">4. Enterprise Operating Model</w:t>
      </w:r>
    </w:p>
    <w:p>
      <w:pPr>
        <w:pStyle w:val="FirstParagraph"/>
      </w:pPr>
      <w:r>
        <w:rPr>
          <w:bCs/>
          <w:b/>
        </w:rPr>
        <w:t xml:space="preserve">Business ownership model.</w:t>
      </w:r>
      <w:r>
        <w:t xml:space="preserve"> </w:t>
      </w:r>
      <w:r>
        <w:t xml:space="preserve">Ownership is currently exercised at the module/capability level (EEP-02 Phase A capability catalog maps directly onto</w:t>
      </w:r>
      <w:r>
        <w:t xml:space="preserve"> </w:t>
      </w:r>
      <w:r>
        <w:rPr>
          <w:rStyle w:val="VerbatimChar"/>
        </w:rPr>
        <w:t xml:space="preserve">core/src/modules/*</w:t>
      </w:r>
      <w:r>
        <w:t xml:space="preserve"> </w:t>
      </w:r>
      <w:r>
        <w:t xml:space="preserve">boundaries) by the single engineering-and-product function evidenced in the repository. There is no evidence of a separate business-ownership layer above that function.</w:t>
      </w:r>
    </w:p>
    <w:p>
      <w:pPr>
        <w:pStyle w:val="BodyText"/>
      </w:pPr>
      <w:r>
        <w:rPr>
          <w:bCs/>
          <w:b/>
        </w:rPr>
        <w:t xml:space="preserve">Product ownership model.</w:t>
      </w:r>
      <w:r>
        <w:t xml:space="preserve"> </w:t>
      </w:r>
      <w:r>
        <w:t xml:space="preserve">Not separately evidenced from engineering ownership — flagged as a TARGET STATE gap (§10) rather than assumed to exist.</w:t>
      </w:r>
    </w:p>
    <w:p>
      <w:pPr>
        <w:pStyle w:val="BodyText"/>
      </w:pPr>
      <w:r>
        <w:rPr>
          <w:bCs/>
          <w:b/>
        </w:rPr>
        <w:t xml:space="preserve">Domain ownership model.</w:t>
      </w:r>
      <w:r>
        <w:t xml:space="preserve"> </w:t>
      </w:r>
      <w:r>
        <w:t xml:space="preserve">Reused directly from EEP-02 Phase B’s eight business domains; each domain’s ownership is the same structural, module-boundary pattern described above.</w:t>
      </w:r>
    </w:p>
    <w:p>
      <w:pPr>
        <w:pStyle w:val="BodyText"/>
      </w:pPr>
      <w:r>
        <w:rPr>
          <w:bCs/>
          <w:b/>
        </w:rPr>
        <w:t xml:space="preserve">Capability ownership model.</w:t>
      </w:r>
      <w:r>
        <w:t xml:space="preserve"> </w:t>
      </w:r>
      <w:r>
        <w:t xml:space="preserve">Reused from EEP-02 Phase A; capability ownership tracks 1:1 with the domain/module pattern.</w:t>
      </w:r>
    </w:p>
    <w:p>
      <w:pPr>
        <w:pStyle w:val="BodyText"/>
      </w:pPr>
      <w:r>
        <w:rPr>
          <w:bCs/>
          <w:b/>
        </w:rPr>
        <w:t xml:space="preserve">Knowledge stewardship model.</w:t>
      </w:r>
      <w:r>
        <w:t xml:space="preserve"> </w:t>
      </w:r>
      <w:r>
        <w:t xml:space="preserve">Design-complete three-tier model (EEP-02 Phase F §7) — Knowledge Governance Council, Domain Knowledge Officers, Knowledge Curation Team — currently unstaffed; operated today, de facto, by the engineering function that built</w:t>
      </w:r>
      <w:r>
        <w:t xml:space="preserve"> </w:t>
      </w:r>
      <w:r>
        <w:rPr>
          <w:rStyle w:val="VerbatimChar"/>
        </w:rPr>
        <w:t xml:space="preserve">knowledge-runtime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source-intelligence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AI governance model.</w:t>
      </w:r>
      <w:r>
        <w:t xml:space="preserve"> </w:t>
      </w:r>
      <w:r>
        <w:t xml:space="preserve">The ARB, operating through ratified ADRs and the Implementation → Verification → Closure discipline (EEP-02 Phase G §6, §8), is the evidenced, currently-operating AI governance model. This is the single most mature governance mechanism in the entire operating model.</w:t>
      </w:r>
    </w:p>
    <w:p>
      <w:pPr>
        <w:pStyle w:val="BodyText"/>
      </w:pPr>
      <w:r>
        <w:rPr>
          <w:bCs/>
          <w:b/>
        </w:rPr>
        <w:t xml:space="preserve">Enterprise governance model.</w:t>
      </w:r>
      <w:r>
        <w:t xml:space="preserve"> </w:t>
      </w:r>
      <w:r>
        <w:t xml:space="preserve">A two-layer model: automated CI governance (continuous, structural) beneath human ARB governance (episodic, scope/trust-bearing). §7 details both layers.</w:t>
      </w:r>
    </w:p>
    <w:p>
      <w:pPr>
        <w:pStyle w:val="BodyText"/>
      </w:pPr>
      <w:r>
        <w:rPr>
          <w:bCs/>
          <w:b/>
        </w:rPr>
        <w:t xml:space="preserve">Future operating model (TARGET STATE).</w:t>
      </w:r>
      <w:r>
        <w:t xml:space="preserve"> </w:t>
      </w:r>
      <w:r>
        <w:t xml:space="preserve">As capability count, contributor count, or external-partner surface grows, the model should evolve toward staffed knowledge stewardship (Phase F §7 trigger) and a distinct product-ownership function — but not before the evidenced triggers in §10/§13 fire.</w:t>
      </w:r>
    </w:p>
    <w:p>
      <w:r>
        <w:pict>
          <v:rect style="width:0;height:1.5pt" o:hralign="center" o:hrstd="t" o:hr="t"/>
        </w:pict>
      </w:r>
    </w:p>
    <w:bookmarkEnd w:id="31"/>
    <w:bookmarkStart w:id="32" w:name="enterprise-roles-responsibilities"/>
    <w:p>
      <w:pPr>
        <w:pStyle w:val="Heading2"/>
      </w:pPr>
      <w:r>
        <w:t xml:space="preserve">5. Enterprise Roles &amp; Responsibilities</w:t>
      </w:r>
    </w:p>
    <w:p>
      <w:pPr>
        <w:pStyle w:val="FirstParagraph"/>
      </w:pPr>
      <w:r>
        <w:t xml:space="preserve">Roles below are stated exactly as evidenced — as</w:t>
      </w:r>
      <w:r>
        <w:t xml:space="preserve"> </w:t>
      </w:r>
      <w:r>
        <w:rPr>
          <w:bCs/>
          <w:b/>
        </w:rPr>
        <w:t xml:space="preserve">review roles</w:t>
      </w:r>
      <w:r>
        <w:t xml:space="preserve">, not standing departmental positions, except where a role is a genuinely distinct operating function (Platform Administrator).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ARB Chair / Chief Enterprise Architect / Principal Runtime, Intelligence, Software, Decision Systems Architect / Principal Governance Engineer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WP-ARB-01/ARB_FINAL_DECISION.md</w:t>
            </w:r>
            <w:r>
              <w:t xml:space="preserve"> </w:t>
            </w:r>
            <w:r>
              <w:t xml:space="preserve">sign-off block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Review roles held by the same small team during a governance event</w:t>
            </w:r>
            <w:r>
              <w:t xml:space="preserve"> </w:t>
            </w:r>
            <w:r>
              <w:t xml:space="preserve">— not evidence of seven distinct people or departments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 Review Board (ARB)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WP-ARB-01, WP-XAI2-04, WP-XAI2-01A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single standing, evidenced governance body — convenes for capability-scope and trust decisions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 Administrator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core/src/modules/admin</w:t>
            </w:r>
            <w:r>
              <w:t xml:space="preserve"> </w:t>
            </w:r>
            <w:r>
              <w:t xml:space="preserve">(graph import, CMS generic factory, signal lineage, job administration)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genuinely distinct</w:t>
            </w:r>
            <w:r>
              <w:t xml:space="preserve"> </w:t>
            </w:r>
            <w:r>
              <w:rPr>
                <w:bCs/>
                <w:b/>
              </w:rPr>
              <w:t xml:space="preserve">operating function</w:t>
            </w:r>
            <w:r>
              <w:t xml:space="preserve"> </w:t>
            </w:r>
            <w:r>
              <w:t xml:space="preserve">(not a review role) — the evidenced locus of day-to-day platform administrative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Steward / Domain Knowledge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WP-KD-01 (design-complete)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Target</w:t>
            </w:r>
            <w:r>
              <w:t xml:space="preserve"> </w:t>
            </w:r>
            <w:r>
              <w:t xml:space="preserve">— proposed role, not yet staffed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Steward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facto, the ARB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Current, but not a role distinct from the ARB itself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Owner / Business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evidenced as distinct from the engineering function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Target</w:t>
            </w:r>
            <w:r>
              <w:t xml:space="preserve"> </w:t>
            </w:r>
            <w:r>
              <w:t xml:space="preserve">— genuine gap, not invented 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Enterprise Architect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review-role caveat as ARB roles above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Current, as a review role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decision-rights-architecture"/>
    <w:p>
      <w:pPr>
        <w:pStyle w:val="Heading2"/>
      </w:pPr>
      <w:r>
        <w:t xml:space="preserve">6. Decision Rights Architecture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Decision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Decides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Strategic (e.g., international expansion, new market)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evidenced —</w:t>
            </w:r>
            <w:r>
              <w:t xml:space="preserve"> </w:t>
            </w:r>
            <w:r>
              <w:rPr>
                <w:bCs/>
                <w:b/>
              </w:rPr>
              <w:t xml:space="preserve">Target</w:t>
            </w:r>
            <w:r>
              <w:t xml:space="preserve">, no repository record of this decision class being exercised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(e.g., new consumer-facing capability)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facto the engineering-and-product function; no distinct business-decision record evidenced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(entity/relationship publication, quality gating)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Design-complete: Domain Knowledge Officer / Knowledge Governance Council (EEP-02 Phase F §7)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WP-KD-01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Governance Council (target)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(decision-type scope, fairness posture)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ARB</w:t>
            </w:r>
            <w:r>
              <w:t xml:space="preserve">, via ratified ADR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WP-XAI2-04, WP-XAI2-01A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further escalation evidenced beyond ARB — ARB is currently the terminal 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 (module boundaries, service contracts)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ARB</w:t>
            </w:r>
            <w:r>
              <w:t xml:space="preserve">, via conformance review (ACR-01 series) and conditional approval (WP-ARB-01 pattern)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ACR-01, WP-ARB-01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Re-verification checkpoint (WP-ARB-01 Condition 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(feature scope, UX)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evidenced as a distinct decision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 (day-to-day platform administration)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Administrator function, via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module capabilities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core/src/modules/admin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evidenced — presumed engineering-function level</w:t>
            </w:r>
          </w:p>
        </w:tc>
      </w:tr>
    </w:tbl>
    <w:p>
      <w:pPr>
        <w:pStyle w:val="BodyText"/>
      </w:pPr>
      <w:r>
        <w:rPr>
          <w:bCs/>
          <w:b/>
        </w:rPr>
        <w:t xml:space="preserve">Approval boundaries.</w:t>
      </w:r>
      <w:r>
        <w:t xml:space="preserve"> </w:t>
      </w:r>
      <w:r>
        <w:t xml:space="preserve">The clearest evidenced boundary: no new AI decision-type may ship without a ratified ADR tracing it to a named reasoning objective (EEP-02 Phase G §7) — this is a hard, evidenced approval boundary, reused here as the model for how future decision classes should define their own boundaries.</w:t>
      </w:r>
    </w:p>
    <w:p>
      <w:pPr>
        <w:pStyle w:val="BodyText"/>
      </w:pPr>
      <w:r>
        <w:rPr>
          <w:bCs/>
          <w:b/>
        </w:rPr>
        <w:t xml:space="preserve">Delegation principle.</w:t>
      </w:r>
      <w:r>
        <w:t xml:space="preserve"> </w:t>
      </w:r>
      <w:r>
        <w:t xml:space="preserve">Decisions are made by the smallest unit with the evidence to make them and documented as a durable artifact — this is observed practice (ARB conditional approvals, XAI-2 closure reviews), not merely a stated aspiration, and this document adopts it as the standing delegation principle for the operating model as a whole.</w:t>
      </w:r>
    </w:p>
    <w:p>
      <w:r>
        <w:pict>
          <v:rect style="width:0;height:1.5pt" o:hralign="center" o:hrstd="t" o:hr="t"/>
        </w:pict>
      </w:r>
    </w:p>
    <w:bookmarkEnd w:id="33"/>
    <w:bookmarkStart w:id="34" w:name="governance-architecture"/>
    <w:p>
      <w:pPr>
        <w:pStyle w:val="Heading2"/>
      </w:pPr>
      <w:r>
        <w:t xml:space="preserve">7. Governance Architecture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Business governance.</w:t>
      </w:r>
      <w:r>
        <w:t xml:space="preserve"> </w:t>
      </w:r>
      <w:r>
        <w:t xml:space="preserve">Not separately evidenced from architecture/AI governance — a genuine current-state gap, not filled with invented structure (§10).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Knowledge governance.</w:t>
      </w:r>
      <w:r>
        <w:t xml:space="preserve"> </w:t>
      </w:r>
      <w:r>
        <w:t xml:space="preserve">Reused from EEP-02 Phase F §7 — design-complete, unstaffed.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AI governance.</w:t>
      </w:r>
      <w:r>
        <w:t xml:space="preserve"> </w:t>
      </w:r>
      <w:r>
        <w:t xml:space="preserve">Reused from EEP-02 Phase G §8 — the ARB, operating via ratified ADRs and the Implementation → Verification → Closure discipline. This is the operating model’s most mature governance layer.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Architecture governance.</w:t>
      </w:r>
      <w:r>
        <w:t xml:space="preserve"> </w:t>
      </w:r>
      <w:r>
        <w:t xml:space="preserve">Two evidenced mechanisms, operating together:</w:t>
      </w:r>
    </w:p>
    <w:p>
      <w:pPr>
        <w:numPr>
          <w:ilvl w:val="1"/>
          <w:numId w:val="1006"/>
        </w:numPr>
        <w:pStyle w:val="Compact"/>
      </w:pPr>
      <w:r>
        <w:rPr>
          <w:iCs/>
          <w:i/>
        </w:rPr>
        <w:t xml:space="preserve">Automated:</w:t>
      </w:r>
      <w:r>
        <w:t xml:space="preserve"> </w:t>
      </w:r>
      <w:r>
        <w:rPr>
          <w:rStyle w:val="VerbatimChar"/>
        </w:rPr>
        <w:t xml:space="preserve">.github/workflows/governance.yml</w:t>
      </w:r>
      <w:r>
        <w:t xml:space="preserve"> </w:t>
      </w:r>
      <w:r>
        <w:t xml:space="preserve">— zero-warning linting, circular-dependency detection, and dependency-rule enforcement (</w:t>
      </w:r>
      <w:r>
        <w:rPr>
          <w:rStyle w:val="VerbatimChar"/>
        </w:rPr>
        <w:t xml:space="preserve">depcruise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.dependency-cruiser.cjs</w:t>
      </w:r>
      <w:r>
        <w:t xml:space="preserve">) on every pull request. This enforces the module-boundary discipline EEP-02 Phase B’s domain model depends on, continuously and without human review overhead.</w:t>
      </w:r>
    </w:p>
    <w:p>
      <w:pPr>
        <w:numPr>
          <w:ilvl w:val="1"/>
          <w:numId w:val="1006"/>
        </w:numPr>
        <w:pStyle w:val="Compact"/>
      </w:pPr>
      <w:r>
        <w:rPr>
          <w:iCs/>
          <w:i/>
        </w:rPr>
        <w:t xml:space="preserve">Human:</w:t>
      </w:r>
      <w:r>
        <w:t xml:space="preserve"> </w:t>
      </w:r>
      <w:r>
        <w:t xml:space="preserve">the ARB conformance-review chain (ACR-01 series — governance scorecard, security conformance, repository conformance, technical debt register) and the conditional-approval pattern (WP-ARB-01).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Product governance.</w:t>
      </w:r>
      <w:r>
        <w:t xml:space="preserve"> </w:t>
      </w:r>
      <w:r>
        <w:t xml:space="preserve">Not evidenced as distinct from architecture governance — Target.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Quality governance.</w:t>
      </w:r>
      <w:r>
        <w:t xml:space="preserve"> </w:t>
      </w:r>
      <w:r>
        <w:t xml:space="preserve">Reused from EEP-02 Phase F (Knowledge Quality Model) and Phase G (Intelligence Quality Framework, Response Contract Governance) — both design-complete-to-partially-operational, per those phases’ own assessments.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Policy management.</w:t>
      </w:r>
      <w:r>
        <w:t xml:space="preserve"> </w:t>
      </w:r>
      <w:r>
        <w:t xml:space="preserve">Frozen architecture documents (e.g.,</w:t>
      </w:r>
      <w:r>
        <w:t xml:space="preserve"> </w:t>
      </w:r>
      <w:r>
        <w:rPr>
          <w:rStyle w:val="VerbatimChar"/>
        </w:rPr>
        <w:t xml:space="preserve">DECISION_INTELLIGENCE_FRAMEWORK.md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RUNTIME_CLASS_REFERENCE.md</w:t>
      </w:r>
      <w:r>
        <w:t xml:space="preserve">) function as the operating policy layer — amendments are tracked explicitly (WP-ARB-01 Condition 3’s named documentation corrections) rather than edited silently.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Exception management.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WITHHELD</w:t>
      </w:r>
      <w:r>
        <w:t xml:space="preserve"> </w:t>
      </w:r>
      <w:r>
        <w:t xml:space="preserve">decision pattern with a named</w:t>
      </w:r>
      <w:r>
        <w:t xml:space="preserve"> </w:t>
      </w:r>
      <w:r>
        <w:rPr>
          <w:rStyle w:val="VerbatimChar"/>
        </w:rPr>
        <w:t xml:space="preserve">UNIMPLEMENTED_GROUPS</w:t>
      </w:r>
      <w:r>
        <w:t xml:space="preserve"> </w:t>
      </w:r>
      <w:r>
        <w:t xml:space="preserve">reason (WP-ARB-01 Condition 1) is the evidenced exception-handling convention — no silent failure or fabricated result, an explicit, typed exception state instead.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Governance evolution.</w:t>
      </w:r>
      <w:r>
        <w:t xml:space="preserve"> </w:t>
      </w:r>
      <w:r>
        <w:t xml:space="preserve">Governance itself evolves through the same ADR discipline it governs everything else with — WP-XAI2-01A’s ADR-06 requiring documentation updates as a condition of approval is a self-referential example of governance improving its own artifacts through its own mechanism.</w:t>
      </w:r>
    </w:p>
    <w:p>
      <w:r>
        <w:pict>
          <v:rect style="width:0;height:1.5pt" o:hralign="center" o:hrstd="t" o:hr="t"/>
        </w:pict>
      </w:r>
    </w:p>
    <w:bookmarkEnd w:id="34"/>
    <w:bookmarkStart w:id="35" w:name="cross-domain-collaboration-model"/>
    <w:p>
      <w:pPr>
        <w:pStyle w:val="Heading2"/>
      </w:pPr>
      <w:r>
        <w:t xml:space="preserve">8. Cross-Domain Collaboration Model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Domain collaboration.</w:t>
      </w:r>
      <w:r>
        <w:t xml:space="preserve"> </w:t>
      </w:r>
      <w:r>
        <w:t xml:space="preserve">Domains (EEP-02 Phase B) collaborate through the canonical knowledge platform (EEP-02 Phase F) and typed event contracts (EEP-01 Phase C) — never through direct, undocumented cross-module calls. This is an explicit, evidenced architectural rule (</w:t>
      </w:r>
      <w:r>
        <w:t xml:space="preserve">“</w:t>
      </w:r>
      <w:r>
        <w:t xml:space="preserve">if it crosses a bounded-context boundary, it is an event, full stop</w:t>
      </w:r>
      <w:r>
        <w:t xml:space="preserve">”</w:t>
      </w:r>
      <w:r>
        <w:t xml:space="preserve"> </w:t>
      </w:r>
      <w:r>
        <w:t xml:space="preserve">— EEP-01 Phase C, reused in EEP-02 Phase F §2.3).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Capability collaboration.</w:t>
      </w:r>
      <w:r>
        <w:t xml:space="preserve"> </w:t>
      </w:r>
      <w:r>
        <w:t xml:space="preserve">Capabilities reuse shared services (</w:t>
      </w:r>
      <w:r>
        <w:rPr>
          <w:rStyle w:val="VerbatimChar"/>
        </w:rPr>
        <w:t xml:space="preserve">knowledge-runtime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careerGraph</w:t>
      </w:r>
      <w:r>
        <w:t xml:space="preserve">,</w:t>
      </w:r>
      <w:r>
        <w:t xml:space="preserve"> </w:t>
      </w:r>
      <w:r>
        <w:rPr>
          <w:rStyle w:val="VerbatimChar"/>
        </w:rPr>
        <w:t xml:space="preserve">skillGraph</w:t>
      </w:r>
      <w:r>
        <w:t xml:space="preserve">) rather than duplicating logic — the Response Contract Governance pattern (EEP-02 Phase G §15 Decision 3) is a concrete example of a cross-capability collaboration mechanism (a shared regression-test contract) preventing divergent, duplicated defect classes.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Knowledge sharing.</w:t>
      </w:r>
      <w:r>
        <w:t xml:space="preserve"> </w:t>
      </w:r>
      <w:r>
        <w:t xml:space="preserve">The Enterprise Knowledge Platform is, by design, the single shared knowledge-collaboration surface across all consuming engines (EEP-02 Phase F §4–§6).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Business coordination.</w:t>
      </w:r>
      <w:r>
        <w:t xml:space="preserve"> </w:t>
      </w:r>
      <w:r>
        <w:t xml:space="preserve">Not evidenced as a distinct mechanism from the above — Target.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AI collaboration.</w:t>
      </w:r>
      <w:r>
        <w:t xml:space="preserve"> </w:t>
      </w:r>
      <w:r>
        <w:t xml:space="preserve">The ARB’s ADR discipline is the evidenced AI-collaboration mechanism between capability owners and governance (EEP-02 Phase G §6).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Shared ownership.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module’s breadth (graph import, CMS, signal lineage, job import) suggests platform administration is a shared, cross-domain operating function rather than domain-siloed — consistent with a small team operating across domain boundaries rather than domain-exclusive ownership.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Conflict resolution.</w:t>
      </w:r>
      <w:r>
        <w:t xml:space="preserve"> </w:t>
      </w:r>
      <w:r>
        <w:t xml:space="preserve">The evidenced pattern is re-verification against source, not authority hierarchy — every XAI-2 stage re-derives the prior stage’s claims from the codebase rather than deferring to it (EEP-02 Phase G §6). This is this document’s recommended standing conflict-resolution principle: when governance stages disagree, the one closer to source evidence prevails.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Enterprise communication.</w:t>
      </w:r>
      <w:r>
        <w:t xml:space="preserve"> </w:t>
      </w:r>
      <w:r>
        <w:t xml:space="preserve">Communicated through durable documents (ADRs, closure reports, conformance scorecards), not verbal or synchronous mechanisms, per the evidence available.</w:t>
      </w:r>
    </w:p>
    <w:p>
      <w:r>
        <w:pict>
          <v:rect style="width:0;height:1.5pt" o:hralign="center" o:hrstd="t" o:hr="t"/>
        </w:pict>
      </w:r>
    </w:p>
    <w:bookmarkEnd w:id="35"/>
    <w:bookmarkStart w:id="36" w:name="business-accountability-model"/>
    <w:p>
      <w:pPr>
        <w:pStyle w:val="Heading2"/>
      </w:pPr>
      <w:r>
        <w:t xml:space="preserve">9. Business Accountability Model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Accountability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(as evidenced)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Capability/domain 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Module-boundary-scoped engineering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 accountability (AI/architecture)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ARB (via signed, dated, conditioned decisions)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 accountability (business/product)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evidenced as distinct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 accountability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evidenced (no business KPI ownership record found)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— see EEP-02 Phase G §17 for the parallel AI-metrics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ARB (</w:t>
            </w:r>
            <w:r>
              <w:rPr>
                <w:rStyle w:val="VerbatimChar"/>
              </w:rPr>
              <w:t xml:space="preserve">ARCHITECTURE_RISK_REGISTER.md</w:t>
            </w:r>
            <w:r>
              <w:t xml:space="preserve">), Technical Debt Register (ACR-01)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 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ARB, via conformance reports (</w:t>
            </w:r>
            <w:r>
              <w:rPr>
                <w:rStyle w:val="VerbatimChar"/>
              </w:rPr>
              <w:t xml:space="preserve">SECURITY_CONFORMANCE_REPORT.md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ARCHITECTURE_GOVERNANCE_SCORECARD.md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Continuous improvement 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 — every closure review includes a re-verification obligation (WP-ARB-01 Condition 4) rather than a single named continuous-improvement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Current, but diffuse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current-state-vs-target-state"/>
    <w:p>
      <w:pPr>
        <w:pStyle w:val="Heading2"/>
      </w:pPr>
      <w:r>
        <w:t xml:space="preserve">10. Current State vs Target State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Adoption 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Ownership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Module-boundary ownership by one integrated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domain/capability owners distinct from the whole-team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or more domains require materially different release cadences or risk tolerances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stewardship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Unstaffed, design-complete three-tier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Staffed Knowledge Governance Council / Domain Knowledge Officers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Sustained curation backlog against WP-KD-01 review-cycle SLAs (reused from EEP-02 Phase F §7, §11)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ARB-based, ADR-driven, mature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model, extended to more decision types and AI capabilities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Reused from EEP-02 Phase G §11 — per-type ADR and closure-review discipline as coverage grows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Business/product 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distinct from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Product Owner / Business Owner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engineering function reports decision latency or role conflict attributable to wearing both hats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Governance layering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CI + episodic human ARB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two-layer model, with a defined periodic (not only event-triggered) ARB review cadence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Sustained gap between two ARB review events exceeds the platform’s own risk tolerance (no evidence yet of this threshold being crossed)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Escalation paths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ARB is terminal authority for architecture/AI; no evidence of an escalation path beyond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defined next-level review (e.g., external audit, advisory board) for disputes the ARB cannot resolve internally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ARB decision that cannot reach conditional approval or rejection on its own evidence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enterprise-operating-maturity"/>
    <w:p>
      <w:pPr>
        <w:pStyle w:val="Heading2"/>
      </w:pPr>
      <w:r>
        <w:t xml:space="preserve">11. Enterprise Operating Maturity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1 Ad Hoc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2 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3 Managed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4 Optimizing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— Ad Hoc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distinct business-governance artifact evidenced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Ownership clarity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 — Defined</w:t>
            </w:r>
            <w:r>
              <w:t xml:space="preserve"> </w:t>
            </w:r>
            <w:r>
              <w:t xml:space="preserve">(structural)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boundaries are clear; named-owner clarity is 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stewardship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 — Defined</w:t>
            </w:r>
            <w:r>
              <w:t xml:space="preserve"> </w:t>
            </w:r>
            <w:r>
              <w:t xml:space="preserve">(design-complete, unstaffed)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WP-KD-01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 — Managed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ARB ADR discipline, XAI-2 closure-review chain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 — Optimizing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CI (continuous) + human ARB re-verification (episodic, self-improving via ADR-06-style conditions)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Cross-domain collaboration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 — Managed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Event-driven, canonical-knowledge-mediated collaboration rule enforced architecturally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agility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 — 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Proportionate governance layering evidenced; no measured agility metric evidenced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Continuous improvement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 — Managed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Re-verification-at-every-stage discipline, XAI-2 series</w:t>
            </w:r>
          </w:p>
        </w:tc>
      </w:tr>
    </w:tbl>
    <w:p>
      <w:pPr>
        <w:pStyle w:val="BodyText"/>
      </w:pPr>
      <w:r>
        <w:rPr>
          <w:bCs/>
          <w:b/>
        </w:rPr>
        <w:t xml:space="preserve">Overall assessment.</w:t>
      </w:r>
      <w:r>
        <w:t xml:space="preserve"> </w:t>
      </w:r>
      <w:r>
        <w:t xml:space="preserve">Architecture and AI governance are the operating model’s most mature dimensions — ahead of what team size alone would predict. Business and product governance are the least mature — not because they are neglected, but because they are not yet evidenced as distinct functions at all.</w:t>
      </w:r>
    </w:p>
    <w:p>
      <w:r>
        <w:pict>
          <v:rect style="width:0;height:1.5pt" o:hralign="center" o:hrstd="t" o:hr="t"/>
        </w:pict>
      </w:r>
    </w:p>
    <w:bookmarkEnd w:id="38"/>
    <w:bookmarkStart w:id="39" w:name="enterprise-operating-heat-map"/>
    <w:p>
      <w:pPr>
        <w:pStyle w:val="Heading2"/>
      </w:pPr>
      <w:r>
        <w:t xml:space="preserve">12. Enterprise Operating Heat Map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Strategic Investment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ARB ADR discipline, automated CI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two mechanisms responsible for this operating model’s most defensible current-state claims; compounding investment here has the highest leverage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Maintain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Administrator function (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module), architecture conformance review chain (ACR-01)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Operating, evidenced, functionally adequate at current scale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stewardship staffing readiness, business/product ownership distinction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or structural gaps identified but not yet urgent per evidenced triggers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Emerging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Cross-domain collaboration via canonical knowledge and event 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Architecturally enforced but not yet stress-tested at higher domain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Experimental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repository evidence of an experimental governance mechanism distinct from the above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Staffed knowledge governance tiers, distinct product/business ownership roles, defined escalation path beyond ARB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Named, triggered, not built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Legacy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repository evidence of a deprecated operating-model element; omitted per instruction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enterprise-operating-roadmap"/>
    <w:p>
      <w:pPr>
        <w:pStyle w:val="Heading2"/>
      </w:pPr>
      <w:r>
        <w:t xml:space="preserve">13. Enterprise Operating Roadmap</w:t>
      </w:r>
    </w:p>
    <w:p>
      <w:pPr>
        <w:pStyle w:val="FirstParagraph"/>
      </w:pPr>
      <w:r>
        <w:rPr>
          <w:bCs/>
          <w:b/>
        </w:rPr>
        <w:t xml:space="preserve">Short-term (0–2 quarters).</w:t>
      </w:r>
      <w:r>
        <w:t xml:space="preserve"> </w:t>
      </w:r>
      <w:r>
        <w:t xml:space="preserve">Formally document the ARB’s periodic (not only event-triggered) review cadence, since none is currently evidenced beyond ad hoc convening for specific work packages.</w:t>
      </w:r>
      <w:r>
        <w:t xml:space="preserve"> </w:t>
      </w:r>
      <w:r>
        <w:rPr>
          <w:iCs/>
          <w:i/>
        </w:rPr>
        <w:t xml:space="preserve">Adoption trigger:</w:t>
      </w:r>
      <w:r>
        <w:t xml:space="preserve"> </w:t>
      </w:r>
      <w:r>
        <w:t xml:space="preserve">a gap between two ARB governance events long enough that a capability ships without any review record.</w:t>
      </w:r>
    </w:p>
    <w:p>
      <w:pPr>
        <w:pStyle w:val="BodyText"/>
      </w:pPr>
      <w:r>
        <w:rPr>
          <w:bCs/>
          <w:b/>
        </w:rPr>
        <w:t xml:space="preserve">Medium-term (2–4 quarters).</w:t>
      </w:r>
      <w:r>
        <w:t xml:space="preserve"> </w:t>
      </w:r>
      <w:r>
        <w:t xml:space="preserve">Extend automated CI governance (the</w:t>
      </w:r>
      <w:r>
        <w:t xml:space="preserve"> </w:t>
      </w:r>
      <w:r>
        <w:rPr>
          <w:rStyle w:val="VerbatimChar"/>
        </w:rPr>
        <w:t xml:space="preserve">.github/workflows/governance.yml</w:t>
      </w:r>
      <w:r>
        <w:t xml:space="preserve"> </w:t>
      </w:r>
      <w:r>
        <w:t xml:space="preserve">pattern) to cover response-contract regression testing across all AI-assisted controllers, reusing the precedent already set for</w:t>
      </w:r>
      <w:r>
        <w:t xml:space="preserve"> </w:t>
      </w:r>
      <w:r>
        <w:rPr>
          <w:rStyle w:val="VerbatimChar"/>
        </w:rPr>
        <w:t xml:space="preserve">knowledge-runtime</w:t>
      </w:r>
      <w:r>
        <w:t xml:space="preserve"> </w:t>
      </w:r>
      <w:r>
        <w:t xml:space="preserve">(EEP-02 Phase G §13 short-term item) — this is as much an operating-model roadmap item as an AI one, since it is where automated governance’s proven leverage should be extended next.</w:t>
      </w:r>
    </w:p>
    <w:p>
      <w:pPr>
        <w:pStyle w:val="BodyText"/>
      </w:pPr>
      <w:r>
        <w:rPr>
          <w:bCs/>
          <w:b/>
        </w:rPr>
        <w:t xml:space="preserve">Long-term (4+ quarters).</w:t>
      </w:r>
      <w:r>
        <w:t xml:space="preserve"> </w:t>
      </w:r>
      <w:r>
        <w:t xml:space="preserve">Staff the Knowledge Governance Council / Domain Knowledge Officer roles (reused trigger from EEP-02 Phase F §7, §13) and introduce a distinct Product/Business Owner role once decision-latency evidence (§10) justifies it.</w:t>
      </w:r>
    </w:p>
    <w:p>
      <w:pPr>
        <w:pStyle w:val="BodyText"/>
      </w:pPr>
      <w:r>
        <w:rPr>
          <w:bCs/>
          <w:b/>
        </w:rPr>
        <w:t xml:space="preserve">Enterprise evolution.</w:t>
      </w:r>
      <w:r>
        <w:t xml:space="preserve"> </w:t>
      </w:r>
      <w:r>
        <w:t xml:space="preserve">Do not introduce a multi-department organizational structure preemptively. This document’s single strongest recommendation, reused from every prior phase’s methodological note, is that HireRise’s current governance leverage comes specifically from being small and document-disciplined — enterprise structure should be added exactly when, and only when, the adoption triggers in this document fire, evidenced by real friction, not anticipated scale.</w:t>
      </w:r>
    </w:p>
    <w:p>
      <w:r>
        <w:pict>
          <v:rect style="width:0;height:1.5pt" o:hralign="center" o:hrstd="t" o:hr="t"/>
        </w:pict>
      </w:r>
    </w:p>
    <w:bookmarkEnd w:id="40"/>
    <w:bookmarkStart w:id="41" w:name="traceability"/>
    <w:p>
      <w:pPr>
        <w:pStyle w:val="Heading2"/>
      </w:pPr>
      <w:r>
        <w:t xml:space="preserve">14. Traceability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This Phase (H)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Traces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Capability/domain 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EEP-02 Phase A capabilities, Phase B domains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Cross-domain collaboration via value streams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EEP-02 Phase C value streams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service 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EEP-02 Phase D business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Process-level accountability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EEP-02 Phase E business processes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governance/stewardship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EEP-02 Phase F Enterprise Knowledge &amp; Intelligence Architecture (reused, not redefined)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governance (ARB, ADR discipline)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EEP-02 Phase G Enterprise AI Business Architecture (reused, not redefined)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 operations, SRE, monitoring, incident management (explicitly out of scope here)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EEP-01 Phase H Enterprise Operations, Governance &amp; Service Management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Automated architecture/dependency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EEP-01 Phase H/I/J conformance and quality architecture (reused as the technical substrate this document’s CI-governance claims rest on)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architecture-decisions"/>
    <w:p>
      <w:pPr>
        <w:pStyle w:val="Heading2"/>
      </w:pPr>
      <w:r>
        <w:t xml:space="preserve">15. Architecture Decisions</w:t>
      </w:r>
    </w:p>
    <w:p>
      <w:pPr>
        <w:pStyle w:val="FirstParagraph"/>
      </w:pPr>
      <w:r>
        <w:rPr>
          <w:bCs/>
          <w:b/>
        </w:rPr>
        <w:t xml:space="preserve">Decision 1 — Governance is layered: automated for structure, human for scope/trust.</w:t>
      </w:r>
      <w:r>
        <w:t xml:space="preserve"> </w:t>
      </w:r>
      <w:r>
        <w:rPr>
          <w:iCs/>
          <w:i/>
        </w:rPr>
        <w:t xml:space="preserve">Context:</w:t>
      </w:r>
      <w:r>
        <w:t xml:space="preserve"> </w:t>
      </w:r>
      <w:r>
        <w:t xml:space="preserve">both a CI pipeline and a human ARB review chain are evidenced, performing different jobs.</w:t>
      </w:r>
      <w:r>
        <w:t xml:space="preserve"> </w:t>
      </w:r>
      <w:r>
        <w:rPr>
          <w:iCs/>
          <w:i/>
        </w:rPr>
        <w:t xml:space="preserve">Alternatives considered:</w:t>
      </w:r>
      <w:r>
        <w:t xml:space="preserve"> </w:t>
      </w:r>
      <w:r>
        <w:t xml:space="preserve">human review for everything (unsustainable at this team size); automation for everything (cannot make scope/trust judgment calls, as the Fairness Gate ADR demonstrates).</w:t>
      </w:r>
      <w:r>
        <w:t xml:space="preserve"> </w:t>
      </w:r>
      <w:r>
        <w:rPr>
          <w:iCs/>
          <w:i/>
        </w:rPr>
        <w:t xml:space="preserve">Trade-offs:</w:t>
      </w:r>
      <w:r>
        <w:t xml:space="preserve"> </w:t>
      </w:r>
      <w:r>
        <w:t xml:space="preserve">the two-layer model requires maintaining both a CI configuration and a review discipline, in exchange for proportionate governance cost.</w:t>
      </w:r>
      <w:r>
        <w:t xml:space="preserve"> </w:t>
      </w:r>
      <w:r>
        <w:rPr>
          <w:iCs/>
          <w:i/>
        </w:rPr>
        <w:t xml:space="preserve">Rationale:</w:t>
      </w:r>
      <w:r>
        <w:t xml:space="preserve"> </w:t>
      </w:r>
      <w:r>
        <w:t xml:space="preserve">this is observed, working practice, not a design proposal — this document formalizes it as the operating model’s governance architecture rather than inventing an alternative.</w:t>
      </w:r>
    </w:p>
    <w:p>
      <w:pPr>
        <w:pStyle w:val="BodyText"/>
      </w:pPr>
      <w:r>
        <w:rPr>
          <w:bCs/>
          <w:b/>
        </w:rPr>
        <w:t xml:space="preserve">Decision 2 — ARB roles are treated as review roles, not departments.</w:t>
      </w:r>
      <w:r>
        <w:t xml:space="preserve"> </w:t>
      </w:r>
      <w:r>
        <w:rPr>
          <w:iCs/>
          <w:i/>
        </w:rPr>
        <w:t xml:space="preserve">Context:</w:t>
      </w:r>
      <w:r>
        <w:t xml:space="preserve"> </w:t>
      </w:r>
      <w:r>
        <w:rPr>
          <w:rStyle w:val="VerbatimChar"/>
        </w:rPr>
        <w:t xml:space="preserve">WP-ARB-01</w:t>
      </w:r>
      <w:r>
        <w:t xml:space="preserve">’s sign-off block names seven distinct</w:t>
      </w:r>
      <w:r>
        <w:t xml:space="preserve"> </w:t>
      </w:r>
      <w:r>
        <w:t xml:space="preserve">“</w:t>
      </w:r>
      <w:r>
        <w:t xml:space="preserve">Principal</w:t>
      </w:r>
      <w:r>
        <w:t xml:space="preserve">”</w:t>
      </w:r>
      <w:r>
        <w:t xml:space="preserve"> </w:t>
      </w:r>
      <w:r>
        <w:t xml:space="preserve">titles.</w:t>
      </w:r>
      <w:r>
        <w:t xml:space="preserve"> </w:t>
      </w:r>
      <w:r>
        <w:rPr>
          <w:iCs/>
          <w:i/>
        </w:rPr>
        <w:t xml:space="preserve">Alternatives considered:</w:t>
      </w:r>
      <w:r>
        <w:t xml:space="preserve"> </w:t>
      </w:r>
      <w:r>
        <w:t xml:space="preserve">take the titles at face value as evidence of a large architecture organization.</w:t>
      </w:r>
      <w:r>
        <w:t xml:space="preserve"> </w:t>
      </w:r>
      <w:r>
        <w:rPr>
          <w:iCs/>
          <w:i/>
        </w:rPr>
        <w:t xml:space="preserve">Trade-offs:</w:t>
      </w:r>
      <w:r>
        <w:t xml:space="preserve"> </w:t>
      </w:r>
      <w:r>
        <w:t xml:space="preserve">the conservative reading under-states organizational sophistication if a larger team does exist; the inflated reading fabricates structure the rest of the repository’s evidence (one codebase, one CI pipeline, no HR/org evidence) contradicts.</w:t>
      </w:r>
      <w:r>
        <w:t xml:space="preserve"> </w:t>
      </w:r>
      <w:r>
        <w:rPr>
          <w:iCs/>
          <w:i/>
        </w:rPr>
        <w:t xml:space="preserve">Rationale:</w:t>
      </w:r>
      <w:r>
        <w:t xml:space="preserve"> </w:t>
      </w:r>
      <w:r>
        <w:t xml:space="preserve">consistent with the small-team methodological note applied in every EEP-01/EEP-02 phase to date — this document extends, not exceptions, that discipline to Phase H specifically because Phase H is where the temptation to over-read titles as departments is highest.</w:t>
      </w:r>
    </w:p>
    <w:p>
      <w:pPr>
        <w:pStyle w:val="BodyText"/>
      </w:pPr>
      <w:r>
        <w:rPr>
          <w:bCs/>
          <w:b/>
        </w:rPr>
        <w:t xml:space="preserve">Decision 3 — No Knowledge Governance Council or Domain Knowledge Officer is declared operating.</w:t>
      </w:r>
      <w:r>
        <w:t xml:space="preserve"> </w:t>
      </w:r>
      <w:r>
        <w:rPr>
          <w:iCs/>
          <w:i/>
        </w:rPr>
        <w:t xml:space="preserve">Context:</w:t>
      </w:r>
      <w:r>
        <w:t xml:space="preserve"> </w:t>
      </w:r>
      <w:r>
        <w:t xml:space="preserve">WP-KD-01 designs these roles in detail; it would be easy to describe them as</w:t>
      </w:r>
      <w:r>
        <w:t xml:space="preserve"> </w:t>
      </w:r>
      <w:r>
        <w:t xml:space="preserve">“</w:t>
      </w:r>
      <w:r>
        <w:t xml:space="preserve">current</w:t>
      </w:r>
      <w:r>
        <w:t xml:space="preserve">”</w:t>
      </w:r>
      <w:r>
        <w:t xml:space="preserve"> </w:t>
      </w:r>
      <w:r>
        <w:t xml:space="preserve">given how thoroughly documented they are.</w:t>
      </w:r>
      <w:r>
        <w:t xml:space="preserve"> </w:t>
      </w:r>
      <w:r>
        <w:rPr>
          <w:iCs/>
          <w:i/>
        </w:rPr>
        <w:t xml:space="preserve">Alternatives considered:</w:t>
      </w:r>
      <w:r>
        <w:t xml:space="preserve"> </w:t>
      </w:r>
      <w:r>
        <w:t xml:space="preserve">treat design-completeness as equivalent to operating status.</w:t>
      </w:r>
      <w:r>
        <w:t xml:space="preserve"> </w:t>
      </w:r>
      <w:r>
        <w:rPr>
          <w:iCs/>
          <w:i/>
        </w:rPr>
        <w:t xml:space="preserve">Trade-offs:</w:t>
      </w:r>
      <w:r>
        <w:t xml:space="preserve"> </w:t>
      </w:r>
      <w:r>
        <w:t xml:space="preserve">the honest TARGET STATE label costs some narrative momentum in exchange for accuracy.</w:t>
      </w:r>
      <w:r>
        <w:t xml:space="preserve"> </w:t>
      </w:r>
      <w:r>
        <w:rPr>
          <w:iCs/>
          <w:i/>
        </w:rPr>
        <w:t xml:space="preserve">Rationale:</w:t>
      </w:r>
      <w:r>
        <w:t xml:space="preserve"> </w:t>
      </w:r>
      <w:r>
        <w:t xml:space="preserve">reused directly from EEP-02 Phase F’s own CURRENT/TARGET discipline (§7, §11) — this document does not relax that discipline just because a role sounds organizationally significant.</w:t>
      </w:r>
    </w:p>
    <w:p>
      <w:r>
        <w:pict>
          <v:rect style="width:0;height:1.5pt" o:hralign="center" o:hrstd="t" o:hr="t"/>
        </w:pict>
      </w:r>
    </w:p>
    <w:bookmarkEnd w:id="42"/>
    <w:bookmarkStart w:id="43" w:name="risks"/>
    <w:p>
      <w:pPr>
        <w:pStyle w:val="Heading2"/>
      </w:pPr>
      <w:r>
        <w:t xml:space="preserve">16. Risks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governance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distinct business/product governance layer means business decisions inherit architecture governance’s document discipline unevenly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decision-latency evidence (§10) as the trigger for introducing a distinct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Ownership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Module-boundary ownership without named individual owners could create accountability gaps as team size grows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Introduce named ownership at the trigger point (§10), not preemptively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ARB is currently the terminal authority for architecture/AI decisions with no evidenced escalation beyond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an escalation path before the first unresolvable ARB decision occurs (§10 adoption trigger)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governance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Reused from EEP-02 Phase F §16 — unstaffed stewardship risks silent knowledge drift as domain count grows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at the evidenced trigger (sustained curation backlog)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governance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Reused from EEP-02 Phase G §16 — expanding AI capability coverage faster than the ARB’s ADR-per-type discipline can keep 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 the per-type ADR gate as non-negotiable, per EEP-02 Phase G Decision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Transformation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Introducing organizational structure before its trigger fires could create bureaucracy the team’s current governance leverage doesn’t need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document’s explicit stance in §13: do not add structure preemptively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Organizational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Small-team concentration means governance continuity depends on a small number of people; no redundancy evidenced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 at current scale per the same methodological note applied throughout EEP-01/EEP-02; revisit if contributor count grows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Scalability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current document-and-CI governance model has not been evidenced at higher domain/contributor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the adoption triggers in §10/§13 as the leading indicators of when the model needs to change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success-metrics"/>
    <w:p>
      <w:pPr>
        <w:pStyle w:val="Heading2"/>
      </w:pPr>
      <w:r>
        <w:t xml:space="preserve">17. Success Metrics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Ownership clarity</w:t>
      </w:r>
      <w:r>
        <w:t xml:space="preserve"> </w:t>
      </w:r>
      <w:r>
        <w:t xml:space="preserve">— proportion of</w:t>
      </w:r>
      <w:r>
        <w:t xml:space="preserve"> </w:t>
      </w:r>
      <w:r>
        <w:rPr>
          <w:rStyle w:val="VerbatimChar"/>
        </w:rPr>
        <w:t xml:space="preserve">core/src/modules/*</w:t>
      </w:r>
      <w:r>
        <w:t xml:space="preserve"> </w:t>
      </w:r>
      <w:r>
        <w:t xml:space="preserve">boundaries with an explicitly documented owner (current baseline: structural ownership only, no named-owner record evidenced).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Decision turnaround time</w:t>
      </w:r>
      <w:r>
        <w:t xml:space="preserve"> </w:t>
      </w:r>
      <w:r>
        <w:t xml:space="preserve">— time from ARB review initiation to conditional/final decision (evidenced pattern: WP-ARB-01’s dated, conditioned decision record is the model; no aggregate turnaround metric currently tracked).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Governance compliance</w:t>
      </w:r>
      <w:r>
        <w:t xml:space="preserve"> </w:t>
      </w:r>
      <w:r>
        <w:t xml:space="preserve">— proportion of pull requests passing automated CI governance checks on first submission (</w:t>
      </w:r>
      <w:r>
        <w:rPr>
          <w:rStyle w:val="VerbatimChar"/>
        </w:rPr>
        <w:t xml:space="preserve">.github/workflows/governance.yml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Cross-domain collaboration</w:t>
      </w:r>
      <w:r>
        <w:t xml:space="preserve"> </w:t>
      </w:r>
      <w:r>
        <w:t xml:space="preserve">— proportion of cross-module interaction occurring via canonical knowledge/event contracts vs. direct calls (reused from EEP-01 Phase C’s</w:t>
      </w:r>
      <w:r>
        <w:t xml:space="preserve"> </w:t>
      </w:r>
      <w:r>
        <w:t xml:space="preserve">“</w:t>
      </w:r>
      <w:r>
        <w:t xml:space="preserve">no ungoverned second data path</w:t>
      </w:r>
      <w:r>
        <w:t xml:space="preserve">”</w:t>
      </w:r>
      <w:r>
        <w:t xml:space="preserve"> </w:t>
      </w:r>
      <w:r>
        <w:t xml:space="preserve">discipline as the standard to measure against).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Knowledge stewardship effectiveness</w:t>
      </w:r>
      <w:r>
        <w:t xml:space="preserve"> </w:t>
      </w:r>
      <w:r>
        <w:t xml:space="preserve">— reused from EEP-02 Phase F §17 (Knowledge Governance Compliance).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AI governance compliance</w:t>
      </w:r>
      <w:r>
        <w:t xml:space="preserve"> </w:t>
      </w:r>
      <w:r>
        <w:t xml:space="preserve">— reused from EEP-02 Phase G §17 (Responsible AI Compliance).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Business agility</w:t>
      </w:r>
      <w:r>
        <w:t xml:space="preserve"> </w:t>
      </w:r>
      <w:r>
        <w:t xml:space="preserve">— not currently instrumented; a genuine gap, flagged rather than filled with an invented number.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Capability delivery</w:t>
      </w:r>
      <w:r>
        <w:t xml:space="preserve"> </w:t>
      </w:r>
      <w:r>
        <w:t xml:space="preserve">— proportion of ratified ADRs (any decision class) that reach closure without reopening (evidenced pattern: WP-XAI2-01’s closure was deferred and awaited resubmission — a real, trackable instance of this metric).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Strategic alignment</w:t>
      </w:r>
      <w:r>
        <w:t xml:space="preserve"> </w:t>
      </w:r>
      <w:r>
        <w:t xml:space="preserve">— not evidenced as a tracked metric; Target.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Organizational maturity</w:t>
      </w:r>
      <w:r>
        <w:t xml:space="preserve"> </w:t>
      </w:r>
      <w:r>
        <w:t xml:space="preserve">— this document’s own §11 maturity assessment, re-run periodically as the evidenced baseline.</w:t>
      </w:r>
    </w:p>
    <w:p>
      <w:r>
        <w:pict>
          <v:rect style="width:0;height:1.5pt" o:hralign="center" o:hrstd="t" o:hr="t"/>
        </w:pict>
      </w:r>
    </w:p>
    <w:bookmarkEnd w:id="44"/>
    <w:bookmarkStart w:id="45" w:name="recommendations"/>
    <w:p>
      <w:pPr>
        <w:pStyle w:val="Heading2"/>
      </w:pPr>
      <w:r>
        <w:t xml:space="preserve">18. Recommendations</w:t>
      </w:r>
    </w:p>
    <w:p>
      <w:pPr>
        <w:pStyle w:val="FirstParagraph"/>
      </w:pPr>
      <w:r>
        <w:rPr>
          <w:bCs/>
          <w:b/>
        </w:rPr>
        <w:t xml:space="preserve">Immediate priorities.</w:t>
      </w:r>
      <w:r>
        <w:t xml:space="preserve"> </w:t>
      </w:r>
      <w:r>
        <w:t xml:space="preserve">(1) Document the ARB’s review cadence explicitly, closing the</w:t>
      </w:r>
      <w:r>
        <w:t xml:space="preserve"> </w:t>
      </w:r>
      <w:r>
        <w:t xml:space="preserve">“</w:t>
      </w:r>
      <w:r>
        <w:t xml:space="preserve">periodic vs. event-triggered only</w:t>
      </w:r>
      <w:r>
        <w:t xml:space="preserve">”</w:t>
      </w:r>
      <w:r>
        <w:t xml:space="preserve"> </w:t>
      </w:r>
      <w:r>
        <w:t xml:space="preserve">ambiguity identified in §10. (2) Begin tracking ADR closure/reopen rate as the first concrete capability-delivery metric (§17), since the data to do so already exists in the WP-XAI2 series.</w:t>
      </w:r>
    </w:p>
    <w:p>
      <w:pPr>
        <w:pStyle w:val="BodyText"/>
      </w:pPr>
      <w:r>
        <w:rPr>
          <w:bCs/>
          <w:b/>
        </w:rPr>
        <w:t xml:space="preserve">Near-term improvements.</w:t>
      </w:r>
      <w:r>
        <w:t xml:space="preserve"> </w:t>
      </w:r>
      <w:r>
        <w:t xml:space="preserve">Extend the automated-CI-governance pattern to response-contract regression coverage across AI-assisted controllers (shared recommendation with EEP-02 Phase G §18), since this is the operating model’s highest-leverage, already-proven governance mechanism.</w:t>
      </w:r>
    </w:p>
    <w:p>
      <w:pPr>
        <w:pStyle w:val="BodyText"/>
      </w:pPr>
      <w:r>
        <w:rPr>
          <w:bCs/>
          <w:b/>
        </w:rPr>
        <w:t xml:space="preserve">Medium-term improvements.</w:t>
      </w:r>
      <w:r>
        <w:t xml:space="preserve"> </w:t>
      </w:r>
      <w:r>
        <w:t xml:space="preserve">Define an escalation path beyond the ARB for disputes it cannot resolve on its own evidence, before the first such dispute occurs rather than after.</w:t>
      </w:r>
    </w:p>
    <w:p>
      <w:pPr>
        <w:pStyle w:val="BodyText"/>
      </w:pPr>
      <w:r>
        <w:rPr>
          <w:bCs/>
          <w:b/>
        </w:rPr>
        <w:t xml:space="preserve">Long-term evolution.</w:t>
      </w:r>
      <w:r>
        <w:t xml:space="preserve"> </w:t>
      </w:r>
      <w:r>
        <w:t xml:space="preserve">Staff Knowledge Governance Council / Domain Knowledge Officer roles and introduce a distinct Product/Business Owner role — both strictly at their respective evidenced adoption triggers (§10), not on a fixed calendar.</w:t>
      </w:r>
    </w:p>
    <w:p>
      <w:pPr>
        <w:pStyle w:val="BodyText"/>
      </w:pPr>
      <w:r>
        <w:rPr>
          <w:bCs/>
          <w:b/>
        </w:rPr>
        <w:t xml:space="preserve">Strategic investments.</w:t>
      </w:r>
      <w:r>
        <w:t xml:space="preserve"> </w:t>
      </w:r>
      <w:r>
        <w:t xml:space="preserve">The highest-leverage investment this assessment identifies is protecting, not diluting, the two-layer governance model (automated CI + human ARB/ADR discipline) as the team and platform grow — it is currently ahead of what team size alone would predict, and is HireRise’s actual operating-model advantage, in the same way the XAI-2 verification discipline was identified as HireRise’s actual Responsible AI advantage in EEP-02 Phase 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EEP-02 Phase H — Enterprise Operating Model Architecture. This document does not begin EEP-02 Phase I or any subsequent phase, and does not redesign EEP-01 Phase H.</w:t>
      </w:r>
    </w:p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2026-07-08T08:27:53Z</dcterms:created>
  <dcterms:modified xsi:type="dcterms:W3CDTF">2026-07-08T08:27:53Z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