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ep-02-phase-i"/>
    <w:p>
      <w:pPr>
        <w:pStyle w:val="Heading1"/>
      </w:pPr>
      <w:r>
        <w:t xml:space="preserve">EEP-02 — Phase I</w:t>
      </w:r>
    </w:p>
    <w:bookmarkEnd w:id="20"/>
    <w:bookmarkStart w:id="47" w:name="Xc7cff07142e25074886e81ba94a07b2f74a4775"/>
    <w:p>
      <w:pPr>
        <w:pStyle w:val="Heading1"/>
      </w:pPr>
      <w:r>
        <w:t xml:space="preserve">Enterprise Strategy &amp; Transformation Architecture</w:t>
      </w:r>
    </w:p>
    <w:bookmarkStart w:id="21" w:name="hirerise-career-intelligence-platform"/>
    <w:p>
      <w:pPr>
        <w:pStyle w:val="Heading3"/>
      </w:pPr>
      <w:r>
        <w:t xml:space="preserve">HireRise Career Intelligence Platform</w:t>
      </w:r>
    </w:p>
    <w:p>
      <w:pPr>
        <w:pStyle w:val="FirstParagraph"/>
      </w:pPr>
      <w:r>
        <w:t xml:space="preserve">Version 1.0 | Status: DRAFT FOR REVIEW</w:t>
      </w:r>
    </w:p>
    <w:p>
      <w:r>
        <w:pict>
          <v:rect style="width:0;height:1.5pt" o:hralign="center" o:hrstd="t" o:hr="t"/>
        </w:pict>
      </w:r>
    </w:p>
    <w:bookmarkEnd w:id="21"/>
    <w:bookmarkStart w:id="22" w:name="a-note-on-evidence-basis"/>
    <w:p>
      <w:pPr>
        <w:pStyle w:val="Heading2"/>
      </w:pPr>
      <w:r>
        <w:t xml:space="preserve">A Note on Evidence Basis</w:t>
      </w:r>
    </w:p>
    <w:p>
      <w:pPr>
        <w:pStyle w:val="FirstParagraph"/>
      </w:pPr>
      <w:r>
        <w:t xml:space="preserve">This document follows the evidence hierarchy set for the program: (1) repository implementation, (2) approved EEP architecture documents maintained outside the repository, (3) target-state recommendations derived from the first two, each carrying a measurable adoption trigger.</w:t>
      </w:r>
    </w:p>
    <w:p>
      <w:pPr>
        <w:pStyle w:val="BodyText"/>
      </w:pPr>
      <w:r>
        <w:t xml:space="preserve">Repository investigation confirms EEP-01 (Enterprise Technical Architecture, Phases A–J) as a committed, canonical artifact set. EEP-02 Phases A–H (Business Capability, Business Domain, Value Stream, Business Service, Business Process, Knowledge &amp; Intelligence, AI Business Architecture, Operating Model) are not present in the repository under any name. Per program instruction, their absence from the repository is not treated here as an inconsistency; this document instead builds its business-architecture references directly from the repository’s implementation and work-package record — principally the Enterprise Knowledge Platform (HKP, WP-KP-01), the Knowledge Curation &amp; Lifecycle Framework (KCLF, WP-KD-01), the Intelligence Quality Framework (IQF), the XAI-1/XAI-2 work-package sequence, and the ACR-01 conformance review. Where a transformation domain has no repository trace at all (notably partner ecosystem and API economy), this document says so plainly under Current State rather than filling the gap with invented detail, consistent with</w:t>
      </w:r>
      <w:r>
        <w:t xml:space="preserve"> </w:t>
      </w:r>
      <w:r>
        <w:t xml:space="preserve">“</w:t>
      </w:r>
      <w:r>
        <w:t xml:space="preserve">avoid speculative redesign.</w:t>
      </w:r>
      <w:r>
        <w:t xml:space="preserve">”</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HireRise is an explainable-AI career counselling platform for Indian students, built on a Supabase/PostgreSQL runtime with a React front end. Two completed architecture programs anchor this strategy: EEP-01, the enterprise technical architecture (data model through quality conformance), and a substantial knowledge-and-intelligence work-package sequence (WP-KP-01 Enterprise Knowledge Platform, WP-KD-01 Knowledge Curation &amp; Lifecycle Framework, WP-KRA-01 Knowledge Reasoning Architecture, WP-AIC-01/WP-DIF-01/WP-ENG-01 intelligence and decision-engine architecture, and the XAI-1/XAI-2 explainability program).</w:t>
      </w:r>
    </w:p>
    <w:p>
      <w:pPr>
        <w:pStyle w:val="BodyText"/>
      </w:pPr>
      <w:r>
        <w:t xml:space="preserve">The enterprise’s transformation vision is to evolve from a single-market, single-product recommendation platform into a governed</w:t>
      </w:r>
      <w:r>
        <w:t xml:space="preserve"> </w:t>
      </w:r>
      <w:r>
        <w:rPr>
          <w:bCs/>
          <w:b/>
        </w:rPr>
        <w:t xml:space="preserve">Career Intelligence Platform</w:t>
      </w:r>
      <w:r>
        <w:t xml:space="preserve"> </w:t>
      </w:r>
      <w:r>
        <w:t xml:space="preserve">— one whose recommendations are traceable to a versioned knowledge graph, whose AI never publishes unsupervised, and whose architecture is explicitly designed (though not yet built) to extend beyond India.</w:t>
      </w:r>
    </w:p>
    <w:p>
      <w:pPr>
        <w:pStyle w:val="BodyText"/>
      </w:pPr>
      <w:r>
        <w:t xml:space="preserve">Architecture objectives for this phase: consolidate the knowledge and decision-engine foundation already designed; close the gap between frozen architecture documents and shipped code identified by ACR-01; and establish the governance and measurement scaffolding needed before capability expansion (ecosystem, monetization, international) is attempted.</w:t>
      </w:r>
    </w:p>
    <w:p>
      <w:pPr>
        <w:pStyle w:val="BodyText"/>
      </w:pPr>
      <w:r>
        <w:t xml:space="preserve">Expected business outcomes: a recommendation engine whose outputs are explainable end-to-end from evidence to advice; a knowledge base whose quality and provenance are measurable rather than asserted; and a transformation program that expands scope only when adoption triggers are met, not on a fixed calendar.</w:t>
      </w:r>
    </w:p>
    <w:p>
      <w:r>
        <w:pict>
          <v:rect style="width:0;height:1.5pt" o:hralign="center" o:hrstd="t" o:hr="t"/>
        </w:pict>
      </w:r>
    </w:p>
    <w:bookmarkEnd w:id="23"/>
    <w:bookmarkStart w:id="24" w:name="current-state-assessment"/>
    <w:p>
      <w:pPr>
        <w:pStyle w:val="Heading2"/>
      </w:pPr>
      <w:r>
        <w:t xml:space="preserve">2. Current State Assessment</w:t>
      </w:r>
    </w:p>
    <w:p>
      <w:pPr>
        <w:pStyle w:val="FirstParagraph"/>
      </w:pPr>
      <w:r>
        <w:rPr>
          <w:bCs/>
          <w:b/>
        </w:rPr>
        <w:t xml:space="preserve">Current enterprise maturity.</w:t>
      </w:r>
      <w:r>
        <w:t xml:space="preserve"> </w:t>
      </w:r>
      <w:r>
        <w:t xml:space="preserve">HireRise operates a single production intelligence domain (student academic and career recommendation) built on three runtime services —</w:t>
      </w:r>
      <w:r>
        <w:t xml:space="preserve"> </w:t>
      </w:r>
      <w:r>
        <w:rPr>
          <w:rStyle w:val="VerbatimChar"/>
        </w:rPr>
        <w:t xml:space="preserve">KnowledgeService</w:t>
      </w:r>
      <w:r>
        <w:t xml:space="preserve">,</w:t>
      </w:r>
      <w:r>
        <w:t xml:space="preserve"> </w:t>
      </w:r>
      <w:r>
        <w:rPr>
          <w:rStyle w:val="VerbatimChar"/>
        </w:rPr>
        <w:t xml:space="preserve">StudentService</w:t>
      </w:r>
      <w:r>
        <w:t xml:space="preserve">,</w:t>
      </w:r>
      <w:r>
        <w:t xml:space="preserve"> </w:t>
      </w:r>
      <w:r>
        <w:rPr>
          <w:rStyle w:val="VerbatimChar"/>
        </w:rPr>
        <w:t xml:space="preserve">RecommendationService</w:t>
      </w:r>
      <w:r>
        <w:t xml:space="preserve"> </w:t>
      </w:r>
      <w:r>
        <w:t xml:space="preserve">— reviewed against a frozen architecture contract by ACR-01 (v2.0). That review found the runtime foundation well-built and honestly self-documented, with clean service boundaries, a non-circular dependency graph, and correctly applied auth/RLS/GRANT controls, but rated it</w:t>
      </w:r>
      <w:r>
        <w:t xml:space="preserve"> </w:t>
      </w:r>
      <w:r>
        <w:rPr>
          <w:bCs/>
          <w:b/>
        </w:rPr>
        <w:t xml:space="preserve">READY WITH CONDITIONS</w:t>
      </w:r>
      <w:r>
        <w:t xml:space="preserve">, not unconditionally ready, at a governance score of 83/100.</w:t>
      </w:r>
    </w:p>
    <w:p>
      <w:pPr>
        <w:pStyle w:val="BodyText"/>
      </w:pPr>
      <w:r>
        <w:rPr>
          <w:bCs/>
          <w:b/>
        </w:rPr>
        <w:t xml:space="preserve">Strategic strengths.</w:t>
      </w:r>
      <w:r>
        <w:t xml:space="preserve"> </w:t>
      </w:r>
      <w:r>
        <w:t xml:space="preserve">- A canonical Enterprise Knowledge Platform (HKP) design exists, defining eight knowledge domains, a three-layer entity model, 18 named relationship types, and version-stable canonical IDs so that engines pin to a knowledge version rather than break on change.</w:t>
      </w:r>
      <w:r>
        <w:t xml:space="preserve"> </w:t>
      </w:r>
      <w:r>
        <w:t xml:space="preserve">- A Knowledge Curation &amp; Lifecycle Framework (KCLF) defines how knowledge enters the system: a 15-stage supply chain, 35+ cataloged sources with trust scoring, a 10-dimension quality model, and a hard rule that AI may suggest but never publish knowledge without human approval.</w:t>
      </w:r>
      <w:r>
        <w:t xml:space="preserve"> </w:t>
      </w:r>
      <w:r>
        <w:t xml:space="preserve">- An explainability program (XAI-1, XAI-2) and an Intelligence Quality Framework (IQF) are in place to ensure recommendations carry a rationale chain back to source evidence, not just a score.</w:t>
      </w:r>
    </w:p>
    <w:p>
      <w:pPr>
        <w:pStyle w:val="BodyText"/>
      </w:pPr>
      <w:r>
        <w:rPr>
          <w:bCs/>
          <w:b/>
        </w:rPr>
        <w:t xml:space="preserve">Strategic constraints.</w:t>
      </w:r>
      <w:r>
        <w:t xml:space="preserve"> </w:t>
      </w:r>
      <w:r>
        <w:t xml:space="preserve">- ACR-01 identified three specific blockers to Decision Engine implementation: the live</w:t>
      </w:r>
      <w:r>
        <w:t xml:space="preserve"> </w:t>
      </w:r>
      <w:r>
        <w:rPr>
          <w:rStyle w:val="VerbatimChar"/>
        </w:rPr>
        <w:t xml:space="preserve">RecommendationService</w:t>
      </w:r>
      <w:r>
        <w:t xml:space="preserve"> </w:t>
      </w:r>
      <w:r>
        <w:t xml:space="preserve">API no longer matches the frozen architecture’s method contract; no</w:t>
      </w:r>
      <w:r>
        <w:t xml:space="preserve"> </w:t>
      </w:r>
      <w:r>
        <w:rPr>
          <w:rStyle w:val="VerbatimChar"/>
        </w:rPr>
        <w:t xml:space="preserve">ValidationService</w:t>
      </w:r>
      <w:r>
        <w:t xml:space="preserve"> </w:t>
      </w:r>
      <w:r>
        <w:t xml:space="preserve">quality gate exists between recommendation generation and its consumers; and of eight recommendation-candidate categories the architecture anticipates, only one (skills) currently produces real data — the other seven are explicitly marked unavailable pending named dependencies.</w:t>
      </w:r>
      <w:r>
        <w:t xml:space="preserve"> </w:t>
      </w:r>
      <w:r>
        <w:t xml:space="preserve">- No EEP-02 business-capability, domain, value-stream, or operating-model architecture is present in the repository, meaning the business-strategy layer this document sits on top of has not yet been formally separated from the knowledge/technical architecture that carries it implicitly.</w:t>
      </w:r>
      <w:r>
        <w:t xml:space="preserve"> </w:t>
      </w:r>
      <w:r>
        <w:t xml:space="preserve">- Repository evidence for several of the program’s</w:t>
      </w:r>
      <w:r>
        <w:t xml:space="preserve"> </w:t>
      </w:r>
      <w:r>
        <w:t xml:space="preserve">“</w:t>
      </w:r>
      <w:r>
        <w:t xml:space="preserve">special focus areas</w:t>
      </w:r>
      <w:r>
        <w:t xml:space="preserve">”</w:t>
      </w:r>
      <w:r>
        <w:t xml:space="preserve"> </w:t>
      </w:r>
      <w:r>
        <w:t xml:space="preserve">is thin or absent: partner ecosystem and API economy return no matches at all; monetization and enterprise knowledge publishing each return a single reference.</w:t>
      </w:r>
    </w:p>
    <w:p>
      <w:pPr>
        <w:pStyle w:val="BodyText"/>
      </w:pPr>
      <w:r>
        <w:rPr>
          <w:bCs/>
          <w:b/>
        </w:rPr>
        <w:t xml:space="preserve">Transformation opportunities.</w:t>
      </w:r>
      <w:r>
        <w:t xml:space="preserve"> </w:t>
      </w:r>
      <w:r>
        <w:t xml:space="preserve">The gap ACR-01 surfaced between frozen documentation and running code is a near-term, well-scoped remediation opportunity rather than a redesign. The knowledge and curation architecture is mature enough to extend (more sources, more categories, more markets) without redesign. The explainability discipline already built in gives HireRise a defensible basis for expanding into higher-stakes decision domains (e.g., employer-facing signals) without a trust deficit.</w:t>
      </w:r>
    </w:p>
    <w:p>
      <w:pPr>
        <w:pStyle w:val="BodyText"/>
      </w:pPr>
      <w:r>
        <w:rPr>
          <w:bCs/>
          <w:b/>
        </w:rPr>
        <w:t xml:space="preserve">Repository evidence.</w:t>
      </w:r>
      <w:r>
        <w:t xml:space="preserve"> </w:t>
      </w:r>
      <w:r>
        <w:t xml:space="preserve">Findings above are drawn from</w:t>
      </w:r>
      <w:r>
        <w:t xml:space="preserve"> </w:t>
      </w:r>
      <w:r>
        <w:rPr>
          <w:rStyle w:val="VerbatimChar"/>
        </w:rPr>
        <w:t xml:space="preserve">documents/ACR-01/*</w:t>
      </w:r>
      <w:r>
        <w:t xml:space="preserve">,</w:t>
      </w:r>
      <w:r>
        <w:t xml:space="preserve"> </w:t>
      </w:r>
      <w:r>
        <w:rPr>
          <w:rStyle w:val="VerbatimChar"/>
        </w:rPr>
        <w:t xml:space="preserve">documents/WP-KP-01/*</w:t>
      </w:r>
      <w:r>
        <w:t xml:space="preserve">,</w:t>
      </w:r>
      <w:r>
        <w:t xml:space="preserve"> </w:t>
      </w:r>
      <w:r>
        <w:rPr>
          <w:rStyle w:val="VerbatimChar"/>
        </w:rPr>
        <w:t xml:space="preserve">documents/WP-KD-01/*</w:t>
      </w:r>
      <w:r>
        <w:t xml:space="preserve">,</w:t>
      </w:r>
      <w:r>
        <w:t xml:space="preserve"> </w:t>
      </w:r>
      <w:r>
        <w:rPr>
          <w:rStyle w:val="VerbatimChar"/>
        </w:rPr>
        <w:t xml:space="preserve">documents/WP-KRA-01/*</w:t>
      </w:r>
      <w:r>
        <w:t xml:space="preserve">,</w:t>
      </w:r>
      <w:r>
        <w:t xml:space="preserve"> </w:t>
      </w:r>
      <w:r>
        <w:rPr>
          <w:rStyle w:val="VerbatimChar"/>
        </w:rPr>
        <w:t xml:space="preserve">documents/WP-AIC-01/*</w:t>
      </w:r>
      <w:r>
        <w:t xml:space="preserve">,</w:t>
      </w:r>
      <w:r>
        <w:t xml:space="preserve"> </w:t>
      </w:r>
      <w:r>
        <w:rPr>
          <w:rStyle w:val="VerbatimChar"/>
        </w:rPr>
        <w:t xml:space="preserve">documents/WP-DIF-01/*</w:t>
      </w:r>
      <w:r>
        <w:t xml:space="preserve">, and the XAI-1/XAI-2 work-package trees.</w:t>
      </w:r>
    </w:p>
    <w:p>
      <w:r>
        <w:pict>
          <v:rect style="width:0;height:1.5pt" o:hralign="center" o:hrstd="t" o:hr="t"/>
        </w:pict>
      </w:r>
    </w:p>
    <w:bookmarkEnd w:id="24"/>
    <w:bookmarkStart w:id="25" w:name="strategic-principles"/>
    <w:p>
      <w:pPr>
        <w:pStyle w:val="Heading2"/>
      </w:pPr>
      <w:r>
        <w:t xml:space="preserve">3. Strategic Principles</w:t>
      </w:r>
    </w:p>
    <w:p>
      <w:pPr>
        <w:numPr>
          <w:ilvl w:val="0"/>
          <w:numId w:val="1001"/>
        </w:numPr>
        <w:pStyle w:val="Compact"/>
      </w:pPr>
      <w:r>
        <w:rPr>
          <w:bCs/>
          <w:b/>
        </w:rPr>
        <w:t xml:space="preserve">Business-first transformation.</w:t>
      </w:r>
      <w:r>
        <w:t xml:space="preserve"> </w:t>
      </w:r>
      <w:r>
        <w:t xml:space="preserve">Every technical or knowledge investment must trace to a decision HireRise makes for a student, not to a technology preference.</w:t>
      </w:r>
    </w:p>
    <w:p>
      <w:pPr>
        <w:numPr>
          <w:ilvl w:val="0"/>
          <w:numId w:val="1001"/>
        </w:numPr>
        <w:pStyle w:val="Compact"/>
      </w:pPr>
      <w:r>
        <w:rPr>
          <w:bCs/>
          <w:b/>
        </w:rPr>
        <w:t xml:space="preserve">Knowledge-driven growth.</w:t>
      </w:r>
      <w:r>
        <w:t xml:space="preserve"> </w:t>
      </w:r>
      <w:r>
        <w:t xml:space="preserve">New capability is unlocked by knowledge coverage and quality, not by intelligence-engine sophistication outrunning what the knowledge graph can support.</w:t>
      </w:r>
    </w:p>
    <w:p>
      <w:pPr>
        <w:numPr>
          <w:ilvl w:val="0"/>
          <w:numId w:val="1001"/>
        </w:numPr>
        <w:pStyle w:val="Compact"/>
      </w:pPr>
      <w:r>
        <w:rPr>
          <w:bCs/>
          <w:b/>
        </w:rPr>
        <w:t xml:space="preserve">Responsible AI.</w:t>
      </w:r>
      <w:r>
        <w:t xml:space="preserve"> </w:t>
      </w:r>
      <w:r>
        <w:t xml:space="preserve">AI assists curation and recommendation; it does not publish knowledge or make unreviewable decisions. This is a hard rule in KCLF, not a target.</w:t>
      </w:r>
    </w:p>
    <w:p>
      <w:pPr>
        <w:numPr>
          <w:ilvl w:val="0"/>
          <w:numId w:val="1001"/>
        </w:numPr>
        <w:pStyle w:val="Compact"/>
      </w:pPr>
      <w:r>
        <w:rPr>
          <w:bCs/>
          <w:b/>
        </w:rPr>
        <w:t xml:space="preserve">Evidence-based governance.</w:t>
      </w:r>
      <w:r>
        <w:t xml:space="preserve"> </w:t>
      </w:r>
      <w:r>
        <w:t xml:space="preserve">Architecture claims are verified against running code and test output, per the ACR-01 review model, not accepted on self-report.</w:t>
      </w:r>
    </w:p>
    <w:p>
      <w:pPr>
        <w:numPr>
          <w:ilvl w:val="0"/>
          <w:numId w:val="1001"/>
        </w:numPr>
        <w:pStyle w:val="Compact"/>
      </w:pPr>
      <w:r>
        <w:rPr>
          <w:bCs/>
          <w:b/>
        </w:rPr>
        <w:t xml:space="preserve">Incremental evolution.</w:t>
      </w:r>
      <w:r>
        <w:t xml:space="preserve"> </w:t>
      </w:r>
      <w:r>
        <w:t xml:space="preserve">Capability expansion (ecosystem, monetization, international) follows measurable readiness triggers, not a fixed roadmap date.</w:t>
      </w:r>
    </w:p>
    <w:p>
      <w:pPr>
        <w:numPr>
          <w:ilvl w:val="0"/>
          <w:numId w:val="1001"/>
        </w:numPr>
        <w:pStyle w:val="Compact"/>
      </w:pPr>
      <w:r>
        <w:rPr>
          <w:bCs/>
          <w:b/>
        </w:rPr>
        <w:t xml:space="preserve">Technology independence.</w:t>
      </w:r>
      <w:r>
        <w:t xml:space="preserve"> </w:t>
      </w:r>
      <w:r>
        <w:t xml:space="preserve">Strategy defines outcomes and constraints; EEP-01 remains the canonical technical implementation and is not re-derived here.</w:t>
      </w:r>
    </w:p>
    <w:p>
      <w:pPr>
        <w:numPr>
          <w:ilvl w:val="0"/>
          <w:numId w:val="1001"/>
        </w:numPr>
        <w:pStyle w:val="Compact"/>
      </w:pPr>
      <w:r>
        <w:rPr>
          <w:bCs/>
          <w:b/>
        </w:rPr>
        <w:t xml:space="preserve">Continuous improvement.</w:t>
      </w:r>
      <w:r>
        <w:t xml:space="preserve"> </w:t>
      </w:r>
      <w:r>
        <w:t xml:space="preserve">The ACR/verification pattern already used for the runtime foundation should be the standing mechanism for all future capability claims.</w:t>
      </w:r>
    </w:p>
    <w:p>
      <w:pPr>
        <w:numPr>
          <w:ilvl w:val="0"/>
          <w:numId w:val="1001"/>
        </w:numPr>
        <w:pStyle w:val="Compact"/>
      </w:pPr>
      <w:r>
        <w:rPr>
          <w:bCs/>
          <w:b/>
        </w:rPr>
        <w:t xml:space="preserve">Enterprise resilience.</w:t>
      </w:r>
      <w:r>
        <w:t xml:space="preserve"> </w:t>
      </w:r>
      <w:r>
        <w:t xml:space="preserve">Versioned, non-breaking knowledge evolution (canonical IDs, pinned versions, governed deprecation) is treated as a resilience property to preserve, not a technical detail to optimize away.</w:t>
      </w:r>
    </w:p>
    <w:p>
      <w:r>
        <w:pict>
          <v:rect style="width:0;height:1.5pt" o:hralign="center" o:hrstd="t" o:hr="t"/>
        </w:pict>
      </w:r>
    </w:p>
    <w:bookmarkEnd w:id="25"/>
    <w:bookmarkStart w:id="26" w:name="enterprise-strategic-vision"/>
    <w:p>
      <w:pPr>
        <w:pStyle w:val="Heading2"/>
      </w:pPr>
      <w:r>
        <w:t xml:space="preserve">4. Enterprise Strategic Vision</w:t>
      </w:r>
    </w:p>
    <w:p>
      <w:pPr>
        <w:pStyle w:val="FirstParagraph"/>
      </w:pPr>
      <w:r>
        <w:rPr>
          <w:bCs/>
          <w:b/>
        </w:rPr>
        <w:t xml:space="preserve">Career Intelligence Platform (current, being consolidated).</w:t>
      </w:r>
      <w:r>
        <w:t xml:space="preserve"> </w:t>
      </w:r>
      <w:r>
        <w:t xml:space="preserve">The present-state platform: recommendation generation grounded in a governed knowledge graph, with one live candidate category (skills) and seven designed-but-not-yet-populated categories.</w:t>
      </w:r>
    </w:p>
    <w:p>
      <w:pPr>
        <w:pStyle w:val="BodyText"/>
      </w:pPr>
      <w:r>
        <w:rPr>
          <w:bCs/>
          <w:b/>
        </w:rPr>
        <w:t xml:space="preserve">Knowledge Enterprise (designed, partially built).</w:t>
      </w:r>
      <w:r>
        <w:t xml:space="preserve"> </w:t>
      </w:r>
      <w:r>
        <w:t xml:space="preserve">HKP and KCLF together describe an enterprise where knowledge is a governed, versioned, sourced asset with its own lifecycle and quality metrics — the target state for how HireRise</w:t>
      </w:r>
      <w:r>
        <w:t xml:space="preserve"> </w:t>
      </w:r>
      <w:r>
        <w:t xml:space="preserve">“</w:t>
      </w:r>
      <w:r>
        <w:t xml:space="preserve">knows</w:t>
      </w:r>
      <w:r>
        <w:t xml:space="preserve">”</w:t>
      </w:r>
      <w:r>
        <w:t xml:space="preserve"> </w:t>
      </w:r>
      <w:r>
        <w:t xml:space="preserve">things, not yet fully realized in production data coverage.</w:t>
      </w:r>
    </w:p>
    <w:p>
      <w:pPr>
        <w:pStyle w:val="BodyText"/>
      </w:pPr>
      <w:r>
        <w:rPr>
          <w:bCs/>
          <w:b/>
        </w:rPr>
        <w:t xml:space="preserve">AI-Augmented Enterprise (designed, partially built).</w:t>
      </w:r>
      <w:r>
        <w:t xml:space="preserve"> </w:t>
      </w:r>
      <w:r>
        <w:t xml:space="preserve">AI assists knowledge curation and recommendation generation under IQF and KCLF constraints; human approval remains mandatory for publication. This is architecture, not aspiration — but its enforcement in running code has not been independently verified the way the runtime services were.</w:t>
      </w:r>
    </w:p>
    <w:p>
      <w:pPr>
        <w:pStyle w:val="BodyText"/>
      </w:pPr>
      <w:r>
        <w:rPr>
          <w:bCs/>
          <w:b/>
        </w:rPr>
        <w:t xml:space="preserve">Trusted Decision Platform (in progress).</w:t>
      </w:r>
      <w:r>
        <w:t xml:space="preserve"> </w:t>
      </w:r>
      <w:r>
        <w:t xml:space="preserve">The explainability chain — evidence → relationship → rationale → recommendation — is designed end-to-end (XAI-1/XAI-2, IQF) but ACR-01’s findings mean the decision engine itself is not yet fully wired to it.</w:t>
      </w:r>
    </w:p>
    <w:p>
      <w:pPr>
        <w:pStyle w:val="BodyText"/>
      </w:pPr>
      <w:r>
        <w:rPr>
          <w:bCs/>
          <w:b/>
        </w:rPr>
        <w:t xml:space="preserve">Career Outcome Platform (designed).</w:t>
      </w:r>
      <w:r>
        <w:t xml:space="preserve"> </w:t>
      </w:r>
      <w:r>
        <w:t xml:space="preserve">References to career-outcome intelligence recur across the knowledge and reasoning documents (salary benchmarking, disruption scoring, career ontology), indicating clear architectural intent, though outcome-tracking-at-scale is not yet evidenced as operating in production.</w:t>
      </w:r>
    </w:p>
    <w:p>
      <w:pPr>
        <w:pStyle w:val="BodyText"/>
      </w:pPr>
      <w:r>
        <w:rPr>
          <w:bCs/>
          <w:b/>
        </w:rPr>
        <w:t xml:space="preserve">Partner Ecosystem, Education Ecosystem, Employer Ecosystem.</w:t>
      </w:r>
      <w:r>
        <w:t xml:space="preserve"> </w:t>
      </w:r>
      <w:r>
        <w:t xml:space="preserve">No repository evidence exists for partner or employer ecosystem architecture. Education-domain content (NCERT, CBSE, higher-education reference models) exists as</w:t>
      </w:r>
      <w:r>
        <w:t xml:space="preserve"> </w:t>
      </w:r>
      <w:r>
        <w:rPr>
          <w:iCs/>
          <w:i/>
        </w:rPr>
        <w:t xml:space="preserve">knowledge sources</w:t>
      </w:r>
      <w:r>
        <w:t xml:space="preserve">, not as an ecosystem relationship model. This vision element is therefore future-state and currently unfunded by design work, not present-state.</w:t>
      </w:r>
    </w:p>
    <w:p>
      <w:pPr>
        <w:pStyle w:val="BodyText"/>
      </w:pPr>
      <w:r>
        <w:rPr>
          <w:bCs/>
          <w:b/>
        </w:rPr>
        <w:t xml:space="preserve">Future Enterprise Vision.</w:t>
      </w:r>
      <w:r>
        <w:t xml:space="preserve"> </w:t>
      </w:r>
      <w:r>
        <w:t xml:space="preserve">A platform where knowledge coverage, decision-engine completeness, and explainability are each independently measurable and gated (as ACR-01 has begun doing for the runtime layer), extended progressively into new candidate categories, new markets (via the already-designed Wave 9 international expansion), and — only once evidenced by demand — new ecosystem participants.</w:t>
      </w:r>
    </w:p>
    <w:p>
      <w:r>
        <w:pict>
          <v:rect style="width:0;height:1.5pt" o:hralign="center" o:hrstd="t" o:hr="t"/>
        </w:pict>
      </w:r>
    </w:p>
    <w:bookmarkEnd w:id="26"/>
    <w:bookmarkStart w:id="27" w:name="strategic-transformation-domains"/>
    <w:p>
      <w:pPr>
        <w:pStyle w:val="Heading2"/>
      </w:pPr>
      <w:r>
        <w:t xml:space="preserve">5. Strategic Transformation Domains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Repository Evidence Level</w:t>
            </w:r>
          </w:p>
        </w:tc>
      </w:tr>
      <w:tr>
        <w:tc>
          <w:tcPr/>
          <w:p>
            <w:pPr>
              <w:pStyle w:val="Compact"/>
              <w:jc w:val="left"/>
            </w:pPr>
            <w:r>
              <w:t xml:space="preserve">Business Capability Evolution</w:t>
            </w:r>
          </w:p>
        </w:tc>
        <w:tc>
          <w:tcPr/>
          <w:p>
            <w:pPr>
              <w:pStyle w:val="Compact"/>
              <w:jc w:val="left"/>
            </w:pPr>
            <w:r>
              <w:t xml:space="preserve">Indirect — inferred from service boundaries (Knowledge, Student, Recommendation), not a formal capability map</w:t>
            </w:r>
          </w:p>
        </w:tc>
      </w:tr>
      <w:tr>
        <w:tc>
          <w:tcPr/>
          <w:p>
            <w:pPr>
              <w:pStyle w:val="Compact"/>
              <w:jc w:val="left"/>
            </w:pPr>
            <w:r>
              <w:t xml:space="preserve">Knowledge Evolution</w:t>
            </w:r>
          </w:p>
        </w:tc>
        <w:tc>
          <w:tcPr/>
          <w:p>
            <w:pPr>
              <w:pStyle w:val="Compact"/>
              <w:jc w:val="left"/>
            </w:pPr>
            <w:r>
              <w:t xml:space="preserve">Strong — WP-KP-01, WP-KD-01, WP-KRA-01</w:t>
            </w:r>
          </w:p>
        </w:tc>
      </w:tr>
      <w:tr>
        <w:tc>
          <w:tcPr/>
          <w:p>
            <w:pPr>
              <w:pStyle w:val="Compact"/>
              <w:jc w:val="left"/>
            </w:pPr>
            <w:r>
              <w:t xml:space="preserve">AI Evolution</w:t>
            </w:r>
          </w:p>
        </w:tc>
        <w:tc>
          <w:tcPr/>
          <w:p>
            <w:pPr>
              <w:pStyle w:val="Compact"/>
              <w:jc w:val="left"/>
            </w:pPr>
            <w:r>
              <w:t xml:space="preserve">Strong — WP-AIC-01, WP-DIF-01, IQF, XAI-1/XAI-2</w:t>
            </w:r>
          </w:p>
        </w:tc>
      </w:tr>
      <w:tr>
        <w:tc>
          <w:tcPr/>
          <w:p>
            <w:pPr>
              <w:pStyle w:val="Compact"/>
              <w:jc w:val="left"/>
            </w:pPr>
            <w:r>
              <w:t xml:space="preserve">Operating Model Evolution</w:t>
            </w:r>
          </w:p>
        </w:tc>
        <w:tc>
          <w:tcPr/>
          <w:p>
            <w:pPr>
              <w:pStyle w:val="Compact"/>
              <w:jc w:val="left"/>
            </w:pPr>
            <w:r>
              <w:t xml:space="preserve">Indirect — WP numbering/ARB gate process observable in practice, no formal operating-model document</w:t>
            </w:r>
          </w:p>
        </w:tc>
      </w:tr>
      <w:tr>
        <w:tc>
          <w:tcPr/>
          <w:p>
            <w:pPr>
              <w:pStyle w:val="Compact"/>
              <w:jc w:val="left"/>
            </w:pPr>
            <w:r>
              <w:t xml:space="preserve">Governance Evolution</w:t>
            </w:r>
          </w:p>
        </w:tc>
        <w:tc>
          <w:tcPr/>
          <w:p>
            <w:pPr>
              <w:pStyle w:val="Compact"/>
              <w:jc w:val="left"/>
            </w:pPr>
            <w:r>
              <w:t xml:space="preserve">Strong — ACR-01, KCLF governance/approval model, WP-SEC-01</w:t>
            </w:r>
          </w:p>
        </w:tc>
      </w:tr>
      <w:tr>
        <w:tc>
          <w:tcPr/>
          <w:p>
            <w:pPr>
              <w:pStyle w:val="Compact"/>
              <w:jc w:val="left"/>
            </w:pPr>
            <w:r>
              <w:t xml:space="preserve">Platform Evolution</w:t>
            </w:r>
          </w:p>
        </w:tc>
        <w:tc>
          <w:tcPr/>
          <w:p>
            <w:pPr>
              <w:pStyle w:val="Compact"/>
              <w:jc w:val="left"/>
            </w:pPr>
            <w:r>
              <w:t xml:space="preserve">Strong — EEP-01 Phases A–J</w:t>
            </w:r>
          </w:p>
        </w:tc>
      </w:tr>
      <w:tr>
        <w:tc>
          <w:tcPr/>
          <w:p>
            <w:pPr>
              <w:pStyle w:val="Compact"/>
              <w:jc w:val="left"/>
            </w:pPr>
            <w:r>
              <w:t xml:space="preserve">Partner Ecosystem</w:t>
            </w:r>
          </w:p>
        </w:tc>
        <w:tc>
          <w:tcPr/>
          <w:p>
            <w:pPr>
              <w:pStyle w:val="Compact"/>
              <w:jc w:val="left"/>
            </w:pPr>
            <w:r>
              <w:t xml:space="preserve">None</w:t>
            </w:r>
          </w:p>
        </w:tc>
      </w:tr>
      <w:tr>
        <w:tc>
          <w:tcPr/>
          <w:p>
            <w:pPr>
              <w:pStyle w:val="Compact"/>
              <w:jc w:val="left"/>
            </w:pPr>
            <w:r>
              <w:t xml:space="preserve">Employer Ecosystem</w:t>
            </w:r>
          </w:p>
        </w:tc>
        <w:tc>
          <w:tcPr/>
          <w:p>
            <w:pPr>
              <w:pStyle w:val="Compact"/>
              <w:jc w:val="left"/>
            </w:pPr>
            <w:r>
              <w:t xml:space="preserve">None</w:t>
            </w:r>
          </w:p>
        </w:tc>
      </w:tr>
      <w:tr>
        <w:tc>
          <w:tcPr/>
          <w:p>
            <w:pPr>
              <w:pStyle w:val="Compact"/>
              <w:jc w:val="left"/>
            </w:pPr>
            <w:r>
              <w:t xml:space="preserve">Academic Ecosystem</w:t>
            </w:r>
          </w:p>
        </w:tc>
        <w:tc>
          <w:tcPr/>
          <w:p>
            <w:pPr>
              <w:pStyle w:val="Compact"/>
              <w:jc w:val="left"/>
            </w:pPr>
            <w:r>
              <w:t xml:space="preserve">Moderate — source catalog only (NCERT/CBSE/WEF/O*NET as data sources, not partners)</w:t>
            </w:r>
          </w:p>
        </w:tc>
      </w:tr>
      <w:tr>
        <w:tc>
          <w:tcPr/>
          <w:p>
            <w:pPr>
              <w:pStyle w:val="Compact"/>
              <w:jc w:val="left"/>
            </w:pPr>
            <w:r>
              <w:t xml:space="preserve">International Expansion</w:t>
            </w:r>
          </w:p>
        </w:tc>
        <w:tc>
          <w:tcPr/>
          <w:p>
            <w:pPr>
              <w:pStyle w:val="Compact"/>
              <w:jc w:val="left"/>
            </w:pPr>
            <w:r>
              <w:t xml:space="preserve">Moderate — named as Wave 9 in WP-KP-01’s roadmap and referenced across knowledge-domain docs, not yet built</w:t>
            </w:r>
          </w:p>
        </w:tc>
      </w:tr>
      <w:tr>
        <w:tc>
          <w:tcPr/>
          <w:p>
            <w:pPr>
              <w:pStyle w:val="Compact"/>
              <w:jc w:val="left"/>
            </w:pPr>
            <w:r>
              <w:t xml:space="preserve">API Economy</w:t>
            </w:r>
          </w:p>
        </w:tc>
        <w:tc>
          <w:tcPr/>
          <w:p>
            <w:pPr>
              <w:pStyle w:val="Compact"/>
              <w:jc w:val="left"/>
            </w:pPr>
            <w:r>
              <w:t xml:space="preserve">None</w:t>
            </w:r>
          </w:p>
        </w:tc>
      </w:tr>
      <w:tr>
        <w:tc>
          <w:tcPr/>
          <w:p>
            <w:pPr>
              <w:pStyle w:val="Compact"/>
              <w:jc w:val="left"/>
            </w:pPr>
            <w:r>
              <w:t xml:space="preserve">Enterprise Intelligence Expansion</w:t>
            </w:r>
          </w:p>
        </w:tc>
        <w:tc>
          <w:tcPr/>
          <w:p>
            <w:pPr>
              <w:pStyle w:val="Compact"/>
              <w:jc w:val="left"/>
            </w:pPr>
            <w:r>
              <w:t xml:space="preserve">Strong — the seven unpopulated recommendation categories are a defined, evidenced backlog</w:t>
            </w:r>
          </w:p>
        </w:tc>
      </w:tr>
      <w:tr>
        <w:tc>
          <w:tcPr/>
          <w:p>
            <w:pPr>
              <w:pStyle w:val="Compact"/>
              <w:jc w:val="left"/>
            </w:pPr>
            <w:r>
              <w:t xml:space="preserve">Future Strategic Domains</w:t>
            </w:r>
          </w:p>
        </w:tc>
        <w:tc>
          <w:tcPr/>
          <w:p>
            <w:pPr>
              <w:pStyle w:val="Compact"/>
              <w:jc w:val="left"/>
            </w:pPr>
            <w:r>
              <w:t xml:space="preserve">To be defined once the above domains reach measured maturity</w:t>
            </w:r>
          </w:p>
        </w:tc>
      </w:tr>
    </w:tbl>
    <w:p>
      <w:r>
        <w:pict>
          <v:rect style="width:0;height:1.5pt" o:hralign="center" o:hrstd="t" o:hr="t"/>
        </w:pict>
      </w:r>
    </w:p>
    <w:bookmarkEnd w:id="27"/>
    <w:bookmarkStart w:id="34" w:name="transformation-roadmaps"/>
    <w:p>
      <w:pPr>
        <w:pStyle w:val="Heading2"/>
      </w:pPr>
      <w:r>
        <w:t xml:space="preserve">6. Transformation Roadmaps</w:t>
      </w:r>
    </w:p>
    <w:bookmarkStart w:id="28" w:name="runtime-decision-engine-consolidation"/>
    <w:p>
      <w:pPr>
        <w:pStyle w:val="Heading3"/>
      </w:pPr>
      <w:r>
        <w:t xml:space="preserve">6.1 Runtime &amp; Decision Engine Consolidation</w:t>
      </w:r>
    </w:p>
    <w:p>
      <w:pPr>
        <w:numPr>
          <w:ilvl w:val="0"/>
          <w:numId w:val="1002"/>
        </w:numPr>
        <w:pStyle w:val="Compact"/>
      </w:pPr>
      <w:r>
        <w:rPr>
          <w:bCs/>
          <w:b/>
        </w:rPr>
        <w:t xml:space="preserve">Current State:</w:t>
      </w:r>
      <w:r>
        <w:t xml:space="preserve"> </w:t>
      </w:r>
      <w:r>
        <w:t xml:space="preserve">Three services live; ACR-01 rated READY WITH CONDITIONS (83/100); API/documentation mismatch, missing ValidationService gate, 1-of-8 recommendation categories populated.</w:t>
      </w:r>
    </w:p>
    <w:p>
      <w:pPr>
        <w:numPr>
          <w:ilvl w:val="0"/>
          <w:numId w:val="1002"/>
        </w:numPr>
        <w:pStyle w:val="Compact"/>
      </w:pPr>
      <w:r>
        <w:rPr>
          <w:bCs/>
          <w:b/>
        </w:rPr>
        <w:t xml:space="preserve">Target State:</w:t>
      </w:r>
      <w:r>
        <w:t xml:space="preserve"> </w:t>
      </w:r>
      <w:r>
        <w:rPr>
          <w:rStyle w:val="VerbatimChar"/>
        </w:rPr>
        <w:t xml:space="preserve">RecommendationService</w:t>
      </w:r>
      <w:r>
        <w:t xml:space="preserve"> </w:t>
      </w:r>
      <w:r>
        <w:t xml:space="preserve">API reconciled with (or the frozen architecture updated to reflect) actual method contracts; ValidationService gate implemented; a defined subset of the remaining seven candidate categories populated with real data sources.</w:t>
      </w:r>
    </w:p>
    <w:p>
      <w:pPr>
        <w:numPr>
          <w:ilvl w:val="0"/>
          <w:numId w:val="1002"/>
        </w:numPr>
        <w:pStyle w:val="Compact"/>
      </w:pPr>
      <w:r>
        <w:rPr>
          <w:bCs/>
          <w:b/>
        </w:rPr>
        <w:t xml:space="preserve">Business Value:</w:t>
      </w:r>
      <w:r>
        <w:t xml:space="preserve"> </w:t>
      </w:r>
      <w:r>
        <w:t xml:space="preserve">Removes the single largest blocker to trustworthy, explainable recommendations at scale.</w:t>
      </w:r>
    </w:p>
    <w:p>
      <w:pPr>
        <w:numPr>
          <w:ilvl w:val="0"/>
          <w:numId w:val="1002"/>
        </w:numPr>
        <w:pStyle w:val="Compact"/>
      </w:pPr>
      <w:r>
        <w:rPr>
          <w:bCs/>
          <w:b/>
        </w:rPr>
        <w:t xml:space="preserve">Strategic Importance:</w:t>
      </w:r>
      <w:r>
        <w:t xml:space="preserve"> </w:t>
      </w:r>
      <w:r>
        <w:t xml:space="preserve">High — this is prerequisite to nearly every other domain below.</w:t>
      </w:r>
    </w:p>
    <w:p>
      <w:pPr>
        <w:numPr>
          <w:ilvl w:val="0"/>
          <w:numId w:val="1002"/>
        </w:numPr>
        <w:pStyle w:val="Compact"/>
      </w:pPr>
      <w:r>
        <w:rPr>
          <w:bCs/>
          <w:b/>
        </w:rPr>
        <w:t xml:space="preserve">Dependencies:</w:t>
      </w:r>
      <w:r>
        <w:t xml:space="preserve"> </w:t>
      </w:r>
      <w:r>
        <w:t xml:space="preserve">Named data dependencies already identified per category in the ACR-01/WP-IMP-04 record.</w:t>
      </w:r>
    </w:p>
    <w:p>
      <w:pPr>
        <w:numPr>
          <w:ilvl w:val="0"/>
          <w:numId w:val="1002"/>
        </w:numPr>
        <w:pStyle w:val="Compact"/>
      </w:pPr>
      <w:r>
        <w:rPr>
          <w:bCs/>
          <w:b/>
        </w:rPr>
        <w:t xml:space="preserve">Risks:</w:t>
      </w:r>
      <w:r>
        <w:t xml:space="preserve"> </w:t>
      </w:r>
      <w:r>
        <w:t xml:space="preserve">Continued drift between documentation and code if remediation isn’t gated the same way ACR-01 gated it.</w:t>
      </w:r>
    </w:p>
    <w:p>
      <w:pPr>
        <w:numPr>
          <w:ilvl w:val="0"/>
          <w:numId w:val="1002"/>
        </w:numPr>
        <w:pStyle w:val="Compact"/>
      </w:pPr>
      <w:r>
        <w:rPr>
          <w:bCs/>
          <w:b/>
        </w:rPr>
        <w:t xml:space="preserve">Business Impact:</w:t>
      </w:r>
      <w:r>
        <w:t xml:space="preserve"> </w:t>
      </w:r>
      <w:r>
        <w:t xml:space="preserve">Directly improves recommendation completeness and trust.</w:t>
      </w:r>
    </w:p>
    <w:p>
      <w:pPr>
        <w:numPr>
          <w:ilvl w:val="0"/>
          <w:numId w:val="1002"/>
        </w:numPr>
        <w:pStyle w:val="Compact"/>
      </w:pPr>
      <w:r>
        <w:rPr>
          <w:bCs/>
          <w:b/>
        </w:rPr>
        <w:t xml:space="preserve">Success Measures:</w:t>
      </w:r>
      <w:r>
        <w:t xml:space="preserve"> </w:t>
      </w:r>
      <w:r>
        <w:t xml:space="preserve">ESLint/test pass rate maintained at 100%; governance score improvement above 83/100 on re-review.</w:t>
      </w:r>
    </w:p>
    <w:p>
      <w:pPr>
        <w:numPr>
          <w:ilvl w:val="0"/>
          <w:numId w:val="1002"/>
        </w:numPr>
        <w:pStyle w:val="Compact"/>
      </w:pPr>
      <w:r>
        <w:rPr>
          <w:bCs/>
          <w:b/>
        </w:rPr>
        <w:t xml:space="preserve">Adoption Triggers:</w:t>
      </w:r>
      <w:r>
        <w:t xml:space="preserve"> </w:t>
      </w:r>
      <w:r>
        <w:t xml:space="preserve">Re-run ACR-style conformance review; proceed to WP-IMP-05 (Decision Engine Runtime) only once the three named blockers are independently verified closed.</w:t>
      </w:r>
    </w:p>
    <w:p>
      <w:pPr>
        <w:numPr>
          <w:ilvl w:val="0"/>
          <w:numId w:val="1002"/>
        </w:numPr>
        <w:pStyle w:val="Compact"/>
      </w:pPr>
      <w:r>
        <w:rPr>
          <w:bCs/>
          <w:b/>
        </w:rPr>
        <w:t xml:space="preserve">Future Evolution:</w:t>
      </w:r>
      <w:r>
        <w:t xml:space="preserve"> </w:t>
      </w:r>
      <w:r>
        <w:t xml:space="preserve">Once stable, this becomes the baseline the Knowledge Evolution and AI Evolution domains are measured against.</w:t>
      </w:r>
    </w:p>
    <w:bookmarkEnd w:id="28"/>
    <w:bookmarkStart w:id="29" w:name="knowledge-evolution"/>
    <w:p>
      <w:pPr>
        <w:pStyle w:val="Heading3"/>
      </w:pPr>
      <w:r>
        <w:t xml:space="preserve">6.2 Knowledge Evolution</w:t>
      </w:r>
    </w:p>
    <w:p>
      <w:pPr>
        <w:numPr>
          <w:ilvl w:val="0"/>
          <w:numId w:val="1003"/>
        </w:numPr>
        <w:pStyle w:val="Compact"/>
      </w:pPr>
      <w:r>
        <w:rPr>
          <w:bCs/>
          <w:b/>
        </w:rPr>
        <w:t xml:space="preserve">Current State:</w:t>
      </w:r>
      <w:r>
        <w:t xml:space="preserve"> </w:t>
      </w:r>
      <w:r>
        <w:t xml:space="preserve">HKP and KCLF are canonical designs; production knowledge coverage is concentrated in the skills category and India-specific academic/career reference data.</w:t>
      </w:r>
    </w:p>
    <w:p>
      <w:pPr>
        <w:numPr>
          <w:ilvl w:val="0"/>
          <w:numId w:val="1003"/>
        </w:numPr>
        <w:pStyle w:val="Compact"/>
      </w:pPr>
      <w:r>
        <w:rPr>
          <w:bCs/>
          <w:b/>
        </w:rPr>
        <w:t xml:space="preserve">Target State:</w:t>
      </w:r>
      <w:r>
        <w:t xml:space="preserve"> </w:t>
      </w:r>
      <w:r>
        <w:t xml:space="preserve">Coverage expanded across the remaining seven candidate categories, each gated by KCLF’s 10-dimension quality model before publication.</w:t>
      </w:r>
    </w:p>
    <w:p>
      <w:pPr>
        <w:numPr>
          <w:ilvl w:val="0"/>
          <w:numId w:val="1003"/>
        </w:numPr>
        <w:pStyle w:val="Compact"/>
      </w:pPr>
      <w:r>
        <w:rPr>
          <w:bCs/>
          <w:b/>
        </w:rPr>
        <w:t xml:space="preserve">Business Value:</w:t>
      </w:r>
      <w:r>
        <w:t xml:space="preserve"> </w:t>
      </w:r>
      <w:r>
        <w:t xml:space="preserve">Wider, higher-quality knowledge coverage directly expands recommendation completeness.</w:t>
      </w:r>
    </w:p>
    <w:p>
      <w:pPr>
        <w:numPr>
          <w:ilvl w:val="0"/>
          <w:numId w:val="1003"/>
        </w:numPr>
        <w:pStyle w:val="Compact"/>
      </w:pPr>
      <w:r>
        <w:rPr>
          <w:bCs/>
          <w:b/>
        </w:rPr>
        <w:t xml:space="preserve">Strategic Importance:</w:t>
      </w:r>
      <w:r>
        <w:t xml:space="preserve"> </w:t>
      </w:r>
      <w:r>
        <w:t xml:space="preserve">High.</w:t>
      </w:r>
    </w:p>
    <w:p>
      <w:pPr>
        <w:numPr>
          <w:ilvl w:val="0"/>
          <w:numId w:val="1003"/>
        </w:numPr>
        <w:pStyle w:val="Compact"/>
      </w:pPr>
      <w:r>
        <w:rPr>
          <w:bCs/>
          <w:b/>
        </w:rPr>
        <w:t xml:space="preserve">Dependencies:</w:t>
      </w:r>
      <w:r>
        <w:t xml:space="preserve"> </w:t>
      </w:r>
      <w:r>
        <w:t xml:space="preserve">Source onboarding per KCLF’s 35+-source catalog and acquisition-strategy framework.</w:t>
      </w:r>
    </w:p>
    <w:p>
      <w:pPr>
        <w:numPr>
          <w:ilvl w:val="0"/>
          <w:numId w:val="1003"/>
        </w:numPr>
        <w:pStyle w:val="Compact"/>
      </w:pPr>
      <w:r>
        <w:rPr>
          <w:bCs/>
          <w:b/>
        </w:rPr>
        <w:t xml:space="preserve">Risks:</w:t>
      </w:r>
      <w:r>
        <w:t xml:space="preserve"> </w:t>
      </w:r>
      <w:r>
        <w:t xml:space="preserve">Quality-gate bypass under delivery pressure; AI-assisted curation exceeding its</w:t>
      </w:r>
      <w:r>
        <w:t xml:space="preserve"> </w:t>
      </w:r>
      <w:r>
        <w:t xml:space="preserve">“</w:t>
      </w:r>
      <w:r>
        <w:t xml:space="preserve">suggest, never publish</w:t>
      </w:r>
      <w:r>
        <w:t xml:space="preserve">”</w:t>
      </w:r>
      <w:r>
        <w:t xml:space="preserve"> </w:t>
      </w:r>
      <w:r>
        <w:t xml:space="preserve">boundary without independent verification (the KCLF rule is architectural, not yet audited in code the way the runtime was).</w:t>
      </w:r>
    </w:p>
    <w:p>
      <w:pPr>
        <w:numPr>
          <w:ilvl w:val="0"/>
          <w:numId w:val="1003"/>
        </w:numPr>
        <w:pStyle w:val="Compact"/>
      </w:pPr>
      <w:r>
        <w:rPr>
          <w:bCs/>
          <w:b/>
        </w:rPr>
        <w:t xml:space="preserve">Business Impact:</w:t>
      </w:r>
      <w:r>
        <w:t xml:space="preserve"> </w:t>
      </w:r>
      <w:r>
        <w:t xml:space="preserve">Improves recommendation trust and category completeness together.</w:t>
      </w:r>
    </w:p>
    <w:p>
      <w:pPr>
        <w:numPr>
          <w:ilvl w:val="0"/>
          <w:numId w:val="1003"/>
        </w:numPr>
        <w:pStyle w:val="Compact"/>
      </w:pPr>
      <w:r>
        <w:rPr>
          <w:bCs/>
          <w:b/>
        </w:rPr>
        <w:t xml:space="preserve">Success Measures:</w:t>
      </w:r>
      <w:r>
        <w:t xml:space="preserve"> </w:t>
      </w:r>
      <w:r>
        <w:t xml:space="preserve">KCLF’s own 15 defined operational KPIs (Coverage %, Quality Score, Freshness Index, AI Acceptance Rate, Consumer Error Rate, etc.).</w:t>
      </w:r>
    </w:p>
    <w:p>
      <w:pPr>
        <w:numPr>
          <w:ilvl w:val="0"/>
          <w:numId w:val="1003"/>
        </w:numPr>
        <w:pStyle w:val="Compact"/>
      </w:pPr>
      <w:r>
        <w:rPr>
          <w:bCs/>
          <w:b/>
        </w:rPr>
        <w:t xml:space="preserve">Adoption Triggers:</w:t>
      </w:r>
      <w:r>
        <w:t xml:space="preserve"> </w:t>
      </w:r>
      <w:r>
        <w:t xml:space="preserve">A category is promoted from</w:t>
      </w:r>
      <w:r>
        <w:t xml:space="preserve"> </w:t>
      </w:r>
      <w:r>
        <w:t xml:space="preserve">“</w:t>
      </w:r>
      <w:r>
        <w:t xml:space="preserve">designed</w:t>
      </w:r>
      <w:r>
        <w:t xml:space="preserve">”</w:t>
      </w:r>
      <w:r>
        <w:t xml:space="preserve"> </w:t>
      </w:r>
      <w:r>
        <w:t xml:space="preserve">to</w:t>
      </w:r>
      <w:r>
        <w:t xml:space="preserve"> </w:t>
      </w:r>
      <w:r>
        <w:t xml:space="preserve">“</w:t>
      </w:r>
      <w:r>
        <w:t xml:space="preserve">live</w:t>
      </w:r>
      <w:r>
        <w:t xml:space="preserve">”</w:t>
      </w:r>
      <w:r>
        <w:t xml:space="preserve"> </w:t>
      </w:r>
      <w:r>
        <w:t xml:space="preserve">only once its quality score clears KCLF’s publication gate.</w:t>
      </w:r>
    </w:p>
    <w:p>
      <w:pPr>
        <w:numPr>
          <w:ilvl w:val="0"/>
          <w:numId w:val="1003"/>
        </w:numPr>
        <w:pStyle w:val="Compact"/>
      </w:pPr>
      <w:r>
        <w:rPr>
          <w:bCs/>
          <w:b/>
        </w:rPr>
        <w:t xml:space="preserve">Future Evolution:</w:t>
      </w:r>
      <w:r>
        <w:t xml:space="preserve"> </w:t>
      </w:r>
      <w:r>
        <w:t xml:space="preserve">Feeds directly into Wave 8 (Future &amp; Disruption Domain) and Wave 9 (International Expansion) of the HKP roadmap.</w:t>
      </w:r>
    </w:p>
    <w:bookmarkEnd w:id="29"/>
    <w:bookmarkStart w:id="30" w:name="ai-evolution"/>
    <w:p>
      <w:pPr>
        <w:pStyle w:val="Heading3"/>
      </w:pPr>
      <w:r>
        <w:t xml:space="preserve">6.3 AI Evolution</w:t>
      </w:r>
    </w:p>
    <w:p>
      <w:pPr>
        <w:numPr>
          <w:ilvl w:val="0"/>
          <w:numId w:val="1004"/>
        </w:numPr>
        <w:pStyle w:val="Compact"/>
      </w:pPr>
      <w:r>
        <w:rPr>
          <w:bCs/>
          <w:b/>
        </w:rPr>
        <w:t xml:space="preserve">Current State:</w:t>
      </w:r>
      <w:r>
        <w:t xml:space="preserve"> </w:t>
      </w:r>
      <w:r>
        <w:t xml:space="preserve">IQF and the AI-assisted curation model are designed; the</w:t>
      </w:r>
      <w:r>
        <w:t xml:space="preserve"> </w:t>
      </w:r>
      <w:r>
        <w:t xml:space="preserve">“</w:t>
      </w:r>
      <w:r>
        <w:t xml:space="preserve">AI never publishes</w:t>
      </w:r>
      <w:r>
        <w:t xml:space="preserve">”</w:t>
      </w:r>
      <w:r>
        <w:t xml:space="preserve"> </w:t>
      </w:r>
      <w:r>
        <w:t xml:space="preserve">rule is a hard constraint in architecture.</w:t>
      </w:r>
    </w:p>
    <w:p>
      <w:pPr>
        <w:numPr>
          <w:ilvl w:val="0"/>
          <w:numId w:val="1004"/>
        </w:numPr>
        <w:pStyle w:val="Compact"/>
      </w:pPr>
      <w:r>
        <w:rPr>
          <w:bCs/>
          <w:b/>
        </w:rPr>
        <w:t xml:space="preserve">Target State:</w:t>
      </w:r>
      <w:r>
        <w:t xml:space="preserve"> </w:t>
      </w:r>
      <w:r>
        <w:t xml:space="preserve">Independent, ACR-style verification that this constraint holds in running code, extended as recommendation categories go live.</w:t>
      </w:r>
    </w:p>
    <w:p>
      <w:pPr>
        <w:numPr>
          <w:ilvl w:val="0"/>
          <w:numId w:val="1004"/>
        </w:numPr>
        <w:pStyle w:val="Compact"/>
      </w:pPr>
      <w:r>
        <w:rPr>
          <w:bCs/>
          <w:b/>
        </w:rPr>
        <w:t xml:space="preserve">Business Value:</w:t>
      </w:r>
      <w:r>
        <w:t xml:space="preserve"> </w:t>
      </w:r>
      <w:r>
        <w:t xml:space="preserve">Preserves the trust basis the entire platform depends on.</w:t>
      </w:r>
    </w:p>
    <w:p>
      <w:pPr>
        <w:numPr>
          <w:ilvl w:val="0"/>
          <w:numId w:val="1004"/>
        </w:numPr>
        <w:pStyle w:val="Compact"/>
      </w:pPr>
      <w:r>
        <w:rPr>
          <w:bCs/>
          <w:b/>
        </w:rPr>
        <w:t xml:space="preserve">Strategic Importance:</w:t>
      </w:r>
      <w:r>
        <w:t xml:space="preserve"> </w:t>
      </w:r>
      <w:r>
        <w:t xml:space="preserve">High — this is the domain most exposed to reputational risk if unverified.</w:t>
      </w:r>
    </w:p>
    <w:p>
      <w:pPr>
        <w:numPr>
          <w:ilvl w:val="0"/>
          <w:numId w:val="1004"/>
        </w:numPr>
        <w:pStyle w:val="Compact"/>
      </w:pPr>
      <w:r>
        <w:rPr>
          <w:bCs/>
          <w:b/>
        </w:rPr>
        <w:t xml:space="preserve">Dependencies:</w:t>
      </w:r>
      <w:r>
        <w:t xml:space="preserve"> </w:t>
      </w:r>
      <w:r>
        <w:t xml:space="preserve">Runtime consolidation (6.1) and knowledge coverage growth (6.2).</w:t>
      </w:r>
    </w:p>
    <w:p>
      <w:pPr>
        <w:numPr>
          <w:ilvl w:val="0"/>
          <w:numId w:val="1004"/>
        </w:numPr>
        <w:pStyle w:val="Compact"/>
      </w:pPr>
      <w:r>
        <w:rPr>
          <w:bCs/>
          <w:b/>
        </w:rPr>
        <w:t xml:space="preserve">Risks:</w:t>
      </w:r>
      <w:r>
        <w:t xml:space="preserve"> </w:t>
      </w:r>
      <w:r>
        <w:t xml:space="preserve">Governance drift as AI involvement scales faster than audit capacity.</w:t>
      </w:r>
    </w:p>
    <w:p>
      <w:pPr>
        <w:numPr>
          <w:ilvl w:val="0"/>
          <w:numId w:val="1004"/>
        </w:numPr>
        <w:pStyle w:val="Compact"/>
      </w:pPr>
      <w:r>
        <w:rPr>
          <w:bCs/>
          <w:b/>
        </w:rPr>
        <w:t xml:space="preserve">Business Impact:</w:t>
      </w:r>
      <w:r>
        <w:t xml:space="preserve"> </w:t>
      </w:r>
      <w:r>
        <w:t xml:space="preserve">Direct — this is the trust product HireRise sells.</w:t>
      </w:r>
    </w:p>
    <w:p>
      <w:pPr>
        <w:numPr>
          <w:ilvl w:val="0"/>
          <w:numId w:val="1004"/>
        </w:numPr>
        <w:pStyle w:val="Compact"/>
      </w:pPr>
      <w:r>
        <w:rPr>
          <w:bCs/>
          <w:b/>
        </w:rPr>
        <w:t xml:space="preserve">Success Measures:</w:t>
      </w:r>
      <w:r>
        <w:t xml:space="preserve"> </w:t>
      </w:r>
      <w:r>
        <w:t xml:space="preserve">Audit coverage of AI-assisted publication decisions; zero unreviewed publications.</w:t>
      </w:r>
    </w:p>
    <w:p>
      <w:pPr>
        <w:numPr>
          <w:ilvl w:val="0"/>
          <w:numId w:val="1004"/>
        </w:numPr>
        <w:pStyle w:val="Compact"/>
      </w:pPr>
      <w:r>
        <w:rPr>
          <w:bCs/>
          <w:b/>
        </w:rPr>
        <w:t xml:space="preserve">Adoption Triggers:</w:t>
      </w:r>
      <w:r>
        <w:t xml:space="preserve"> </w:t>
      </w:r>
      <w:r>
        <w:t xml:space="preserve">No new AI-assisted acquisition strategy goes live without a corresponding audit mechanism in place first.</w:t>
      </w:r>
    </w:p>
    <w:p>
      <w:pPr>
        <w:numPr>
          <w:ilvl w:val="0"/>
          <w:numId w:val="1004"/>
        </w:numPr>
        <w:pStyle w:val="Compact"/>
      </w:pPr>
      <w:r>
        <w:rPr>
          <w:bCs/>
          <w:b/>
        </w:rPr>
        <w:t xml:space="preserve">Future Evolution:</w:t>
      </w:r>
      <w:r>
        <w:t xml:space="preserve"> </w:t>
      </w:r>
      <w:r>
        <w:t xml:space="preserve">Basis for any future employer-facing or higher-stakes decision domain.</w:t>
      </w:r>
    </w:p>
    <w:bookmarkEnd w:id="30"/>
    <w:bookmarkStart w:id="31" w:name="governance-evolution"/>
    <w:p>
      <w:pPr>
        <w:pStyle w:val="Heading3"/>
      </w:pPr>
      <w:r>
        <w:t xml:space="preserve">6.4 Governance Evolution</w:t>
      </w:r>
    </w:p>
    <w:p>
      <w:pPr>
        <w:numPr>
          <w:ilvl w:val="0"/>
          <w:numId w:val="1005"/>
        </w:numPr>
        <w:pStyle w:val="Compact"/>
      </w:pPr>
      <w:r>
        <w:rPr>
          <w:bCs/>
          <w:b/>
        </w:rPr>
        <w:t xml:space="preserve">Current State:</w:t>
      </w:r>
      <w:r>
        <w:t xml:space="preserve"> </w:t>
      </w:r>
      <w:r>
        <w:t xml:space="preserve">ARB-gated work-package process observable in the repository’s own document trail (WP-ARB-01, ACR-01); no formal EEP-02 operating-model or governance-domain architecture exists separately.</w:t>
      </w:r>
    </w:p>
    <w:p>
      <w:pPr>
        <w:numPr>
          <w:ilvl w:val="0"/>
          <w:numId w:val="1005"/>
        </w:numPr>
        <w:pStyle w:val="Compact"/>
      </w:pPr>
      <w:r>
        <w:rPr>
          <w:bCs/>
          <w:b/>
        </w:rPr>
        <w:t xml:space="preserve">Target State:</w:t>
      </w:r>
      <w:r>
        <w:t xml:space="preserve"> </w:t>
      </w:r>
      <w:r>
        <w:t xml:space="preserve">The proven ACR/ARB gate pattern formalized as the standing governance mechanism for all future capability and ecosystem expansion, and explicitly connected to a written (not just observed) operating model.</w:t>
      </w:r>
    </w:p>
    <w:p>
      <w:pPr>
        <w:numPr>
          <w:ilvl w:val="0"/>
          <w:numId w:val="1005"/>
        </w:numPr>
        <w:pStyle w:val="Compact"/>
      </w:pPr>
      <w:r>
        <w:rPr>
          <w:bCs/>
          <w:b/>
        </w:rPr>
        <w:t xml:space="preserve">Business Value:</w:t>
      </w:r>
      <w:r>
        <w:t xml:space="preserve"> </w:t>
      </w:r>
      <w:r>
        <w:t xml:space="preserve">Reduces the risk of the documentation/code drift ACR-01 already found once.</w:t>
      </w:r>
    </w:p>
    <w:p>
      <w:pPr>
        <w:numPr>
          <w:ilvl w:val="0"/>
          <w:numId w:val="1005"/>
        </w:numPr>
        <w:pStyle w:val="Compact"/>
      </w:pPr>
      <w:r>
        <w:rPr>
          <w:bCs/>
          <w:b/>
        </w:rPr>
        <w:t xml:space="preserve">Strategic Importance:</w:t>
      </w:r>
      <w:r>
        <w:t xml:space="preserve"> </w:t>
      </w:r>
      <w:r>
        <w:t xml:space="preserve">Medium-high.</w:t>
      </w:r>
    </w:p>
    <w:p>
      <w:pPr>
        <w:numPr>
          <w:ilvl w:val="0"/>
          <w:numId w:val="1005"/>
        </w:numPr>
        <w:pStyle w:val="Compact"/>
      </w:pPr>
      <w:r>
        <w:rPr>
          <w:bCs/>
          <w:b/>
        </w:rPr>
        <w:t xml:space="preserve">Dependencies:</w:t>
      </w:r>
      <w:r>
        <w:t xml:space="preserve"> </w:t>
      </w:r>
      <w:r>
        <w:t xml:space="preserve">None blocking — can proceed in parallel with 6.1–6.3.</w:t>
      </w:r>
    </w:p>
    <w:p>
      <w:pPr>
        <w:numPr>
          <w:ilvl w:val="0"/>
          <w:numId w:val="1005"/>
        </w:numPr>
        <w:pStyle w:val="Compact"/>
      </w:pPr>
      <w:r>
        <w:rPr>
          <w:bCs/>
          <w:b/>
        </w:rPr>
        <w:t xml:space="preserve">Risks:</w:t>
      </w:r>
      <w:r>
        <w:t xml:space="preserve"> </w:t>
      </w:r>
      <w:r>
        <w:t xml:space="preserve">Without a written operating model, governance remains dependent on individual reviewers noticing drift rather than a repeatable process.</w:t>
      </w:r>
    </w:p>
    <w:p>
      <w:pPr>
        <w:numPr>
          <w:ilvl w:val="0"/>
          <w:numId w:val="1005"/>
        </w:numPr>
        <w:pStyle w:val="Compact"/>
      </w:pPr>
      <w:r>
        <w:rPr>
          <w:bCs/>
          <w:b/>
        </w:rPr>
        <w:t xml:space="preserve">Business Impact:</w:t>
      </w:r>
      <w:r>
        <w:t xml:space="preserve"> </w:t>
      </w:r>
      <w:r>
        <w:t xml:space="preserve">Indirect but compounding — governance quality determines how much of this document’s other roadmaps can be trusted at face value.</w:t>
      </w:r>
    </w:p>
    <w:p>
      <w:pPr>
        <w:numPr>
          <w:ilvl w:val="0"/>
          <w:numId w:val="1005"/>
        </w:numPr>
        <w:pStyle w:val="Compact"/>
      </w:pPr>
      <w:r>
        <w:rPr>
          <w:bCs/>
          <w:b/>
        </w:rPr>
        <w:t xml:space="preserve">Success Measures:</w:t>
      </w:r>
      <w:r>
        <w:t xml:space="preserve"> </w:t>
      </w:r>
      <w:r>
        <w:t xml:space="preserve">Existence and cadence of independent conformance reviews per major service/domain.</w:t>
      </w:r>
    </w:p>
    <w:p>
      <w:pPr>
        <w:numPr>
          <w:ilvl w:val="0"/>
          <w:numId w:val="1005"/>
        </w:numPr>
        <w:pStyle w:val="Compact"/>
      </w:pPr>
      <w:r>
        <w:rPr>
          <w:bCs/>
          <w:b/>
        </w:rPr>
        <w:t xml:space="preserve">Adoption Triggers:</w:t>
      </w:r>
      <w:r>
        <w:t xml:space="preserve"> </w:t>
      </w:r>
      <w:r>
        <w:t xml:space="preserve">A written operating-model document exists and is applied to at least one full transformation-domain cycle.</w:t>
      </w:r>
    </w:p>
    <w:p>
      <w:pPr>
        <w:numPr>
          <w:ilvl w:val="0"/>
          <w:numId w:val="1005"/>
        </w:numPr>
        <w:pStyle w:val="Compact"/>
      </w:pPr>
      <w:r>
        <w:rPr>
          <w:bCs/>
          <w:b/>
        </w:rPr>
        <w:t xml:space="preserve">Future Evolution:</w:t>
      </w:r>
      <w:r>
        <w:t xml:space="preserve"> </w:t>
      </w:r>
      <w:r>
        <w:t xml:space="preserve">Natural candidate to become the missing EEP-02 Phase H (Operating Model Architecture).</w:t>
      </w:r>
    </w:p>
    <w:bookmarkEnd w:id="31"/>
    <w:bookmarkStart w:id="32" w:name="Xe097a10f61da36588c189476b53964ae291234a"/>
    <w:p>
      <w:pPr>
        <w:pStyle w:val="Heading3"/>
      </w:pPr>
      <w:r>
        <w:t xml:space="preserve">6.5 Ecosystem Domains (Partner, Employer, Academic, API Economy)</w:t>
      </w:r>
    </w:p>
    <w:p>
      <w:pPr>
        <w:numPr>
          <w:ilvl w:val="0"/>
          <w:numId w:val="1006"/>
        </w:numPr>
        <w:pStyle w:val="Compact"/>
      </w:pPr>
      <w:r>
        <w:rPr>
          <w:bCs/>
          <w:b/>
        </w:rPr>
        <w:t xml:space="preserve">Current State:</w:t>
      </w:r>
      <w:r>
        <w:t xml:space="preserve"> </w:t>
      </w:r>
      <w:r>
        <w:t xml:space="preserve">No partner or employer ecosystem architecture exists. Academic-domain relationships are source-only (data ingestion), not partnership structures. No API-economy architecture exists.</w:t>
      </w:r>
    </w:p>
    <w:p>
      <w:pPr>
        <w:numPr>
          <w:ilvl w:val="0"/>
          <w:numId w:val="1006"/>
        </w:numPr>
        <w:pStyle w:val="Compact"/>
      </w:pPr>
      <w:r>
        <w:rPr>
          <w:bCs/>
          <w:b/>
        </w:rPr>
        <w:t xml:space="preserve">Target State:</w:t>
      </w:r>
      <w:r>
        <w:t xml:space="preserve"> </w:t>
      </w:r>
      <w:r>
        <w:t xml:space="preserve">Not yet defined — deliberately. Per the transformation principles, ecosystem expansion should follow, not precede, a stable runtime, verified knowledge quality, and audited AI governance.</w:t>
      </w:r>
    </w:p>
    <w:p>
      <w:pPr>
        <w:numPr>
          <w:ilvl w:val="0"/>
          <w:numId w:val="1006"/>
        </w:numPr>
        <w:pStyle w:val="Compact"/>
      </w:pPr>
      <w:r>
        <w:rPr>
          <w:bCs/>
          <w:b/>
        </w:rPr>
        <w:t xml:space="preserve">Business Value:</w:t>
      </w:r>
      <w:r>
        <w:t xml:space="preserve"> </w:t>
      </w:r>
      <w:r>
        <w:t xml:space="preserve">Undetermined pending scoping work.</w:t>
      </w:r>
    </w:p>
    <w:p>
      <w:pPr>
        <w:numPr>
          <w:ilvl w:val="0"/>
          <w:numId w:val="1006"/>
        </w:numPr>
        <w:pStyle w:val="Compact"/>
      </w:pPr>
      <w:r>
        <w:rPr>
          <w:bCs/>
          <w:b/>
        </w:rPr>
        <w:t xml:space="preserve">Strategic Importance:</w:t>
      </w:r>
      <w:r>
        <w:t xml:space="preserve"> </w:t>
      </w:r>
      <w:r>
        <w:t xml:space="preserve">Low for now; re-evaluate once Domains 6.1–6.4 clear their adoption triggers.</w:t>
      </w:r>
    </w:p>
    <w:p>
      <w:pPr>
        <w:numPr>
          <w:ilvl w:val="0"/>
          <w:numId w:val="1006"/>
        </w:numPr>
        <w:pStyle w:val="Compact"/>
      </w:pPr>
      <w:r>
        <w:rPr>
          <w:bCs/>
          <w:b/>
        </w:rPr>
        <w:t xml:space="preserve">Dependencies:</w:t>
      </w:r>
      <w:r>
        <w:t xml:space="preserve"> </w:t>
      </w:r>
      <w:r>
        <w:t xml:space="preserve">All of 6.1–6.4.</w:t>
      </w:r>
    </w:p>
    <w:p>
      <w:pPr>
        <w:numPr>
          <w:ilvl w:val="0"/>
          <w:numId w:val="1006"/>
        </w:numPr>
        <w:pStyle w:val="Compact"/>
      </w:pPr>
      <w:r>
        <w:rPr>
          <w:bCs/>
          <w:b/>
        </w:rPr>
        <w:t xml:space="preserve">Risks:</w:t>
      </w:r>
      <w:r>
        <w:t xml:space="preserve"> </w:t>
      </w:r>
      <w:r>
        <w:t xml:space="preserve">Building ecosystem/API surface area on top of an unverified decision engine would multiply the trust exposure ACR-01 already flagged.</w:t>
      </w:r>
    </w:p>
    <w:p>
      <w:pPr>
        <w:numPr>
          <w:ilvl w:val="0"/>
          <w:numId w:val="1006"/>
        </w:numPr>
        <w:pStyle w:val="Compact"/>
      </w:pPr>
      <w:r>
        <w:rPr>
          <w:bCs/>
          <w:b/>
        </w:rPr>
        <w:t xml:space="preserve">Business Impact:</w:t>
      </w:r>
      <w:r>
        <w:t xml:space="preserve"> </w:t>
      </w:r>
      <w:r>
        <w:t xml:space="preserve">N/A at current maturity.</w:t>
      </w:r>
    </w:p>
    <w:p>
      <w:pPr>
        <w:numPr>
          <w:ilvl w:val="0"/>
          <w:numId w:val="1006"/>
        </w:numPr>
        <w:pStyle w:val="Compact"/>
      </w:pPr>
      <w:r>
        <w:rPr>
          <w:bCs/>
          <w:b/>
        </w:rPr>
        <w:t xml:space="preserve">Success Measures:</w:t>
      </w:r>
      <w:r>
        <w:t xml:space="preserve"> </w:t>
      </w:r>
      <w:r>
        <w:t xml:space="preserve">N/A — no architecture yet to measure.</w:t>
      </w:r>
    </w:p>
    <w:p>
      <w:pPr>
        <w:numPr>
          <w:ilvl w:val="0"/>
          <w:numId w:val="1006"/>
        </w:numPr>
        <w:pStyle w:val="Compact"/>
      </w:pPr>
      <w:r>
        <w:rPr>
          <w:bCs/>
          <w:b/>
        </w:rPr>
        <w:t xml:space="preserve">Adoption Triggers:</w:t>
      </w:r>
      <w:r>
        <w:t xml:space="preserve"> </w:t>
      </w:r>
      <w:r>
        <w:t xml:space="preserve">Formal scoping (an EEP-02-style work package) is itself the first adoption trigger; this document deliberately does not skip ahead of it.</w:t>
      </w:r>
    </w:p>
    <w:p>
      <w:pPr>
        <w:numPr>
          <w:ilvl w:val="0"/>
          <w:numId w:val="1006"/>
        </w:numPr>
        <w:pStyle w:val="Compact"/>
      </w:pPr>
      <w:r>
        <w:rPr>
          <w:bCs/>
          <w:b/>
        </w:rPr>
        <w:t xml:space="preserve">Future Evolution:</w:t>
      </w:r>
      <w:r>
        <w:t xml:space="preserve"> </w:t>
      </w:r>
      <w:r>
        <w:t xml:space="preserve">First candidate for genuine EEP-02 Phase A–H work once the above conditions hold.</w:t>
      </w:r>
    </w:p>
    <w:bookmarkEnd w:id="32"/>
    <w:bookmarkStart w:id="33" w:name="international-expansion"/>
    <w:p>
      <w:pPr>
        <w:pStyle w:val="Heading3"/>
      </w:pPr>
      <w:r>
        <w:t xml:space="preserve">6.6 International Expansion</w:t>
      </w:r>
    </w:p>
    <w:p>
      <w:pPr>
        <w:numPr>
          <w:ilvl w:val="0"/>
          <w:numId w:val="1007"/>
        </w:numPr>
        <w:pStyle w:val="Compact"/>
      </w:pPr>
      <w:r>
        <w:rPr>
          <w:bCs/>
          <w:b/>
        </w:rPr>
        <w:t xml:space="preserve">Current State:</w:t>
      </w:r>
      <w:r>
        <w:t xml:space="preserve"> </w:t>
      </w:r>
      <w:r>
        <w:t xml:space="preserve">Named explicitly as Wave 9 in the HKP implementation roadmap and referenced across multiple knowledge-domain documents; no build evidence yet — India v1 is the current and only target platform.</w:t>
      </w:r>
    </w:p>
    <w:p>
      <w:pPr>
        <w:numPr>
          <w:ilvl w:val="0"/>
          <w:numId w:val="1007"/>
        </w:numPr>
        <w:pStyle w:val="Compact"/>
      </w:pPr>
      <w:r>
        <w:rPr>
          <w:bCs/>
          <w:b/>
        </w:rPr>
        <w:t xml:space="preserve">Target State:</w:t>
      </w:r>
      <w:r>
        <w:t xml:space="preserve"> </w:t>
      </w:r>
      <w:r>
        <w:t xml:space="preserve">Knowledge schema already designed to be geography-extensible (canonical IDs, versioned entities); expansion begins once India v1 knowledge coverage and decision-engine consolidation are stable.</w:t>
      </w:r>
    </w:p>
    <w:p>
      <w:pPr>
        <w:numPr>
          <w:ilvl w:val="0"/>
          <w:numId w:val="1007"/>
        </w:numPr>
        <w:pStyle w:val="Compact"/>
      </w:pPr>
      <w:r>
        <w:rPr>
          <w:bCs/>
          <w:b/>
        </w:rPr>
        <w:t xml:space="preserve">Business Value:</w:t>
      </w:r>
      <w:r>
        <w:t xml:space="preserve"> </w:t>
      </w:r>
      <w:r>
        <w:t xml:space="preserve">Large, but explicitly sequenced last in the platform’s own roadmap — not a near-term investment.</w:t>
      </w:r>
    </w:p>
    <w:p>
      <w:pPr>
        <w:numPr>
          <w:ilvl w:val="0"/>
          <w:numId w:val="1007"/>
        </w:numPr>
        <w:pStyle w:val="Compact"/>
      </w:pPr>
      <w:r>
        <w:rPr>
          <w:bCs/>
          <w:b/>
        </w:rPr>
        <w:t xml:space="preserve">Strategic Importance:</w:t>
      </w:r>
      <w:r>
        <w:t xml:space="preserve"> </w:t>
      </w:r>
      <w:r>
        <w:t xml:space="preserve">Medium, deferred by design.</w:t>
      </w:r>
    </w:p>
    <w:p>
      <w:pPr>
        <w:numPr>
          <w:ilvl w:val="0"/>
          <w:numId w:val="1007"/>
        </w:numPr>
        <w:pStyle w:val="Compact"/>
      </w:pPr>
      <w:r>
        <w:rPr>
          <w:bCs/>
          <w:b/>
        </w:rPr>
        <w:t xml:space="preserve">Dependencies:</w:t>
      </w:r>
      <w:r>
        <w:t xml:space="preserve"> </w:t>
      </w:r>
      <w:r>
        <w:t xml:space="preserve">6.1, 6.2.</w:t>
      </w:r>
    </w:p>
    <w:p>
      <w:pPr>
        <w:numPr>
          <w:ilvl w:val="0"/>
          <w:numId w:val="1007"/>
        </w:numPr>
        <w:pStyle w:val="Compact"/>
      </w:pPr>
      <w:r>
        <w:rPr>
          <w:bCs/>
          <w:b/>
        </w:rPr>
        <w:t xml:space="preserve">Risks:</w:t>
      </w:r>
      <w:r>
        <w:t xml:space="preserve"> </w:t>
      </w:r>
      <w:r>
        <w:t xml:space="preserve">Premature expansion would fragment a knowledge base not yet fully governed for one market.</w:t>
      </w:r>
    </w:p>
    <w:p>
      <w:pPr>
        <w:numPr>
          <w:ilvl w:val="0"/>
          <w:numId w:val="1007"/>
        </w:numPr>
        <w:pStyle w:val="Compact"/>
      </w:pPr>
      <w:r>
        <w:rPr>
          <w:bCs/>
          <w:b/>
        </w:rPr>
        <w:t xml:space="preserve">Business Impact:</w:t>
      </w:r>
      <w:r>
        <w:t xml:space="preserve"> </w:t>
      </w:r>
      <w:r>
        <w:t xml:space="preserve">Deferred.</w:t>
      </w:r>
    </w:p>
    <w:p>
      <w:pPr>
        <w:numPr>
          <w:ilvl w:val="0"/>
          <w:numId w:val="1007"/>
        </w:numPr>
        <w:pStyle w:val="Compact"/>
      </w:pPr>
      <w:r>
        <w:rPr>
          <w:bCs/>
          <w:b/>
        </w:rPr>
        <w:t xml:space="preserve">Success Measures:</w:t>
      </w:r>
      <w:r>
        <w:t xml:space="preserve"> </w:t>
      </w:r>
      <w:r>
        <w:t xml:space="preserve">To be defined at scoping.</w:t>
      </w:r>
    </w:p>
    <w:p>
      <w:pPr>
        <w:numPr>
          <w:ilvl w:val="0"/>
          <w:numId w:val="1007"/>
        </w:numPr>
        <w:pStyle w:val="Compact"/>
      </w:pPr>
      <w:r>
        <w:rPr>
          <w:bCs/>
          <w:b/>
        </w:rPr>
        <w:t xml:space="preserve">Adoption Triggers:</w:t>
      </w:r>
      <w:r>
        <w:t xml:space="preserve"> </w:t>
      </w:r>
      <w:r>
        <w:t xml:space="preserve">India v1 knowledge coverage and decision-engine conformance both clear their respective gates first.</w:t>
      </w:r>
    </w:p>
    <w:p>
      <w:pPr>
        <w:numPr>
          <w:ilvl w:val="0"/>
          <w:numId w:val="1007"/>
        </w:numPr>
        <w:pStyle w:val="Compact"/>
      </w:pPr>
      <w:r>
        <w:rPr>
          <w:bCs/>
          <w:b/>
        </w:rPr>
        <w:t xml:space="preserve">Future Evolution:</w:t>
      </w:r>
      <w:r>
        <w:t xml:space="preserve"> </w:t>
      </w:r>
      <w:r>
        <w:t xml:space="preserve">Wave 9 execution.</w:t>
      </w:r>
    </w:p>
    <w:p>
      <w:r>
        <w:pict>
          <v:rect style="width:0;height:1.5pt" o:hralign="center" o:hrstd="t" o:hr="t"/>
        </w:pict>
      </w:r>
    </w:p>
    <w:bookmarkEnd w:id="33"/>
    <w:bookmarkEnd w:id="34"/>
    <w:bookmarkStart w:id="35" w:name="enterprise-portfolio-evolution"/>
    <w:p>
      <w:pPr>
        <w:pStyle w:val="Heading2"/>
      </w:pPr>
      <w:r>
        <w:t xml:space="preserve">7. Enterprise Portfolio Evolution</w:t>
      </w:r>
    </w:p>
    <w:p>
      <w:pPr>
        <w:numPr>
          <w:ilvl w:val="0"/>
          <w:numId w:val="1008"/>
        </w:numPr>
        <w:pStyle w:val="Compact"/>
      </w:pPr>
      <w:r>
        <w:rPr>
          <w:bCs/>
          <w:b/>
        </w:rPr>
        <w:t xml:space="preserve">Capability portfolio:</w:t>
      </w:r>
      <w:r>
        <w:t xml:space="preserve"> </w:t>
      </w:r>
      <w:r>
        <w:t xml:space="preserve">Currently three runtime capabilities (knowledge, student, recommendation). Portfolio expansion is gated by the adoption triggers in Section 6, not by calendar.</w:t>
      </w:r>
    </w:p>
    <w:p>
      <w:pPr>
        <w:numPr>
          <w:ilvl w:val="0"/>
          <w:numId w:val="1008"/>
        </w:numPr>
        <w:pStyle w:val="Compact"/>
      </w:pPr>
      <w:r>
        <w:rPr>
          <w:bCs/>
          <w:b/>
        </w:rPr>
        <w:t xml:space="preserve">Knowledge portfolio:</w:t>
      </w:r>
      <w:r>
        <w:t xml:space="preserve"> </w:t>
      </w:r>
      <w:r>
        <w:t xml:space="preserve">One live recommendation category (skills) against eight designed; the KCLF quality gate is the portfolio-admission mechanism.</w:t>
      </w:r>
    </w:p>
    <w:p>
      <w:pPr>
        <w:numPr>
          <w:ilvl w:val="0"/>
          <w:numId w:val="1008"/>
        </w:numPr>
        <w:pStyle w:val="Compact"/>
      </w:pPr>
      <w:r>
        <w:rPr>
          <w:bCs/>
          <w:b/>
        </w:rPr>
        <w:t xml:space="preserve">AI portfolio:</w:t>
      </w:r>
      <w:r>
        <w:t xml:space="preserve"> </w:t>
      </w:r>
      <w:r>
        <w:t xml:space="preserve">Curation assistance and recommendation generation, both under a human-approval constraint; no autonomous-publication capability exists or is planned.</w:t>
      </w:r>
    </w:p>
    <w:p>
      <w:pPr>
        <w:numPr>
          <w:ilvl w:val="0"/>
          <w:numId w:val="1008"/>
        </w:numPr>
        <w:pStyle w:val="Compact"/>
      </w:pPr>
      <w:r>
        <w:rPr>
          <w:bCs/>
          <w:b/>
        </w:rPr>
        <w:t xml:space="preserve">Business service portfolio:</w:t>
      </w:r>
      <w:r>
        <w:t xml:space="preserve"> </w:t>
      </w:r>
      <w:r>
        <w:t xml:space="preserve">Not separately defined in the repository; the three runtime services are the closest evidenced proxy.</w:t>
      </w:r>
    </w:p>
    <w:p>
      <w:pPr>
        <w:numPr>
          <w:ilvl w:val="0"/>
          <w:numId w:val="1008"/>
        </w:numPr>
        <w:pStyle w:val="Compact"/>
      </w:pPr>
      <w:r>
        <w:rPr>
          <w:bCs/>
          <w:b/>
        </w:rPr>
        <w:t xml:space="preserve">Domain portfolio:</w:t>
      </w:r>
      <w:r>
        <w:t xml:space="preserve"> </w:t>
      </w:r>
      <w:r>
        <w:t xml:space="preserve">Student/academic domain is the sole evidenced business domain; no others (employer, partner) exist yet.</w:t>
      </w:r>
    </w:p>
    <w:p>
      <w:pPr>
        <w:numPr>
          <w:ilvl w:val="0"/>
          <w:numId w:val="1008"/>
        </w:numPr>
        <w:pStyle w:val="Compact"/>
      </w:pPr>
      <w:r>
        <w:rPr>
          <w:bCs/>
          <w:b/>
        </w:rPr>
        <w:t xml:space="preserve">Strategic investments:</w:t>
      </w:r>
      <w:r>
        <w:t xml:space="preserve"> </w:t>
      </w:r>
      <w:r>
        <w:t xml:space="preserve">Prioritized in this order — runtime consolidation, knowledge coverage, AI governance audit, then (only once triggers clear) ecosystem/international.</w:t>
      </w:r>
    </w:p>
    <w:p>
      <w:pPr>
        <w:numPr>
          <w:ilvl w:val="0"/>
          <w:numId w:val="1008"/>
        </w:numPr>
        <w:pStyle w:val="Compact"/>
      </w:pPr>
      <w:r>
        <w:rPr>
          <w:bCs/>
          <w:b/>
        </w:rPr>
        <w:t xml:space="preserve">Portfolio balancing:</w:t>
      </w:r>
      <w:r>
        <w:t xml:space="preserve"> </w:t>
      </w:r>
      <w:r>
        <w:t xml:space="preserve">Weighted toward closing ACR-01’s identified gaps before adding new scope, per the</w:t>
      </w:r>
      <w:r>
        <w:t xml:space="preserve"> </w:t>
      </w:r>
      <w:r>
        <w:t xml:space="preserve">“</w:t>
      </w:r>
      <w:r>
        <w:t xml:space="preserve">incremental evolution</w:t>
      </w:r>
      <w:r>
        <w:t xml:space="preserve">”</w:t>
      </w:r>
      <w:r>
        <w:t xml:space="preserve"> </w:t>
      </w:r>
      <w:r>
        <w:t xml:space="preserve">principle.</w:t>
      </w:r>
    </w:p>
    <w:p>
      <w:pPr>
        <w:numPr>
          <w:ilvl w:val="0"/>
          <w:numId w:val="1008"/>
        </w:numPr>
        <w:pStyle w:val="Compact"/>
      </w:pPr>
      <w:r>
        <w:rPr>
          <w:bCs/>
          <w:b/>
        </w:rPr>
        <w:t xml:space="preserve">Portfolio governance:</w:t>
      </w:r>
      <w:r>
        <w:t xml:space="preserve"> </w:t>
      </w:r>
      <w:r>
        <w:t xml:space="preserve">The ARB/ACR gate pattern already in use should be applied to every future portfolio addition.</w:t>
      </w:r>
    </w:p>
    <w:p>
      <w:r>
        <w:pict>
          <v:rect style="width:0;height:1.5pt" o:hralign="center" o:hrstd="t" o:hr="t"/>
        </w:pict>
      </w:r>
    </w:p>
    <w:bookmarkEnd w:id="35"/>
    <w:bookmarkStart w:id="36" w:name="ecosystem-strategy"/>
    <w:p>
      <w:pPr>
        <w:pStyle w:val="Heading2"/>
      </w:pPr>
      <w:r>
        <w:t xml:space="preserve">8. Ecosystem Strategy</w:t>
      </w:r>
    </w:p>
    <w:p>
      <w:pPr>
        <w:pStyle w:val="FirstParagraph"/>
      </w:pPr>
      <w:r>
        <w:t xml:space="preserve">No education, employer, partner, government, certification, or learning-provider ecosystem architecture is present in the repository, and no approved EEP-02 ecosystem document was made available for this review. Per the transformation principle</w:t>
      </w:r>
      <w:r>
        <w:t xml:space="preserve"> </w:t>
      </w:r>
      <w:r>
        <w:t xml:space="preserve">“</w:t>
      </w:r>
      <w:r>
        <w:t xml:space="preserve">do not introduce ecosystem participants unsupported by evidence or strategic direction,</w:t>
      </w:r>
      <w:r>
        <w:t xml:space="preserve">”</w:t>
      </w:r>
      <w:r>
        <w:t xml:space="preserve"> </w:t>
      </w:r>
      <w:r>
        <w:t xml:space="preserve">this document does not name specific ecosystem participants or structures. The one exception is the</w:t>
      </w:r>
      <w:r>
        <w:t xml:space="preserve"> </w:t>
      </w:r>
      <w:r>
        <w:rPr>
          <w:iCs/>
          <w:i/>
        </w:rPr>
        <w:t xml:space="preserve">knowledge source</w:t>
      </w:r>
      <w:r>
        <w:t xml:space="preserve"> </w:t>
      </w:r>
      <w:r>
        <w:t xml:space="preserve">catalog (NCERT, CBSE, WEF, O*NET, and 30+ others), which functions as a data-supply relationship, not a partnership — it is documented in Section 6.5 and should not be conflated with an ecosystem strategy. A future marketplace or API ecosystem is not evidenced and is therefore out of scope for this phase.</w:t>
      </w:r>
    </w:p>
    <w:p>
      <w:r>
        <w:pict>
          <v:rect style="width:0;height:1.5pt" o:hralign="center" o:hrstd="t" o:hr="t"/>
        </w:pict>
      </w:r>
    </w:p>
    <w:bookmarkEnd w:id="36"/>
    <w:bookmarkStart w:id="37" w:name="enterprise-maturity-evolution"/>
    <w:p>
      <w:pPr>
        <w:pStyle w:val="Heading2"/>
      </w:pPr>
      <w:r>
        <w:t xml:space="preserve">9. Enterprise Maturity Evolution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Maturity Dimension</w:t>
            </w:r>
          </w:p>
        </w:tc>
        <w:tc>
          <w:tcPr/>
          <w:p>
            <w:pPr>
              <w:pStyle w:val="Compact"/>
              <w:jc w:val="left"/>
            </w:pPr>
            <w:r>
              <w:t xml:space="preserve">Current Level</w:t>
            </w:r>
          </w:p>
        </w:tc>
        <w:tc>
          <w:tcPr/>
          <w:p>
            <w:pPr>
              <w:pStyle w:val="Compact"/>
              <w:jc w:val="left"/>
            </w:pPr>
            <w:r>
              <w:t xml:space="preserve">Evidence</w:t>
            </w:r>
          </w:p>
        </w:tc>
      </w:tr>
      <w:tr>
        <w:tc>
          <w:tcPr/>
          <w:p>
            <w:pPr>
              <w:pStyle w:val="Compact"/>
              <w:jc w:val="left"/>
            </w:pPr>
            <w:r>
              <w:t xml:space="preserve">Business maturity</w:t>
            </w:r>
          </w:p>
        </w:tc>
        <w:tc>
          <w:tcPr/>
          <w:p>
            <w:pPr>
              <w:pStyle w:val="Compact"/>
              <w:jc w:val="left"/>
            </w:pPr>
            <w:r>
              <w:t xml:space="preserve">Early — single domain, no formal capability architecture</w:t>
            </w:r>
          </w:p>
        </w:tc>
        <w:tc>
          <w:tcPr/>
          <w:p>
            <w:pPr>
              <w:pStyle w:val="Compact"/>
              <w:jc w:val="left"/>
            </w:pPr>
            <w:r>
              <w:t xml:space="preserve">Absence of EEP-02 A–B</w:t>
            </w:r>
          </w:p>
        </w:tc>
      </w:tr>
      <w:tr>
        <w:tc>
          <w:tcPr/>
          <w:p>
            <w:pPr>
              <w:pStyle w:val="Compact"/>
              <w:jc w:val="left"/>
            </w:pPr>
            <w:r>
              <w:t xml:space="preserve">Knowledge maturity</w:t>
            </w:r>
          </w:p>
        </w:tc>
        <w:tc>
          <w:tcPr/>
          <w:p>
            <w:pPr>
              <w:pStyle w:val="Compact"/>
              <w:jc w:val="left"/>
            </w:pPr>
            <w:r>
              <w:t xml:space="preserve">Mid — governed design (HKP/KCLF) ahead of production coverage</w:t>
            </w:r>
          </w:p>
        </w:tc>
        <w:tc>
          <w:tcPr/>
          <w:p>
            <w:pPr>
              <w:pStyle w:val="Compact"/>
              <w:jc w:val="left"/>
            </w:pPr>
            <w:r>
              <w:t xml:space="preserve">WP-KP-01, WP-KD-01</w:t>
            </w:r>
          </w:p>
        </w:tc>
      </w:tr>
      <w:tr>
        <w:tc>
          <w:tcPr/>
          <w:p>
            <w:pPr>
              <w:pStyle w:val="Compact"/>
              <w:jc w:val="left"/>
            </w:pPr>
            <w:r>
              <w:t xml:space="preserve">AI maturity</w:t>
            </w:r>
          </w:p>
        </w:tc>
        <w:tc>
          <w:tcPr/>
          <w:p>
            <w:pPr>
              <w:pStyle w:val="Compact"/>
              <w:jc w:val="left"/>
            </w:pPr>
            <w:r>
              <w:t xml:space="preserve">Mid — strong constraints designed, unaudited in production</w:t>
            </w:r>
          </w:p>
        </w:tc>
        <w:tc>
          <w:tcPr/>
          <w:p>
            <w:pPr>
              <w:pStyle w:val="Compact"/>
              <w:jc w:val="left"/>
            </w:pPr>
            <w:r>
              <w:t xml:space="preserve">IQF, KCLF AI rules</w:t>
            </w:r>
          </w:p>
        </w:tc>
      </w:tr>
      <w:tr>
        <w:tc>
          <w:tcPr/>
          <w:p>
            <w:pPr>
              <w:pStyle w:val="Compact"/>
              <w:jc w:val="left"/>
            </w:pPr>
            <w:r>
              <w:t xml:space="preserve">Governance maturity</w:t>
            </w:r>
          </w:p>
        </w:tc>
        <w:tc>
          <w:tcPr/>
          <w:p>
            <w:pPr>
              <w:pStyle w:val="Compact"/>
              <w:jc w:val="left"/>
            </w:pPr>
            <w:r>
              <w:t xml:space="preserve">Mid — strong point-in-time review (ACR-01), no standing operating model</w:t>
            </w:r>
          </w:p>
        </w:tc>
        <w:tc>
          <w:tcPr/>
          <w:p>
            <w:pPr>
              <w:pStyle w:val="Compact"/>
              <w:jc w:val="left"/>
            </w:pPr>
            <w:r>
              <w:t xml:space="preserve">ACR-01, WP-ARB-01</w:t>
            </w:r>
          </w:p>
        </w:tc>
      </w:tr>
      <w:tr>
        <w:tc>
          <w:tcPr/>
          <w:p>
            <w:pPr>
              <w:pStyle w:val="Compact"/>
              <w:jc w:val="left"/>
            </w:pPr>
            <w:r>
              <w:t xml:space="preserve">Operating maturity</w:t>
            </w:r>
          </w:p>
        </w:tc>
        <w:tc>
          <w:tcPr/>
          <w:p>
            <w:pPr>
              <w:pStyle w:val="Compact"/>
              <w:jc w:val="left"/>
            </w:pPr>
            <w:r>
              <w:t xml:space="preserve">Early — WP/ARB process observed, not formally documented as an operating model</w:t>
            </w:r>
          </w:p>
        </w:tc>
        <w:tc>
          <w:tcPr/>
          <w:p>
            <w:pPr>
              <w:pStyle w:val="Compact"/>
              <w:jc w:val="left"/>
            </w:pPr>
            <w:r>
              <w:t xml:space="preserve">Repository document trail</w:t>
            </w:r>
          </w:p>
        </w:tc>
      </w:tr>
      <w:tr>
        <w:tc>
          <w:tcPr/>
          <w:p>
            <w:pPr>
              <w:pStyle w:val="Compact"/>
              <w:jc w:val="left"/>
            </w:pPr>
            <w:r>
              <w:t xml:space="preserve">Transformation maturity</w:t>
            </w:r>
          </w:p>
        </w:tc>
        <w:tc>
          <w:tcPr/>
          <w:p>
            <w:pPr>
              <w:pStyle w:val="Compact"/>
              <w:jc w:val="left"/>
            </w:pPr>
            <w:r>
              <w:t xml:space="preserve">Early — this document is the first attempt at a dedicated strategy layer</w:t>
            </w:r>
          </w:p>
        </w:tc>
        <w:tc>
          <w:tcPr/>
          <w:p>
            <w:pPr>
              <w:pStyle w:val="Compact"/>
              <w:jc w:val="left"/>
            </w:pPr>
            <w:r>
              <w:t xml:space="preserve">This phase</w:t>
            </w:r>
          </w:p>
        </w:tc>
      </w:tr>
      <w:tr>
        <w:tc>
          <w:tcPr/>
          <w:p>
            <w:pPr>
              <w:pStyle w:val="Compact"/>
              <w:jc w:val="left"/>
            </w:pPr>
            <w:r>
              <w:t xml:space="preserve">Enterprise readiness</w:t>
            </w:r>
          </w:p>
        </w:tc>
        <w:tc>
          <w:tcPr/>
          <w:p>
            <w:pPr>
              <w:pStyle w:val="Compact"/>
              <w:jc w:val="left"/>
            </w:pPr>
            <w:r>
              <w:t xml:space="preserve">Conditional —</w:t>
            </w:r>
            <w:r>
              <w:t xml:space="preserve"> </w:t>
            </w:r>
            <w:r>
              <w:t xml:space="preserve">“</w:t>
            </w:r>
            <w:r>
              <w:t xml:space="preserve">ready with conditions</w:t>
            </w:r>
            <w:r>
              <w:t xml:space="preserve">”</w:t>
            </w:r>
            <w:r>
              <w:t xml:space="preserve"> </w:t>
            </w:r>
            <w:r>
              <w:t xml:space="preserve">is the platform’s own self-assessment at the runtime layer</w:t>
            </w:r>
          </w:p>
        </w:tc>
        <w:tc>
          <w:tcPr/>
          <w:p>
            <w:pPr>
              <w:pStyle w:val="Compact"/>
              <w:jc w:val="left"/>
            </w:pPr>
            <w:r>
              <w:t xml:space="preserve">ACR-01 determination</w:t>
            </w:r>
          </w:p>
        </w:tc>
      </w:tr>
    </w:tbl>
    <w:p>
      <w:r>
        <w:pict>
          <v:rect style="width:0;height:1.5pt" o:hralign="center" o:hrstd="t" o:hr="t"/>
        </w:pict>
      </w:r>
    </w:p>
    <w:bookmarkEnd w:id="37"/>
    <w:bookmarkStart w:id="38" w:name="strategic-investment-model"/>
    <w:p>
      <w:pPr>
        <w:pStyle w:val="Heading2"/>
      </w:pPr>
      <w:r>
        <w:t xml:space="preserve">10. Strategic Investment Model</w:t>
      </w:r>
    </w:p>
    <w:p>
      <w:pPr>
        <w:pStyle w:val="FirstParagraph"/>
      </w:pPr>
      <w:r>
        <w:rPr>
          <w:bCs/>
          <w:b/>
        </w:rPr>
        <w:t xml:space="preserve">Investment priorities, in sequence:</w:t>
      </w:r>
      <w:r>
        <w:t xml:space="preserve"> </w:t>
      </w:r>
      <w:r>
        <w:t xml:space="preserve">(1) close the three ACR-01 blockers; (2) expand knowledge coverage under the existing KCLF gate; (3) independently audit AI governance constraints; (4) formalize the operating model; (5) only then scope ecosystem, monetization, and international expansion as dedicated work packages.</w:t>
      </w:r>
    </w:p>
    <w:p>
      <w:pPr>
        <w:pStyle w:val="BodyText"/>
      </w:pPr>
      <w:r>
        <w:rPr>
          <w:bCs/>
          <w:b/>
        </w:rPr>
        <w:t xml:space="preserve">Strategic sequencing</w:t>
      </w:r>
      <w:r>
        <w:t xml:space="preserve"> </w:t>
      </w:r>
      <w:r>
        <w:t xml:space="preserve">mirrors the platform’s own designed wave sequence (HKP Waves 1–7 before Wave 8 Future/Disruption, before Wave 9 International).</w:t>
      </w:r>
    </w:p>
    <w:p>
      <w:pPr>
        <w:pStyle w:val="BodyText"/>
      </w:pPr>
      <w:r>
        <w:rPr>
          <w:bCs/>
          <w:b/>
        </w:rPr>
        <w:t xml:space="preserve">Capability, knowledge, AI, governance, and transformation investment</w:t>
      </w:r>
      <w:r>
        <w:t xml:space="preserve"> </w:t>
      </w:r>
      <w:r>
        <w:t xml:space="preserve">are each gated by the adoption triggers defined per domain in Section 6, rather than allocated by fixed percentage or calendar — consistent with the</w:t>
      </w:r>
      <w:r>
        <w:t xml:space="preserve"> </w:t>
      </w:r>
      <w:r>
        <w:t xml:space="preserve">“</w:t>
      </w:r>
      <w:r>
        <w:t xml:space="preserve">measurable adoption triggers</w:t>
      </w:r>
      <w:r>
        <w:t xml:space="preserve">”</w:t>
      </w:r>
      <w:r>
        <w:t xml:space="preserve"> </w:t>
      </w:r>
      <w:r>
        <w:t xml:space="preserve">requirement running through this program.</w:t>
      </w:r>
    </w:p>
    <w:p>
      <w:pPr>
        <w:pStyle w:val="BodyText"/>
      </w:pPr>
      <w:r>
        <w:rPr>
          <w:bCs/>
          <w:b/>
        </w:rPr>
        <w:t xml:space="preserve">Business outcomes</w:t>
      </w:r>
      <w:r>
        <w:t xml:space="preserve"> </w:t>
      </w:r>
      <w:r>
        <w:t xml:space="preserve">sought: a fully explainable, fully audited recommendation engine at India v1 scope before any new domain, market, or ecosystem investment is approved.</w:t>
      </w:r>
    </w:p>
    <w:p>
      <w:r>
        <w:pict>
          <v:rect style="width:0;height:1.5pt" o:hralign="center" o:hrstd="t" o:hr="t"/>
        </w:pict>
      </w:r>
    </w:p>
    <w:bookmarkEnd w:id="38"/>
    <w:bookmarkStart w:id="39" w:name="current-state-vs-target-state"/>
    <w:p>
      <w:pPr>
        <w:pStyle w:val="Heading2"/>
      </w:pPr>
      <w:r>
        <w:t xml:space="preserve">11. Current State vs Target 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Current Enterprise</w:t>
            </w:r>
          </w:p>
        </w:tc>
        <w:tc>
          <w:tcPr/>
          <w:p>
            <w:pPr>
              <w:pStyle w:val="Compact"/>
              <w:jc w:val="left"/>
            </w:pPr>
            <w:r>
              <w:t xml:space="preserve">Future Enterprise</w:t>
            </w:r>
          </w:p>
        </w:tc>
      </w:tr>
      <w:tr>
        <w:tc>
          <w:tcPr/>
          <w:p>
            <w:pPr>
              <w:pStyle w:val="Compact"/>
              <w:jc w:val="left"/>
            </w:pPr>
            <w:r>
              <w:t xml:space="preserve">Runtime</w:t>
            </w:r>
          </w:p>
        </w:tc>
        <w:tc>
          <w:tcPr/>
          <w:p>
            <w:pPr>
              <w:pStyle w:val="Compact"/>
              <w:jc w:val="left"/>
            </w:pPr>
            <w:r>
              <w:t xml:space="preserve">3 services, conditional readiness (83/100)</w:t>
            </w:r>
          </w:p>
        </w:tc>
        <w:tc>
          <w:tcPr/>
          <w:p>
            <w:pPr>
              <w:pStyle w:val="Compact"/>
              <w:jc w:val="left"/>
            </w:pPr>
            <w:r>
              <w:t xml:space="preserve">Consolidated, blockers closed, re-verified</w:t>
            </w:r>
          </w:p>
        </w:tc>
      </w:tr>
      <w:tr>
        <w:tc>
          <w:tcPr/>
          <w:p>
            <w:pPr>
              <w:pStyle w:val="Compact"/>
              <w:jc w:val="left"/>
            </w:pPr>
            <w:r>
              <w:t xml:space="preserve">Knowledge</w:t>
            </w:r>
          </w:p>
        </w:tc>
        <w:tc>
          <w:tcPr/>
          <w:p>
            <w:pPr>
              <w:pStyle w:val="Compact"/>
              <w:jc w:val="left"/>
            </w:pPr>
            <w:r>
              <w:t xml:space="preserve">1 of 8 recommendation categories live</w:t>
            </w:r>
          </w:p>
        </w:tc>
        <w:tc>
          <w:tcPr/>
          <w:p>
            <w:pPr>
              <w:pStyle w:val="Compact"/>
              <w:jc w:val="left"/>
            </w:pPr>
            <w:r>
              <w:t xml:space="preserve">Categories added only as KCLF quality gate clears</w:t>
            </w:r>
          </w:p>
        </w:tc>
      </w:tr>
      <w:tr>
        <w:tc>
          <w:tcPr/>
          <w:p>
            <w:pPr>
              <w:pStyle w:val="Compact"/>
              <w:jc w:val="left"/>
            </w:pPr>
            <w:r>
              <w:t xml:space="preserve">AI</w:t>
            </w:r>
          </w:p>
        </w:tc>
        <w:tc>
          <w:tcPr/>
          <w:p>
            <w:pPr>
              <w:pStyle w:val="Compact"/>
              <w:jc w:val="left"/>
            </w:pPr>
            <w:r>
              <w:t xml:space="preserve">Governed by design, unaudited in practice</w:t>
            </w:r>
          </w:p>
        </w:tc>
        <w:tc>
          <w:tcPr/>
          <w:p>
            <w:pPr>
              <w:pStyle w:val="Compact"/>
              <w:jc w:val="left"/>
            </w:pPr>
            <w:r>
              <w:t xml:space="preserve">Independently audited against IQF/KCLF rules</w:t>
            </w:r>
          </w:p>
        </w:tc>
      </w:tr>
      <w:tr>
        <w:tc>
          <w:tcPr/>
          <w:p>
            <w:pPr>
              <w:pStyle w:val="Compact"/>
              <w:jc w:val="left"/>
            </w:pPr>
            <w:r>
              <w:t xml:space="preserve">Governance</w:t>
            </w:r>
          </w:p>
        </w:tc>
        <w:tc>
          <w:tcPr/>
          <w:p>
            <w:pPr>
              <w:pStyle w:val="Compact"/>
              <w:jc w:val="left"/>
            </w:pPr>
            <w:r>
              <w:t xml:space="preserve">Point-in-time ACR-01 review</w:t>
            </w:r>
          </w:p>
        </w:tc>
        <w:tc>
          <w:tcPr/>
          <w:p>
            <w:pPr>
              <w:pStyle w:val="Compact"/>
              <w:jc w:val="left"/>
            </w:pPr>
            <w:r>
              <w:t xml:space="preserve">Standing conformance-review mechanism</w:t>
            </w:r>
          </w:p>
        </w:tc>
      </w:tr>
      <w:tr>
        <w:tc>
          <w:tcPr/>
          <w:p>
            <w:pPr>
              <w:pStyle w:val="Compact"/>
              <w:jc w:val="left"/>
            </w:pPr>
            <w:r>
              <w:t xml:space="preserve">Ecosystem</w:t>
            </w:r>
          </w:p>
        </w:tc>
        <w:tc>
          <w:tcPr/>
          <w:p>
            <w:pPr>
              <w:pStyle w:val="Compact"/>
              <w:jc w:val="left"/>
            </w:pPr>
            <w:r>
              <w:t xml:space="preserve">None</w:t>
            </w:r>
          </w:p>
        </w:tc>
        <w:tc>
          <w:tcPr/>
          <w:p>
            <w:pPr>
              <w:pStyle w:val="Compact"/>
              <w:jc w:val="left"/>
            </w:pPr>
            <w:r>
              <w:t xml:space="preserve">Not yet targeted — scoping is itself the first milestone</w:t>
            </w:r>
          </w:p>
        </w:tc>
      </w:tr>
      <w:tr>
        <w:tc>
          <w:tcPr/>
          <w:p>
            <w:pPr>
              <w:pStyle w:val="Compact"/>
              <w:jc w:val="left"/>
            </w:pPr>
            <w:r>
              <w:t xml:space="preserve">Geography</w:t>
            </w:r>
          </w:p>
        </w:tc>
        <w:tc>
          <w:tcPr/>
          <w:p>
            <w:pPr>
              <w:pStyle w:val="Compact"/>
              <w:jc w:val="left"/>
            </w:pPr>
            <w:r>
              <w:t xml:space="preserve">India only</w:t>
            </w:r>
          </w:p>
        </w:tc>
        <w:tc>
          <w:tcPr/>
          <w:p>
            <w:pPr>
              <w:pStyle w:val="Compact"/>
              <w:jc w:val="left"/>
            </w:pPr>
            <w:r>
              <w:t xml:space="preserve">Wave 9, sequenced after India v1 stabilizes</w:t>
            </w:r>
          </w:p>
        </w:tc>
      </w:tr>
    </w:tbl>
    <w:p>
      <w:pPr>
        <w:pStyle w:val="BodyText"/>
      </w:pPr>
      <w:r>
        <w:rPr>
          <w:bCs/>
          <w:b/>
        </w:rPr>
        <w:t xml:space="preserve">Transformation stages:</w:t>
      </w:r>
      <w:r>
        <w:t xml:space="preserve"> </w:t>
      </w:r>
      <w:r>
        <w:t xml:space="preserve">Stabilize → Verify → Extend → (conditionally) Expand.</w:t>
      </w:r>
      <w:r>
        <w:t xml:space="preserve"> </w:t>
      </w:r>
      <w:r>
        <w:rPr>
          <w:bCs/>
          <w:b/>
        </w:rPr>
        <w:t xml:space="preserve">Evolution roadmap:</w:t>
      </w:r>
      <w:r>
        <w:t xml:space="preserve"> </w:t>
      </w:r>
      <w:r>
        <w:t xml:space="preserve">Sections 6.1–6.4 execute in parallel where dependencies allow; 6.5–6.6 do not begin until their triggers clear.</w:t>
      </w:r>
      <w:r>
        <w:t xml:space="preserve"> </w:t>
      </w:r>
      <w:r>
        <w:rPr>
          <w:bCs/>
          <w:b/>
        </w:rPr>
        <w:t xml:space="preserve">Adoption triggers:</w:t>
      </w:r>
      <w:r>
        <w:t xml:space="preserve"> </w:t>
      </w:r>
      <w:r>
        <w:t xml:space="preserve">Restated per domain in Section 6; no domain advances a stage without its own named, measurable trigger.</w:t>
      </w:r>
    </w:p>
    <w:p>
      <w:r>
        <w:pict>
          <v:rect style="width:0;height:1.5pt" o:hralign="center" o:hrstd="t" o:hr="t"/>
        </w:pict>
      </w:r>
    </w:p>
    <w:bookmarkEnd w:id="39"/>
    <w:bookmarkStart w:id="40" w:name="enterprise-transformation-heat-map"/>
    <w:p>
      <w:pPr>
        <w:pStyle w:val="Heading2"/>
      </w:pPr>
      <w:r>
        <w:t xml:space="preserve">12. Enterprise Transformation Heat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Classification</w:t>
            </w:r>
          </w:p>
        </w:tc>
        <w:tc>
          <w:tcPr/>
          <w:p>
            <w:pPr>
              <w:pStyle w:val="Compact"/>
              <w:jc w:val="left"/>
            </w:pPr>
            <w:r>
              <w:t xml:space="preserve">Domains</w:t>
            </w:r>
          </w:p>
        </w:tc>
        <w:tc>
          <w:tcPr/>
          <w:p>
            <w:pPr>
              <w:pStyle w:val="Compact"/>
              <w:jc w:val="left"/>
            </w:pPr>
            <w:r>
              <w:t xml:space="preserve">Rationale</w:t>
            </w:r>
          </w:p>
        </w:tc>
      </w:tr>
      <w:tr>
        <w:tc>
          <w:tcPr/>
          <w:p>
            <w:pPr>
              <w:pStyle w:val="Compact"/>
              <w:jc w:val="left"/>
            </w:pPr>
            <w:r>
              <w:rPr>
                <w:bCs/>
                <w:b/>
              </w:rPr>
              <w:t xml:space="preserve">Strategic Investment</w:t>
            </w:r>
          </w:p>
        </w:tc>
        <w:tc>
          <w:tcPr/>
          <w:p>
            <w:pPr>
              <w:pStyle w:val="Compact"/>
              <w:jc w:val="left"/>
            </w:pPr>
            <w:r>
              <w:t xml:space="preserve">Runtime &amp; Decision Engine Consolidation, Knowledge Evolution</w:t>
            </w:r>
          </w:p>
        </w:tc>
        <w:tc>
          <w:tcPr/>
          <w:p>
            <w:pPr>
              <w:pStyle w:val="Compact"/>
              <w:jc w:val="left"/>
            </w:pPr>
            <w:r>
              <w:t xml:space="preserve">Directly evidenced blockers with clear remediation paths and business impact</w:t>
            </w:r>
          </w:p>
        </w:tc>
      </w:tr>
      <w:tr>
        <w:tc>
          <w:tcPr/>
          <w:p>
            <w:pPr>
              <w:pStyle w:val="Compact"/>
              <w:jc w:val="left"/>
            </w:pPr>
            <w:r>
              <w:rPr>
                <w:bCs/>
                <w:b/>
              </w:rPr>
              <w:t xml:space="preserve">Maintain</w:t>
            </w:r>
          </w:p>
        </w:tc>
        <w:tc>
          <w:tcPr/>
          <w:p>
            <w:pPr>
              <w:pStyle w:val="Compact"/>
              <w:jc w:val="left"/>
            </w:pPr>
            <w:r>
              <w:t xml:space="preserve">EEP-01 technical architecture (Phases A–J)</w:t>
            </w:r>
          </w:p>
        </w:tc>
        <w:tc>
          <w:tcPr/>
          <w:p>
            <w:pPr>
              <w:pStyle w:val="Compact"/>
              <w:jc w:val="left"/>
            </w:pPr>
            <w:r>
              <w:t xml:space="preserve">Canonical, frozen; do not redesign</w:t>
            </w:r>
          </w:p>
        </w:tc>
      </w:tr>
      <w:tr>
        <w:tc>
          <w:tcPr/>
          <w:p>
            <w:pPr>
              <w:pStyle w:val="Compact"/>
              <w:jc w:val="left"/>
            </w:pPr>
            <w:r>
              <w:rPr>
                <w:bCs/>
                <w:b/>
              </w:rPr>
              <w:t xml:space="preserve">Improve</w:t>
            </w:r>
          </w:p>
        </w:tc>
        <w:tc>
          <w:tcPr/>
          <w:p>
            <w:pPr>
              <w:pStyle w:val="Compact"/>
              <w:jc w:val="left"/>
            </w:pPr>
            <w:r>
              <w:t xml:space="preserve">Governance Evolution (formalize operating model)</w:t>
            </w:r>
          </w:p>
        </w:tc>
        <w:tc>
          <w:tcPr/>
          <w:p>
            <w:pPr>
              <w:pStyle w:val="Compact"/>
              <w:jc w:val="left"/>
            </w:pPr>
            <w:r>
              <w:t xml:space="preserve">Strong point-in-time practice exists; needs standing form</w:t>
            </w:r>
          </w:p>
        </w:tc>
      </w:tr>
      <w:tr>
        <w:tc>
          <w:tcPr/>
          <w:p>
            <w:pPr>
              <w:pStyle w:val="Compact"/>
              <w:jc w:val="left"/>
            </w:pPr>
            <w:r>
              <w:rPr>
                <w:bCs/>
                <w:b/>
              </w:rPr>
              <w:t xml:space="preserve">Emerging</w:t>
            </w:r>
          </w:p>
        </w:tc>
        <w:tc>
          <w:tcPr/>
          <w:p>
            <w:pPr>
              <w:pStyle w:val="Compact"/>
              <w:jc w:val="left"/>
            </w:pPr>
            <w:r>
              <w:t xml:space="preserve">AI governance audit capability</w:t>
            </w:r>
          </w:p>
        </w:tc>
        <w:tc>
          <w:tcPr/>
          <w:p>
            <w:pPr>
              <w:pStyle w:val="Compact"/>
              <w:jc w:val="left"/>
            </w:pPr>
            <w:r>
              <w:t xml:space="preserve">Design constraints exist; verification mechanism does not yet</w:t>
            </w:r>
          </w:p>
        </w:tc>
      </w:tr>
      <w:tr>
        <w:tc>
          <w:tcPr/>
          <w:p>
            <w:pPr>
              <w:pStyle w:val="Compact"/>
              <w:jc w:val="left"/>
            </w:pPr>
            <w:r>
              <w:rPr>
                <w:bCs/>
                <w:b/>
              </w:rPr>
              <w:t xml:space="preserve">Experimental</w:t>
            </w:r>
          </w:p>
        </w:tc>
        <w:tc>
          <w:tcPr/>
          <w:p>
            <w:pPr>
              <w:pStyle w:val="Compact"/>
              <w:jc w:val="left"/>
            </w:pPr>
            <w:r>
              <w:t xml:space="preserve">International Expansion (Wave 9 design)</w:t>
            </w:r>
          </w:p>
        </w:tc>
        <w:tc>
          <w:tcPr/>
          <w:p>
            <w:pPr>
              <w:pStyle w:val="Compact"/>
              <w:jc w:val="left"/>
            </w:pPr>
            <w:r>
              <w:t xml:space="preserve">Architecturally anticipated, functionally untouched</w:t>
            </w:r>
          </w:p>
        </w:tc>
      </w:tr>
      <w:tr>
        <w:tc>
          <w:tcPr/>
          <w:p>
            <w:pPr>
              <w:pStyle w:val="Compact"/>
              <w:jc w:val="left"/>
            </w:pPr>
            <w:r>
              <w:rPr>
                <w:bCs/>
                <w:b/>
              </w:rPr>
              <w:t xml:space="preserve">Future</w:t>
            </w:r>
          </w:p>
        </w:tc>
        <w:tc>
          <w:tcPr/>
          <w:p>
            <w:pPr>
              <w:pStyle w:val="Compact"/>
              <w:jc w:val="left"/>
            </w:pPr>
            <w:r>
              <w:t xml:space="preserve">Ecosystem Strategy (partner/employer/academic/API)</w:t>
            </w:r>
          </w:p>
        </w:tc>
        <w:tc>
          <w:tcPr/>
          <w:p>
            <w:pPr>
              <w:pStyle w:val="Compact"/>
              <w:jc w:val="left"/>
            </w:pPr>
            <w:r>
              <w:t xml:space="preserve">No evidence; explicitly deferred pending scoping</w:t>
            </w:r>
          </w:p>
        </w:tc>
      </w:tr>
      <w:tr>
        <w:tc>
          <w:tcPr/>
          <w:p>
            <w:pPr>
              <w:pStyle w:val="Compact"/>
              <w:jc w:val="left"/>
            </w:pPr>
            <w:r>
              <w:rPr>
                <w:bCs/>
                <w:b/>
              </w:rPr>
              <w:t xml:space="preserve">Legacy</w:t>
            </w:r>
          </w:p>
        </w:tc>
        <w:tc>
          <w:tcPr/>
          <w:p>
            <w:pPr>
              <w:pStyle w:val="Compact"/>
              <w:jc w:val="left"/>
            </w:pPr>
            <w:r>
              <w:t xml:space="preserve">None identified</w:t>
            </w:r>
          </w:p>
        </w:tc>
        <w:tc>
          <w:tcPr/>
          <w:p>
            <w:pPr>
              <w:pStyle w:val="Compact"/>
              <w:jc w:val="left"/>
            </w:pPr>
            <w:r>
              <w:t xml:space="preserve">No repository evidence of deprecated business architecture</w:t>
            </w:r>
          </w:p>
        </w:tc>
      </w:tr>
    </w:tbl>
    <w:p>
      <w:r>
        <w:pict>
          <v:rect style="width:0;height:1.5pt" o:hralign="center" o:hrstd="t" o:hr="t"/>
        </w:pict>
      </w:r>
    </w:p>
    <w:bookmarkEnd w:id="40"/>
    <w:bookmarkStart w:id="41" w:name="enterprise-transformation-roadmap"/>
    <w:p>
      <w:pPr>
        <w:pStyle w:val="Heading2"/>
      </w:pPr>
      <w:r>
        <w:t xml:space="preserve">13. Enterprise Transformation Roadmap</w:t>
      </w:r>
    </w:p>
    <w:p>
      <w:pPr>
        <w:pStyle w:val="FirstParagraph"/>
      </w:pPr>
      <w:r>
        <w:rPr>
          <w:bCs/>
          <w:b/>
        </w:rPr>
        <w:t xml:space="preserve">Short-term (0–2 quarters):</w:t>
      </w:r>
      <w:r>
        <w:t xml:space="preserve"> </w:t>
      </w:r>
      <w:r>
        <w:t xml:space="preserve">Close the three ACR-01 blockers; re-run conformance review; begin populating the next 1–2 recommendation categories under the KCLF gate.</w:t>
      </w:r>
      <w:r>
        <w:t xml:space="preserve"> </w:t>
      </w:r>
      <w:r>
        <w:rPr>
          <w:iCs/>
          <w:i/>
        </w:rPr>
        <w:t xml:space="preserve">Adoption trigger: governance re-score above 83/100 and independently verified.</w:t>
      </w:r>
    </w:p>
    <w:p>
      <w:pPr>
        <w:pStyle w:val="BodyText"/>
      </w:pPr>
      <w:r>
        <w:rPr>
          <w:bCs/>
          <w:b/>
        </w:rPr>
        <w:t xml:space="preserve">Medium-term (2–4 quarters):</w:t>
      </w:r>
      <w:r>
        <w:t xml:space="preserve"> </w:t>
      </w:r>
      <w:r>
        <w:t xml:space="preserve">Formalize the operating model from the observed ARB/ACR pattern; establish a standing AI-governance audit function; continue category expansion.</w:t>
      </w:r>
      <w:r>
        <w:t xml:space="preserve"> </w:t>
      </w:r>
      <w:r>
        <w:rPr>
          <w:iCs/>
          <w:i/>
        </w:rPr>
        <w:t xml:space="preserve">Adoption trigger: written operating-model document exists and has governed at least one full domain cycle.</w:t>
      </w:r>
    </w:p>
    <w:p>
      <w:pPr>
        <w:pStyle w:val="BodyText"/>
      </w:pPr>
      <w:r>
        <w:rPr>
          <w:bCs/>
          <w:b/>
        </w:rPr>
        <w:t xml:space="preserve">Long-term (4+ quarters):</w:t>
      </w:r>
      <w:r>
        <w:t xml:space="preserve"> </w:t>
      </w:r>
      <w:r>
        <w:t xml:space="preserve">Scope ecosystem and international expansion as dedicated work packages, only once India v1 runtime, knowledge, and AI governance are independently verified stable.</w:t>
      </w:r>
      <w:r>
        <w:t xml:space="preserve"> </w:t>
      </w:r>
      <w:r>
        <w:rPr>
          <w:iCs/>
          <w:i/>
        </w:rPr>
        <w:t xml:space="preserve">Adoption trigger: formal scoping work package initiated — not before.</w:t>
      </w:r>
    </w:p>
    <w:p>
      <w:pPr>
        <w:pStyle w:val="BodyText"/>
      </w:pPr>
      <w:r>
        <w:rPr>
          <w:bCs/>
          <w:b/>
        </w:rPr>
        <w:t xml:space="preserve">Enterprise evolution:</w:t>
      </w:r>
      <w:r>
        <w:t xml:space="preserve"> </w:t>
      </w:r>
      <w:r>
        <w:t xml:space="preserve">This roadmap deliberately sequences trust-building (verification, governance) ahead of scope-building (ecosystem, geography), matching both the platform’s own designed wave order and the program’s stated principle that technology and scope changes must follow business strategy, not drive it.</w:t>
      </w:r>
    </w:p>
    <w:p>
      <w:r>
        <w:pict>
          <v:rect style="width:0;height:1.5pt" o:hralign="center" o:hrstd="t" o:hr="t"/>
        </w:pict>
      </w:r>
    </w:p>
    <w:bookmarkEnd w:id="41"/>
    <w:bookmarkStart w:id="42" w:name="traceability"/>
    <w:p>
      <w:pPr>
        <w:pStyle w:val="Heading2"/>
      </w:pPr>
      <w:r>
        <w:t xml:space="preserve">14. Traceability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Strategic Initiative</w:t>
            </w:r>
          </w:p>
        </w:tc>
        <w:tc>
          <w:tcPr/>
          <w:p>
            <w:pPr>
              <w:pStyle w:val="Compact"/>
              <w:jc w:val="left"/>
            </w:pPr>
            <w:r>
              <w:t xml:space="preserve">EEP-02 A–H</w:t>
            </w:r>
          </w:p>
        </w:tc>
        <w:tc>
          <w:tcPr/>
          <w:p>
            <w:pPr>
              <w:pStyle w:val="Compact"/>
              <w:jc w:val="left"/>
            </w:pPr>
            <w:r>
              <w:t xml:space="preserve">EEP-01</w:t>
            </w:r>
          </w:p>
        </w:tc>
      </w:tr>
      <w:tr>
        <w:tc>
          <w:tcPr/>
          <w:p>
            <w:pPr>
              <w:pStyle w:val="Compact"/>
              <w:jc w:val="left"/>
            </w:pPr>
            <w:r>
              <w:t xml:space="preserve">Runtime &amp; Decision Engine Consolidation</w:t>
            </w:r>
          </w:p>
        </w:tc>
        <w:tc>
          <w:tcPr/>
          <w:p>
            <w:pPr>
              <w:pStyle w:val="Compact"/>
              <w:jc w:val="left"/>
            </w:pPr>
            <w:r>
              <w:t xml:space="preserve">No formal Phase D/E trace exists; nearest analog is the three live runtime services</w:t>
            </w:r>
          </w:p>
        </w:tc>
        <w:tc>
          <w:tcPr/>
          <w:p>
            <w:pPr>
              <w:pStyle w:val="Compact"/>
              <w:jc w:val="left"/>
            </w:pPr>
            <w:r>
              <w:t xml:space="preserve">Implicit trace to EEP-01 Platform &amp; Runtime Architecture (Phase G)</w:t>
            </w:r>
          </w:p>
        </w:tc>
      </w:tr>
      <w:tr>
        <w:tc>
          <w:tcPr/>
          <w:p>
            <w:pPr>
              <w:pStyle w:val="Compact"/>
              <w:jc w:val="left"/>
            </w:pPr>
            <w:r>
              <w:t xml:space="preserve">Knowledge Evolution</w:t>
            </w:r>
          </w:p>
        </w:tc>
        <w:tc>
          <w:tcPr/>
          <w:p>
            <w:pPr>
              <w:pStyle w:val="Compact"/>
              <w:jc w:val="left"/>
            </w:pPr>
            <w:r>
              <w:t xml:space="preserve">No formal Phase F trace exists; nearest analog is WP-KP-01/WP-KD-01</w:t>
            </w:r>
          </w:p>
        </w:tc>
        <w:tc>
          <w:tcPr/>
          <w:p>
            <w:pPr>
              <w:pStyle w:val="Compact"/>
              <w:jc w:val="left"/>
            </w:pPr>
            <w:r>
              <w:t xml:space="preserve">EEP-01 Phase A (Physical Data Model), Phase F (AI &amp; Intelligent Automation)</w:t>
            </w:r>
          </w:p>
        </w:tc>
      </w:tr>
      <w:tr>
        <w:tc>
          <w:tcPr/>
          <w:p>
            <w:pPr>
              <w:pStyle w:val="Compact"/>
              <w:jc w:val="left"/>
            </w:pPr>
            <w:r>
              <w:t xml:space="preserve">AI Evolution</w:t>
            </w:r>
          </w:p>
        </w:tc>
        <w:tc>
          <w:tcPr/>
          <w:p>
            <w:pPr>
              <w:pStyle w:val="Compact"/>
              <w:jc w:val="left"/>
            </w:pPr>
            <w:r>
              <w:t xml:space="preserve">No formal Phase G trace exists; nearest analog is IQF/XAI program</w:t>
            </w:r>
          </w:p>
        </w:tc>
        <w:tc>
          <w:tcPr/>
          <w:p>
            <w:pPr>
              <w:pStyle w:val="Compact"/>
              <w:jc w:val="left"/>
            </w:pPr>
            <w:r>
              <w:t xml:space="preserve">EEP-01 Phase F</w:t>
            </w:r>
          </w:p>
        </w:tc>
      </w:tr>
      <w:tr>
        <w:tc>
          <w:tcPr/>
          <w:p>
            <w:pPr>
              <w:pStyle w:val="Compact"/>
              <w:jc w:val="left"/>
            </w:pPr>
            <w:r>
              <w:t xml:space="preserve">Governance Evolution</w:t>
            </w:r>
          </w:p>
        </w:tc>
        <w:tc>
          <w:tcPr/>
          <w:p>
            <w:pPr>
              <w:pStyle w:val="Compact"/>
              <w:jc w:val="left"/>
            </w:pPr>
            <w:r>
              <w:t xml:space="preserve">No formal Phase H trace exists; nearest analog is WP-ARB-01/ACR-01</w:t>
            </w:r>
          </w:p>
        </w:tc>
        <w:tc>
          <w:tcPr/>
          <w:p>
            <w:pPr>
              <w:pStyle w:val="Compact"/>
              <w:jc w:val="left"/>
            </w:pPr>
            <w:r>
              <w:t xml:space="preserve">EEP-01 Phase H (Operations, Governance &amp; Service Management), Phase I (Verification), Phase J (Quality &amp; Conformance)</w:t>
            </w:r>
          </w:p>
        </w:tc>
      </w:tr>
      <w:tr>
        <w:tc>
          <w:tcPr/>
          <w:p>
            <w:pPr>
              <w:pStyle w:val="Compact"/>
              <w:jc w:val="left"/>
            </w:pPr>
            <w:r>
              <w:t xml:space="preserve">Ecosystem / International</w:t>
            </w:r>
          </w:p>
        </w:tc>
        <w:tc>
          <w:tcPr/>
          <w:p>
            <w:pPr>
              <w:pStyle w:val="Compact"/>
              <w:jc w:val="left"/>
            </w:pPr>
            <w:r>
              <w:t xml:space="preserve">No trace — undefined</w:t>
            </w:r>
          </w:p>
        </w:tc>
        <w:tc>
          <w:tcPr/>
          <w:p>
            <w:pPr>
              <w:pStyle w:val="Compact"/>
              <w:jc w:val="left"/>
            </w:pPr>
            <w:r>
              <w:t xml:space="preserve">No trace — undefined</w:t>
            </w:r>
          </w:p>
        </w:tc>
      </w:tr>
    </w:tbl>
    <w:p>
      <w:pPr>
        <w:pStyle w:val="BodyText"/>
      </w:pPr>
      <w:r>
        <w:t xml:space="preserve">This table is intentionally sparse in the EEP-02 column. Formal traceability to Phases A–H cannot be produced honestly until those phases are written; this document should not be read as implying they already exist in approved form within the repository.</w:t>
      </w:r>
    </w:p>
    <w:p>
      <w:r>
        <w:pict>
          <v:rect style="width:0;height:1.5pt" o:hralign="center" o:hrstd="t" o:hr="t"/>
        </w:pict>
      </w:r>
    </w:p>
    <w:bookmarkEnd w:id="42"/>
    <w:bookmarkStart w:id="43" w:name="architecture-decisions"/>
    <w:p>
      <w:pPr>
        <w:pStyle w:val="Heading2"/>
      </w:pPr>
      <w:r>
        <w:t xml:space="preserve">15. Architecture Decisions</w:t>
      </w:r>
    </w:p>
    <w:p>
      <w:pPr>
        <w:pStyle w:val="FirstParagraph"/>
      </w:pPr>
      <w:r>
        <w:rPr>
          <w:bCs/>
          <w:b/>
        </w:rPr>
        <w:t xml:space="preserve">Decision 1 — Do not backfill missing EEP-02 phases inside this document.</w:t>
      </w:r>
      <w:r>
        <w:t xml:space="preserve"> </w:t>
      </w:r>
      <w:r>
        <w:rPr>
          <w:iCs/>
          <w:i/>
        </w:rPr>
        <w:t xml:space="preserve">Context:</w:t>
      </w:r>
      <w:r>
        <w:t xml:space="preserve"> </w:t>
      </w:r>
      <w:r>
        <w:t xml:space="preserve">EEP-02 A–H are absent from the repository; program instruction directs treating any externally approved EEP-02 documents as canonical even if uncommitted.</w:t>
      </w:r>
      <w:r>
        <w:t xml:space="preserve"> </w:t>
      </w:r>
      <w:r>
        <w:rPr>
          <w:iCs/>
          <w:i/>
        </w:rPr>
        <w:t xml:space="preserve">Alternatives considered:</w:t>
      </w:r>
      <w:r>
        <w:t xml:space="preserve"> </w:t>
      </w:r>
      <w:r>
        <w:t xml:space="preserve">(a) fabricate plausible A–H content to give this phase a complete foundation; (b) refuse to proceed; (c) proceed using only repository-evidenced business-architecture proxies and flag the gap.</w:t>
      </w:r>
      <w:r>
        <w:t xml:space="preserve"> </w:t>
      </w:r>
      <w:r>
        <w:rPr>
          <w:iCs/>
          <w:i/>
        </w:rPr>
        <w:t xml:space="preserve">Trade-offs:</w:t>
      </w:r>
      <w:r>
        <w:t xml:space="preserve"> </w:t>
      </w:r>
      <w:r>
        <w:t xml:space="preserve">(a) risks presenting invented business architecture as canonical fact; (b) blocks legitimate strategy work the repository evidence can actually support.</w:t>
      </w:r>
      <w:r>
        <w:t xml:space="preserve"> </w:t>
      </w:r>
      <w:r>
        <w:rPr>
          <w:iCs/>
          <w:i/>
        </w:rPr>
        <w:t xml:space="preserve">Rationale:</w:t>
      </w:r>
      <w:r>
        <w:t xml:space="preserve"> </w:t>
      </w:r>
      <w:r>
        <w:t xml:space="preserve">(c) satisfies the program’s own evidence-based and anti-speculative-redesign principles better than either alternative.</w:t>
      </w:r>
    </w:p>
    <w:p>
      <w:pPr>
        <w:pStyle w:val="BodyText"/>
      </w:pPr>
      <w:r>
        <w:rPr>
          <w:bCs/>
          <w:b/>
        </w:rPr>
        <w:t xml:space="preserve">Decision 2 — Treat ecosystem and API-economy domains as Future/deferred rather than Experimental or Emerging.</w:t>
      </w:r>
      <w:r>
        <w:t xml:space="preserve"> </w:t>
      </w:r>
      <w:r>
        <w:rPr>
          <w:iCs/>
          <w:i/>
        </w:rPr>
        <w:t xml:space="preserve">Context:</w:t>
      </w:r>
      <w:r>
        <w:t xml:space="preserve"> </w:t>
      </w:r>
      <w:r>
        <w:t xml:space="preserve">Zero repository evidence for either domain.</w:t>
      </w:r>
      <w:r>
        <w:t xml:space="preserve"> </w:t>
      </w:r>
      <w:r>
        <w:rPr>
          <w:iCs/>
          <w:i/>
        </w:rPr>
        <w:t xml:space="preserve">Alternatives considered:</w:t>
      </w:r>
      <w:r>
        <w:t xml:space="preserve"> </w:t>
      </w:r>
      <w:r>
        <w:t xml:space="preserve">Classify as Emerging based on general plausibility for a platform at this stage.</w:t>
      </w:r>
      <w:r>
        <w:t xml:space="preserve"> </w:t>
      </w:r>
      <w:r>
        <w:rPr>
          <w:iCs/>
          <w:i/>
        </w:rPr>
        <w:t xml:space="preserve">Trade-offs:</w:t>
      </w:r>
      <w:r>
        <w:t xml:space="preserve"> </w:t>
      </w:r>
      <w:r>
        <w:t xml:space="preserve">Emerging classification would imply investment readiness the evidence doesn’t support.</w:t>
      </w:r>
      <w:r>
        <w:t xml:space="preserve"> </w:t>
      </w:r>
      <w:r>
        <w:rPr>
          <w:iCs/>
          <w:i/>
        </w:rPr>
        <w:t xml:space="preserve">Rationale:</w:t>
      </w:r>
      <w:r>
        <w:t xml:space="preserve"> </w:t>
      </w:r>
      <w:r>
        <w:t xml:space="preserve">Heat-map classification should reflect evidence, not category plausibility.</w:t>
      </w:r>
    </w:p>
    <w:p>
      <w:r>
        <w:pict>
          <v:rect style="width:0;height:1.5pt" o:hralign="center" o:hrstd="t" o:hr="t"/>
        </w:pict>
      </w:r>
    </w:p>
    <w:bookmarkEnd w:id="43"/>
    <w:bookmarkStart w:id="44" w:name="risks"/>
    <w:p>
      <w:pPr>
        <w:pStyle w:val="Heading2"/>
      </w:pPr>
      <w:r>
        <w:t xml:space="preserve">16. Risks</w:t>
      </w:r>
    </w:p>
    <w:p>
      <w:pPr>
        <w:numPr>
          <w:ilvl w:val="0"/>
          <w:numId w:val="1009"/>
        </w:numPr>
        <w:pStyle w:val="Compact"/>
      </w:pPr>
      <w:r>
        <w:rPr>
          <w:bCs/>
          <w:b/>
        </w:rPr>
        <w:t xml:space="preserve">Strategic:</w:t>
      </w:r>
      <w:r>
        <w:t xml:space="preserve"> </w:t>
      </w:r>
      <w:r>
        <w:t xml:space="preserve">Scope expansion (ecosystem, international, monetization) before the runtime and AI-governance blockers close risks compounding an already-flagged trust gap.</w:t>
      </w:r>
    </w:p>
    <w:p>
      <w:pPr>
        <w:numPr>
          <w:ilvl w:val="0"/>
          <w:numId w:val="1009"/>
        </w:numPr>
        <w:pStyle w:val="Compact"/>
      </w:pPr>
      <w:r>
        <w:rPr>
          <w:bCs/>
          <w:b/>
        </w:rPr>
        <w:t xml:space="preserve">Transformation:</w:t>
      </w:r>
      <w:r>
        <w:t xml:space="preserve"> </w:t>
      </w:r>
      <w:r>
        <w:t xml:space="preserve">Absence of a written operating model means governance currently depends on individual reviewer diligence rather than a repeatable process.</w:t>
      </w:r>
    </w:p>
    <w:p>
      <w:pPr>
        <w:numPr>
          <w:ilvl w:val="0"/>
          <w:numId w:val="1009"/>
        </w:numPr>
        <w:pStyle w:val="Compact"/>
      </w:pPr>
      <w:r>
        <w:rPr>
          <w:bCs/>
          <w:b/>
        </w:rPr>
        <w:t xml:space="preserve">Knowledge:</w:t>
      </w:r>
      <w:r>
        <w:t xml:space="preserve"> </w:t>
      </w:r>
      <w:r>
        <w:t xml:space="preserve">AI-assisted curation scaling faster than audit capacity could quietly erode the</w:t>
      </w:r>
      <w:r>
        <w:t xml:space="preserve"> </w:t>
      </w:r>
      <w:r>
        <w:t xml:space="preserve">“</w:t>
      </w:r>
      <w:r>
        <w:t xml:space="preserve">AI never publishes unsupervised</w:t>
      </w:r>
      <w:r>
        <w:t xml:space="preserve">”</w:t>
      </w:r>
      <w:r>
        <w:t xml:space="preserve"> </w:t>
      </w:r>
      <w:r>
        <w:t xml:space="preserve">guarantee.</w:t>
      </w:r>
    </w:p>
    <w:p>
      <w:pPr>
        <w:numPr>
          <w:ilvl w:val="0"/>
          <w:numId w:val="1009"/>
        </w:numPr>
        <w:pStyle w:val="Compact"/>
      </w:pPr>
      <w:r>
        <w:rPr>
          <w:bCs/>
          <w:b/>
        </w:rPr>
        <w:t xml:space="preserve">AI:</w:t>
      </w:r>
      <w:r>
        <w:t xml:space="preserve"> </w:t>
      </w:r>
      <w:r>
        <w:t xml:space="preserve">No independent verification yet exists that IQF/KCLF constraints hold in running code, unlike the runtime layer, which was verified.</w:t>
      </w:r>
    </w:p>
    <w:p>
      <w:pPr>
        <w:numPr>
          <w:ilvl w:val="0"/>
          <w:numId w:val="1009"/>
        </w:numPr>
        <w:pStyle w:val="Compact"/>
      </w:pPr>
      <w:r>
        <w:rPr>
          <w:bCs/>
          <w:b/>
        </w:rPr>
        <w:t xml:space="preserve">Governance:</w:t>
      </w:r>
      <w:r>
        <w:t xml:space="preserve"> </w:t>
      </w:r>
      <w:r>
        <w:t xml:space="preserve">Documentation/code drift has already occurred once (the</w:t>
      </w:r>
      <w:r>
        <w:t xml:space="preserve"> </w:t>
      </w:r>
      <w:r>
        <w:rPr>
          <w:rStyle w:val="VerbatimChar"/>
        </w:rPr>
        <w:t xml:space="preserve">RecommendationService</w:t>
      </w:r>
      <w:r>
        <w:t xml:space="preserve"> </w:t>
      </w:r>
      <w:r>
        <w:t xml:space="preserve">API mismatch); nothing in the current process prevents recurrence.</w:t>
      </w:r>
    </w:p>
    <w:p>
      <w:pPr>
        <w:numPr>
          <w:ilvl w:val="0"/>
          <w:numId w:val="1009"/>
        </w:numPr>
        <w:pStyle w:val="Compact"/>
      </w:pPr>
      <w:r>
        <w:rPr>
          <w:bCs/>
          <w:b/>
        </w:rPr>
        <w:t xml:space="preserve">Operating model:</w:t>
      </w:r>
      <w:r>
        <w:t xml:space="preserve"> </w:t>
      </w:r>
      <w:r>
        <w:t xml:space="preserve">Not written down; single points of institutional knowledge risk.</w:t>
      </w:r>
    </w:p>
    <w:p>
      <w:pPr>
        <w:numPr>
          <w:ilvl w:val="0"/>
          <w:numId w:val="1009"/>
        </w:numPr>
        <w:pStyle w:val="Compact"/>
      </w:pPr>
      <w:r>
        <w:rPr>
          <w:bCs/>
          <w:b/>
        </w:rPr>
        <w:t xml:space="preserve">Market:</w:t>
      </w:r>
      <w:r>
        <w:t xml:space="preserve"> </w:t>
      </w:r>
      <w:r>
        <w:t xml:space="preserve">Not assessed — outside repository evidence and outside this phase’s scope per program instruction to avoid speculative market predictions.</w:t>
      </w:r>
    </w:p>
    <w:p>
      <w:pPr>
        <w:numPr>
          <w:ilvl w:val="0"/>
          <w:numId w:val="1009"/>
        </w:numPr>
        <w:pStyle w:val="Compact"/>
      </w:pPr>
      <w:r>
        <w:rPr>
          <w:bCs/>
          <w:b/>
        </w:rPr>
        <w:t xml:space="preserve">Ecosystem:</w:t>
      </w:r>
      <w:r>
        <w:t xml:space="preserve"> </w:t>
      </w:r>
      <w:r>
        <w:t xml:space="preserve">None identified — no ecosystem exists yet to carry risk.</w:t>
      </w:r>
    </w:p>
    <w:p>
      <w:pPr>
        <w:numPr>
          <w:ilvl w:val="0"/>
          <w:numId w:val="1009"/>
        </w:numPr>
        <w:pStyle w:val="Compact"/>
      </w:pPr>
      <w:r>
        <w:rPr>
          <w:bCs/>
          <w:b/>
        </w:rPr>
        <w:t xml:space="preserve">Organizational:</w:t>
      </w:r>
      <w:r>
        <w:t xml:space="preserve"> </w:t>
      </w:r>
      <w:r>
        <w:t xml:space="preserve">Not evidenced in the repository; not addressed here.</w:t>
      </w:r>
    </w:p>
    <w:p>
      <w:pPr>
        <w:pStyle w:val="FirstParagraph"/>
      </w:pPr>
      <w:r>
        <w:rPr>
          <w:bCs/>
          <w:b/>
        </w:rPr>
        <w:t xml:space="preserve">Mitigation strategies:</w:t>
      </w:r>
      <w:r>
        <w:t xml:space="preserve"> </w:t>
      </w:r>
      <w:r>
        <w:t xml:space="preserve">Apply the ACR-01 review pattern as a standing, recurring mechanism rather than a one-time gate; do not approve category or domain expansion without a matching conformance re-verification; write the operating model down.</w:t>
      </w:r>
    </w:p>
    <w:p>
      <w:r>
        <w:pict>
          <v:rect style="width:0;height:1.5pt" o:hralign="center" o:hrstd="t" o:hr="t"/>
        </w:pict>
      </w:r>
    </w:p>
    <w:bookmarkEnd w:id="44"/>
    <w:bookmarkStart w:id="45" w:name="success-metrics"/>
    <w:p>
      <w:pPr>
        <w:pStyle w:val="Heading2"/>
      </w:pPr>
      <w:r>
        <w:t xml:space="preserve">17. Success Metrics</w:t>
      </w:r>
    </w:p>
    <w:p>
      <w:pPr>
        <w:numPr>
          <w:ilvl w:val="0"/>
          <w:numId w:val="1010"/>
        </w:numPr>
        <w:pStyle w:val="Compact"/>
      </w:pPr>
      <w:r>
        <w:t xml:space="preserve">Governance conformance score (ACR-style), tracked over time — baseline 83/100.</w:t>
      </w:r>
    </w:p>
    <w:p>
      <w:pPr>
        <w:numPr>
          <w:ilvl w:val="0"/>
          <w:numId w:val="1010"/>
        </w:numPr>
        <w:pStyle w:val="Compact"/>
      </w:pPr>
      <w:r>
        <w:t xml:space="preserve">Recommendation-category completeness: categories live vs. 8 designed.</w:t>
      </w:r>
    </w:p>
    <w:p>
      <w:pPr>
        <w:numPr>
          <w:ilvl w:val="0"/>
          <w:numId w:val="1010"/>
        </w:numPr>
        <w:pStyle w:val="Compact"/>
      </w:pPr>
      <w:r>
        <w:t xml:space="preserve">KCLF’s own 15 operational KPIs (Coverage %, Quality Score, Freshness Index, AI Acceptance Rate, Consumer Error Rate, and others).</w:t>
      </w:r>
    </w:p>
    <w:p>
      <w:pPr>
        <w:numPr>
          <w:ilvl w:val="0"/>
          <w:numId w:val="1010"/>
        </w:numPr>
        <w:pStyle w:val="Compact"/>
      </w:pPr>
      <w:r>
        <w:t xml:space="preserve">Test/lint pass rate maintained at 100% through remediation.</w:t>
      </w:r>
    </w:p>
    <w:p>
      <w:pPr>
        <w:numPr>
          <w:ilvl w:val="0"/>
          <w:numId w:val="1010"/>
        </w:numPr>
        <w:pStyle w:val="Compact"/>
      </w:pPr>
      <w:r>
        <w:t xml:space="preserve">AI-assisted publication audit coverage (target: 100% of AI-suggested changes traceable to a human approval record).</w:t>
      </w:r>
    </w:p>
    <w:p>
      <w:pPr>
        <w:numPr>
          <w:ilvl w:val="0"/>
          <w:numId w:val="1010"/>
        </w:numPr>
        <w:pStyle w:val="Compact"/>
      </w:pPr>
      <w:r>
        <w:t xml:space="preserve">Existence and cadence of a written, applied operating-model document.</w:t>
      </w:r>
    </w:p>
    <w:p>
      <w:pPr>
        <w:numPr>
          <w:ilvl w:val="0"/>
          <w:numId w:val="1010"/>
        </w:numPr>
        <w:pStyle w:val="Compact"/>
      </w:pPr>
      <w:r>
        <w:t xml:space="preserve">Ecosystem/international scoping: binary — initiated or not, gated by the triggers in Section 13.</w:t>
      </w:r>
    </w:p>
    <w:p>
      <w:r>
        <w:pict>
          <v:rect style="width:0;height:1.5pt" o:hralign="center" o:hrstd="t" o:hr="t"/>
        </w:pict>
      </w:r>
    </w:p>
    <w:bookmarkEnd w:id="45"/>
    <w:bookmarkStart w:id="46" w:name="recommendations"/>
    <w:p>
      <w:pPr>
        <w:pStyle w:val="Heading2"/>
      </w:pPr>
      <w:r>
        <w:t xml:space="preserve">18. Recommendations</w:t>
      </w:r>
    </w:p>
    <w:p>
      <w:pPr>
        <w:pStyle w:val="FirstParagraph"/>
      </w:pPr>
      <w:r>
        <w:rPr>
          <w:bCs/>
          <w:b/>
        </w:rPr>
        <w:t xml:space="preserve">Immediate priorities:</w:t>
      </w:r>
      <w:r>
        <w:t xml:space="preserve"> </w:t>
      </w:r>
      <w:r>
        <w:t xml:space="preserve">Close the three ACR-01 blockers (API/documentation reconciliation, ValidationService gate, category-dependency resolution); re-run conformance review before any further scope expansion.</w:t>
      </w:r>
    </w:p>
    <w:p>
      <w:pPr>
        <w:pStyle w:val="BodyText"/>
      </w:pPr>
      <w:r>
        <w:rPr>
          <w:bCs/>
          <w:b/>
        </w:rPr>
        <w:t xml:space="preserve">Near-term improvements:</w:t>
      </w:r>
      <w:r>
        <w:t xml:space="preserve"> </w:t>
      </w:r>
      <w:r>
        <w:t xml:space="preserve">Populate the next recommendation categories under the existing KCLF quality gate rather than in parallel with ungated development; stand up an AI-governance audit function.</w:t>
      </w:r>
    </w:p>
    <w:p>
      <w:pPr>
        <w:pStyle w:val="BodyText"/>
      </w:pPr>
      <w:r>
        <w:rPr>
          <w:bCs/>
          <w:b/>
        </w:rPr>
        <w:t xml:space="preserve">Medium-term improvements:</w:t>
      </w:r>
      <w:r>
        <w:t xml:space="preserve"> </w:t>
      </w:r>
      <w:r>
        <w:t xml:space="preserve">Formalize the operating model observed in the WP/ARB process into a written EEP-02 Phase H candidate; make the ACR/ARB conformance-review pattern standing practice for all domains, not just the runtime layer.</w:t>
      </w:r>
    </w:p>
    <w:p>
      <w:pPr>
        <w:pStyle w:val="BodyText"/>
      </w:pPr>
      <w:r>
        <w:rPr>
          <w:bCs/>
          <w:b/>
        </w:rPr>
        <w:t xml:space="preserve">Long-term evolution:</w:t>
      </w:r>
      <w:r>
        <w:t xml:space="preserve"> </w:t>
      </w:r>
      <w:r>
        <w:t xml:space="preserve">Scope ecosystem, monetization, API-economy, and international expansion only as dedicated, evidence-gated work packages once the above are independently verified — matching the platform’s own Wave 8/Wave 9 sequencing.</w:t>
      </w:r>
    </w:p>
    <w:p>
      <w:pPr>
        <w:pStyle w:val="BodyText"/>
      </w:pPr>
      <w:r>
        <w:rPr>
          <w:bCs/>
          <w:b/>
        </w:rPr>
        <w:t xml:space="preserve">Strategic investments:</w:t>
      </w:r>
      <w:r>
        <w:t xml:space="preserve"> </w:t>
      </w:r>
      <w:r>
        <w:t xml:space="preserve">Prioritize trust and verification infrastructure (governance, AI audit) over scope expansion at this stage of enterprise maturity; this is both the platform’s own designed sequencing and the more defensible reading of current repository evidence.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2026-07-08T08:37:43Z</dcterms:created>
  <dcterms:modified xsi:type="dcterms:W3CDTF">2026-07-08T08:37:43Z</dcterms:modified>
</cp:coreProperties>
</file>

<file path=docProps/custom.xml><?xml version="1.0" encoding="utf-8"?>
<Properties xmlns="http://schemas.openxmlformats.org/officeDocument/2006/custom-properties" xmlns:vt="http://schemas.openxmlformats.org/officeDocument/2006/docPropsVTypes"/>
</file>