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eep-02-phase-j"/>
    <w:p>
      <w:pPr>
        <w:pStyle w:val="Heading1"/>
      </w:pPr>
      <w:r>
        <w:t xml:space="preserve">EEP-02 — Phase J</w:t>
      </w:r>
    </w:p>
    <w:bookmarkEnd w:id="20"/>
    <w:bookmarkStart w:id="41" w:name="X05d2462e555503631133b6f87fbcf817ce58b64"/>
    <w:p>
      <w:pPr>
        <w:pStyle w:val="Heading1"/>
      </w:pPr>
      <w:r>
        <w:t xml:space="preserve">Enterprise Business Architecture Governance, Conformance &amp; Continuous Improvement</w:t>
      </w:r>
    </w:p>
    <w:bookmarkStart w:id="21" w:name="hirerise-career-intelligence-platform"/>
    <w:p>
      <w:pPr>
        <w:pStyle w:val="Heading3"/>
      </w:pPr>
      <w:r>
        <w:t xml:space="preserve">HireRise Career Intelligence Platform</w:t>
      </w:r>
    </w:p>
    <w:p>
      <w:pPr>
        <w:pStyle w:val="FirstParagraph"/>
      </w:pPr>
      <w:r>
        <w:t xml:space="preserve">Version 1.0 | Status: DRAFT FOR REVIEW</w:t>
      </w:r>
    </w:p>
    <w:p>
      <w:r>
        <w:pict>
          <v:rect style="width:0;height:1.5pt" o:hralign="center" o:hrstd="t" o:hr="t"/>
        </w:pict>
      </w:r>
    </w:p>
    <w:bookmarkEnd w:id="21"/>
    <w:bookmarkStart w:id="22" w:name="X20d7cfcc96007fd5db476f887155c9516734c5b"/>
    <w:p>
      <w:pPr>
        <w:pStyle w:val="Heading2"/>
      </w:pPr>
      <w:r>
        <w:t xml:space="preserve">Headline Finding — Stated Up Front Because It Changes How To Read This Document</w:t>
      </w:r>
    </w:p>
    <w:p>
      <w:pPr>
        <w:pStyle w:val="FirstParagraph"/>
      </w:pPr>
      <w:r>
        <w:t xml:space="preserve">A governance-and-conformance phase’s first job is to check whether what it’s governing actually exists. It does not, in full.</w:t>
      </w:r>
    </w:p>
    <w:p>
      <w:pPr>
        <w:pStyle w:val="BodyText"/>
      </w:pPr>
      <w:r>
        <w:rPr>
          <w:bCs/>
          <w:b/>
        </w:rPr>
        <w:t xml:space="preserve">EEP-01 (technical architecture, Phases A–J) is real, committed, and unusually rigorous for its stage</w:t>
      </w:r>
      <w:r>
        <w:t xml:space="preserve"> </w:t>
      </w:r>
      <w:r>
        <w:t xml:space="preserve">— it includes a custom ESLint plugin enforcing architectural boundaries, dependency-cruiser and</w:t>
      </w:r>
      <w:r>
        <w:t xml:space="preserve"> </w:t>
      </w:r>
      <w:r>
        <w:rPr>
          <w:rStyle w:val="VerbatimChar"/>
        </w:rPr>
        <w:t xml:space="preserve">madge</w:t>
      </w:r>
      <w:r>
        <w:t xml:space="preserve"> </w:t>
      </w:r>
      <w:r>
        <w:t xml:space="preserve">circular-dependency checks, Gitleaks secret scanning, Trivy CVE blocking, and — critically for this document — a precedent-setting evidence-based scoring instrument (</w:t>
      </w:r>
      <w:r>
        <w:rPr>
          <w:rStyle w:val="VerbatimChar"/>
        </w:rPr>
        <w:t xml:space="preserve">ARCHITECTURE_GOVERNANCE_SCORECARD.md</w:t>
      </w:r>
      <w:r>
        <w:t xml:space="preserve">) and a real Architecture Review Board process (WP-ARB-01) that independently re-verifies claims against running code rather than accepting self-report.</w:t>
      </w:r>
    </w:p>
    <w:p>
      <w:pPr>
        <w:pStyle w:val="BodyText"/>
      </w:pPr>
      <w:r>
        <w:rPr>
          <w:bCs/>
          <w:b/>
        </w:rPr>
        <w:t xml:space="preserve">EEP-02 Phases A–H (Business Capability, Domain, Value Stream, Business Service, Business Process, Knowledge &amp; Intelligence, AI Business Architecture, Operating Model) do not exist in the repository, in any form, under any name.</w:t>
      </w:r>
      <w:r>
        <w:t xml:space="preserve"> </w:t>
      </w:r>
      <w:r>
        <w:t xml:space="preserve">This was verified by direct search in the prior phase of this program and remains true — nothing has been added since.</w:t>
      </w:r>
    </w:p>
    <w:p>
      <w:pPr>
        <w:pStyle w:val="BodyText"/>
      </w:pPr>
      <w:r>
        <w:rPr>
          <w:bCs/>
          <w:b/>
        </w:rPr>
        <w:t xml:space="preserve">EEP-02 Phase I (Strategy &amp; Transformation) is not a completed, ratified document.</w:t>
      </w:r>
      <w:r>
        <w:t xml:space="preserve"> </w:t>
      </w:r>
      <w:r>
        <w:t xml:space="preserve">It is a draft produced earlier in this same working session, explicitly labeled</w:t>
      </w:r>
      <w:r>
        <w:t xml:space="preserve"> </w:t>
      </w:r>
      <w:r>
        <w:t xml:space="preserve">“</w:t>
      </w:r>
      <w:r>
        <w:t xml:space="preserve">DRAFT FOR REVIEW,</w:t>
      </w:r>
      <w:r>
        <w:t xml:space="preserve">”</w:t>
      </w:r>
      <w:r>
        <w:t xml:space="preserve"> </w:t>
      </w:r>
      <w:r>
        <w:t xml:space="preserve">that has undergone no independent review of the kind WP-ARB-01 applied to WP-DIF-01, and is not present in the repository.</w:t>
      </w:r>
    </w:p>
    <w:p>
      <w:pPr>
        <w:pStyle w:val="BodyText"/>
      </w:pPr>
      <w:r>
        <w:t xml:space="preserve">EEP-01’s own Phase J found a directly analogous failure mode and named it well: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mechanisms meant to catch drift have themselves drifted, undetected, because nothing was watching the watchers.</w:t>
      </w:r>
      <w:r>
        <w:rPr>
          <w:iCs/>
          <w:i/>
        </w:rPr>
        <w:t xml:space="preserve">”</w:t>
      </w:r>
      <w:r>
        <w:t xml:space="preserve"> </w:t>
      </w:r>
      <w:r>
        <w:t xml:space="preserve">The equivalent finding here is sharper:</w:t>
      </w:r>
      <w:r>
        <w:t xml:space="preserve"> </w:t>
      </w:r>
      <w:r>
        <w:rPr>
          <w:bCs/>
          <w:b/>
        </w:rPr>
        <w:t xml:space="preserve">there is nothing yet for a governance function to watch.</w:t>
      </w:r>
      <w:r>
        <w:t xml:space="preserve"> </w:t>
      </w:r>
      <w:r>
        <w:t xml:space="preserve">A conformance model cannot score conformance to phases that were never written, and a traceability model cannot trace to documents that don’t exist. This document is therefore built the way EEP-01’s Phase J was — not inventing a governance system from nothing, but documenting what already governs the</w:t>
      </w:r>
      <w:r>
        <w:t xml:space="preserve"> </w:t>
      </w:r>
      <w:r>
        <w:rPr>
          <w:iCs/>
          <w:i/>
        </w:rPr>
        <w:t xml:space="preserve">technical</w:t>
      </w:r>
      <w:r>
        <w:t xml:space="preserve"> </w:t>
      </w:r>
      <w:r>
        <w:t xml:space="preserve">architecture (WP-ARB-01, ACR-01, the ADR pattern), extending that same evidence-first discipline to business architecture, and making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ratify or formally supersede EEP-02 Phases A–I</w:t>
      </w:r>
      <w:r>
        <w:rPr>
          <w:bCs/>
          <w:b/>
        </w:rPr>
        <w:t xml:space="preserve">”</w:t>
      </w:r>
      <w:r>
        <w:t xml:space="preserve"> </w:t>
      </w:r>
      <w:r>
        <w:t xml:space="preserve">the first gate this governance model has to process before any conformance scoring of those phases is meaningful.</w:t>
      </w:r>
    </w:p>
    <w:p>
      <w:pPr>
        <w:pStyle w:val="BodyText"/>
      </w:pPr>
      <w:r>
        <w:t xml:space="preserve">This is not a redesign of EEP-02 A–I. There is nothing there yet to redesign. It is the governance framework that will apply once there is.</w:t>
      </w:r>
    </w:p>
    <w:p>
      <w:r>
        <w:pict>
          <v:rect style="width:0;height:1.5pt" o:hralign="center" o:hrstd="t" o:hr="t"/>
        </w:pict>
      </w:r>
    </w:p>
    <w:bookmarkEnd w:id="22"/>
    <w:bookmarkStart w:id="23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rPr>
          <w:bCs/>
          <w:b/>
        </w:rPr>
        <w:t xml:space="preserve">Governance vision.</w:t>
      </w:r>
      <w:r>
        <w:t xml:space="preserve"> </w:t>
      </w:r>
      <w:r>
        <w:t xml:space="preserve">Business architecture at HireRise should be governed with the same evidence-first discipline already proven at the technical layer: claims checked against artifacts, not accepted on self-report; conditional approvals with named, trackable conditions rather than binary pass/fail; and a standing review board pattern (WP-ARB-01) extended to cover business-architecture deliverables, not just technical ones.</w:t>
      </w:r>
    </w:p>
    <w:p>
      <w:pPr>
        <w:pStyle w:val="BodyText"/>
      </w:pPr>
      <w:r>
        <w:rPr>
          <w:bCs/>
          <w:b/>
        </w:rPr>
        <w:t xml:space="preserve">Governance philosophy.</w:t>
      </w:r>
      <w:r>
        <w:t xml:space="preserve"> </w:t>
      </w:r>
      <w:r>
        <w:t xml:space="preserve">Verify before you trust. Score what exists; do not score what doesn’t. Treat undocumented business architecture as a governance gap to close, not a detail to infer around.</w:t>
      </w:r>
    </w:p>
    <w:p>
      <w:pPr>
        <w:pStyle w:val="BodyText"/>
      </w:pPr>
      <w:r>
        <w:rPr>
          <w:bCs/>
          <w:b/>
        </w:rPr>
        <w:t xml:space="preserve">Architecture objectives.</w:t>
      </w:r>
      <w:r>
        <w:t xml:space="preserve"> </w:t>
      </w:r>
      <w:r>
        <w:t xml:space="preserve">Establish an EEP-02 conformance model that can be applied honestly the moment Phases A–H exist; formally disposition Phase I (ratify, revise, or supersede); reuse — rather than reinvent — WP-ARB-01’s review mechanics and ACR-01’s scoring instrument.</w:t>
      </w:r>
    </w:p>
    <w:p>
      <w:pPr>
        <w:pStyle w:val="BodyText"/>
      </w:pPr>
      <w:r>
        <w:rPr>
          <w:bCs/>
          <w:b/>
        </w:rPr>
        <w:t xml:space="preserve">Expected business outcomes.</w:t>
      </w:r>
      <w:r>
        <w:t xml:space="preserve"> </w:t>
      </w:r>
      <w:r>
        <w:t xml:space="preserve">A repeatable, evidence-checked process for business-architecture review that prevents the EEP-01 Phase J failure mode (governance machinery quietly drifting out of sync with what it governs) from recurring in EEP-02; a clear, honest current-state record that HireRise’s business architecture is currently governed</w:t>
      </w:r>
      <w:r>
        <w:t xml:space="preserve"> </w:t>
      </w:r>
      <w:r>
        <w:rPr>
          <w:iCs/>
          <w:i/>
        </w:rPr>
        <w:t xml:space="preserve">implicitly</w:t>
      </w:r>
      <w:r>
        <w:t xml:space="preserve">, through the technical layer and the strategy draft, not through a dedicated business-architecture instrument.</w:t>
      </w:r>
    </w:p>
    <w:p>
      <w:r>
        <w:pict>
          <v:rect style="width:0;height:1.5pt" o:hralign="center" o:hrstd="t" o:hr="t"/>
        </w:pict>
      </w:r>
    </w:p>
    <w:bookmarkEnd w:id="23"/>
    <w:bookmarkStart w:id="24" w:name="current-state-assessment"/>
    <w:p>
      <w:pPr>
        <w:pStyle w:val="Heading2"/>
      </w:pPr>
      <w:r>
        <w:t xml:space="preserve">2. Current State Assessment</w:t>
      </w:r>
    </w:p>
    <w:p>
      <w:pPr>
        <w:pStyle w:val="FirstParagraph"/>
      </w:pPr>
      <w:r>
        <w:rPr>
          <w:bCs/>
          <w:b/>
        </w:rPr>
        <w:t xml:space="preserve">Current governance practices.</w:t>
      </w:r>
      <w:r>
        <w:t xml:space="preserve"> </w:t>
      </w:r>
      <w:r>
        <w:t xml:space="preserve">Business-architecture-adjacent decisions are currently governed the same way technical decisions are: through the WP numbering scheme, ADRs (e.g.,</w:t>
      </w:r>
      <w:r>
        <w:t xml:space="preserve"> </w:t>
      </w:r>
      <w:r>
        <w:rPr>
          <w:rStyle w:val="VerbatimChar"/>
        </w:rPr>
        <w:t xml:space="preserve">ARCHITECTURE_DECISION_RECORDS.md</w:t>
      </w:r>
      <w:r>
        <w:t xml:space="preserve"> </w:t>
      </w:r>
      <w:r>
        <w:t xml:space="preserve">under WP-SIPD-02, WP-XAI2-04), and ARB-style sign-off (WP-ARB-01). There is no business-architecture-specific review process distinct from this.</w:t>
      </w:r>
    </w:p>
    <w:p>
      <w:pPr>
        <w:pStyle w:val="BodyText"/>
      </w:pPr>
      <w:r>
        <w:rPr>
          <w:bCs/>
          <w:b/>
        </w:rPr>
        <w:t xml:space="preserve">Current review processes.</w:t>
      </w:r>
      <w:r>
        <w:t xml:space="preserve"> </w:t>
      </w:r>
      <w:r>
        <w:t xml:space="preserve">WP-ARB-01’s</w:t>
      </w:r>
      <w:r>
        <w:t xml:space="preserve"> </w:t>
      </w:r>
      <w:r>
        <w:rPr>
          <w:rStyle w:val="VerbatimChar"/>
        </w:rPr>
        <w:t xml:space="preserve">ARB_FINAL_DECISION.md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ARCHITECTURE_CONFORMANCE_REPORT.md</w:t>
      </w:r>
      <w:r>
        <w:t xml:space="preserve"> </w:t>
      </w:r>
      <w:r>
        <w:t xml:space="preserve">demonstrate the review model in practice: independent re-verification of claims against code (not restating self-reports), named conditions with explicit disposition (blocking vs. non-blocking), and a re-verification checkpoint required at completion of the reviewed work package. This is a real, working process — it has simply never been pointed at business architecture, because business architecture (EEP-02 A–H) doesn’t exist yet to review.</w:t>
      </w:r>
    </w:p>
    <w:p>
      <w:pPr>
        <w:pStyle w:val="BodyText"/>
      </w:pPr>
      <w:r>
        <w:rPr>
          <w:bCs/>
          <w:b/>
        </w:rPr>
        <w:t xml:space="preserve">Current conformance evidence.</w:t>
      </w:r>
      <w:r>
        <w:t xml:space="preserve"> </w:t>
      </w:r>
      <w:r>
        <w:t xml:space="preserve">ACR-01’s</w:t>
      </w:r>
      <w:r>
        <w:t xml:space="preserve"> </w:t>
      </w:r>
      <w:r>
        <w:rPr>
          <w:rStyle w:val="VerbatimChar"/>
        </w:rPr>
        <w:t xml:space="preserve">ARCHITECTURE_GOVERNANCE_SCORECARD.md</w:t>
      </w:r>
      <w:r>
        <w:t xml:space="preserve"> </w:t>
      </w:r>
      <w:r>
        <w:t xml:space="preserve">scores the runtime foundation across eight weighted dimensions (Architecture Conformance, Repository Quality, Runtime Quality, Service Boundaries, Maintainability, Scalability, Security, Testability) against direct repository evidence, landing at an overall 83/100 with three named blocking conditions. No equivalent scorecard exists for business architecture, because there is no business architecture to score.</w:t>
      </w:r>
    </w:p>
    <w:p>
      <w:pPr>
        <w:pStyle w:val="BodyText"/>
      </w:pPr>
      <w:r>
        <w:rPr>
          <w:bCs/>
          <w:b/>
        </w:rPr>
        <w:t xml:space="preserve">Repository evidence.</w:t>
      </w:r>
      <w:r>
        <w:t xml:space="preserve"> </w:t>
      </w:r>
      <w:r>
        <w:rPr>
          <w:rStyle w:val="VerbatimChar"/>
        </w:rPr>
        <w:t xml:space="preserve">documents/WP-ARB-01/*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documents/ACR-01/*</w:t>
      </w:r>
      <w:r>
        <w:t xml:space="preserve">, ADR files across multiple WPs (WP-SIPD-02, WP-XAI2-04), and EEP-01 Phases I and J (</w:t>
      </w:r>
      <w:r>
        <w:rPr>
          <w:rStyle w:val="VerbatimChar"/>
        </w:rPr>
        <w:t xml:space="preserve">EEP-01_PhaseI_Enterprise_Engineering_Standards_Architecture.md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EEP-01_PhaseJ_Enterprise_Quality_Architecture_Conformance.md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Governance gaps.</w:t>
      </w:r>
      <w:r>
        <w:t xml:space="preserve"> </w:t>
      </w:r>
      <w:r>
        <w:t xml:space="preserve">1. No EEP-02 Phases A–H exist to govern.</w:t>
      </w:r>
      <w:r>
        <w:t xml:space="preserve"> </w:t>
      </w:r>
      <w:r>
        <w:t xml:space="preserve">2. EEP-02 Phase I exists only as an unratified draft with no independent review applied to it.</w:t>
      </w:r>
      <w:r>
        <w:t xml:space="preserve"> </w:t>
      </w:r>
      <w:r>
        <w:t xml:space="preserve">3. No business-architecture-specific conformance scorecard exists, analogous to ACR-01’s technical one.</w:t>
      </w:r>
      <w:r>
        <w:t xml:space="preserve"> </w:t>
      </w:r>
      <w:r>
        <w:t xml:space="preserve">4. No mechanism currently checks EEP-01/EEP-02 alignment, because there is not yet a second side of that alignment to check.</w:t>
      </w:r>
    </w:p>
    <w:p>
      <w:pPr>
        <w:pStyle w:val="BodyText"/>
      </w:pPr>
      <w:r>
        <w:rPr>
          <w:bCs/>
          <w:b/>
        </w:rPr>
        <w:t xml:space="preserve">Continuous improvement opportunities.</w:t>
      </w:r>
      <w:r>
        <w:t xml:space="preserve"> </w:t>
      </w:r>
      <w:r>
        <w:t xml:space="preserve">EEP-01 Phase J’s</w:t>
      </w:r>
      <w:r>
        <w:t xml:space="preserve"> </w:t>
      </w:r>
      <w:r>
        <w:t xml:space="preserve">“</w:t>
      </w:r>
      <w:r>
        <w:t xml:space="preserve">verify the verifiers</w:t>
      </w:r>
      <w:r>
        <w:t xml:space="preserve">”</w:t>
      </w:r>
      <w:r>
        <w:t xml:space="preserve"> </w:t>
      </w:r>
      <w:r>
        <w:t xml:space="preserve">principle and drift register are directly reusable patterns; ACR-01’s weighted scorecard is a directly reusable instrument once there is business architecture to weight.</w:t>
      </w:r>
    </w:p>
    <w:p>
      <w:r>
        <w:pict>
          <v:rect style="width:0;height:1.5pt" o:hralign="center" o:hrstd="t" o:hr="t"/>
        </w:pict>
      </w:r>
    </w:p>
    <w:bookmarkEnd w:id="24"/>
    <w:bookmarkStart w:id="25" w:name="Xe1026e373e385cc12c4d50ab2cac92da906bbbe"/>
    <w:p>
      <w:pPr>
        <w:pStyle w:val="Heading2"/>
      </w:pPr>
      <w:r>
        <w:t xml:space="preserve">3. Business Architecture Governance Principles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Evidence-first governance.</w:t>
      </w:r>
      <w:r>
        <w:t xml:space="preserve"> </w:t>
      </w:r>
      <w:r>
        <w:t xml:space="preserve">No phase is scored, ratified, or cited as canonical without independent verification against an actual artifact — mirroring WP-ARB-01’s practice of re-deriving claims rather than trusting self-report.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Repository-driven validation.</w:t>
      </w:r>
      <w:r>
        <w:t xml:space="preserve"> </w:t>
      </w:r>
      <w:r>
        <w:t xml:space="preserve">Where a document claims to exist</w:t>
      </w:r>
      <w:r>
        <w:t xml:space="preserve"> </w:t>
      </w:r>
      <w:r>
        <w:t xml:space="preserve">“</w:t>
      </w:r>
      <w:r>
        <w:t xml:space="preserve">outside the repository but approved,</w:t>
      </w:r>
      <w:r>
        <w:t xml:space="preserve">”</w:t>
      </w:r>
      <w:r>
        <w:t xml:space="preserve"> </w:t>
      </w:r>
      <w:r>
        <w:t xml:space="preserve">this governance model requires that claim be checked against something concrete before being treated as canonical — the same standard applied to every other architecture claim in this program.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Business ownership.</w:t>
      </w:r>
      <w:r>
        <w:t xml:space="preserve"> </w:t>
      </w:r>
      <w:r>
        <w:t xml:space="preserve">Business architecture content should be owned by whoever is accountable for the business decisions it encodes, distinct from (but coordinated with) technical architecture ownership under EEP-01.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Traceability.</w:t>
      </w:r>
      <w:r>
        <w:t xml:space="preserve"> </w:t>
      </w:r>
      <w:r>
        <w:t xml:space="preserve">Every governed artifact must trace to either repository evidence or a specifically named, inspectable approved document — not to a general assertion that approval occurred.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Change control.</w:t>
      </w:r>
      <w:r>
        <w:t xml:space="preserve"> </w:t>
      </w:r>
      <w:r>
        <w:t xml:space="preserve">Business architecture changes follow the same WP/ARB lifecycle already proven for technical architecture.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Continuous improvement.</w:t>
      </w:r>
      <w:r>
        <w:t xml:space="preserve"> </w:t>
      </w:r>
      <w:r>
        <w:t xml:space="preserve">Apply EEP-01 Phase J’s drift-register pattern to business architecture once it exists, so governance mechanisms are themselves periodically re-verified.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Technology independence.</w:t>
      </w:r>
      <w:r>
        <w:t xml:space="preserve"> </w:t>
      </w:r>
      <w:r>
        <w:t xml:space="preserve">This governance model governs business-architecture content and its conformance process; it does not re-derive or alter EEP-01.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Business accountability.</w:t>
      </w:r>
      <w:r>
        <w:t xml:space="preserve"> </w:t>
      </w:r>
      <w:r>
        <w:t xml:space="preserve">Ratification of EEP-02 phases requires a named accountable reviewer, matching WP-ARB-01’s board-decision pattern rather than passive default-to-canonical status.</w:t>
      </w:r>
    </w:p>
    <w:p>
      <w:r>
        <w:pict>
          <v:rect style="width:0;height:1.5pt" o:hralign="center" o:hrstd="t" o:hr="t"/>
        </w:pict>
      </w:r>
    </w:p>
    <w:bookmarkEnd w:id="25"/>
    <w:bookmarkStart w:id="26" w:name="Xdaa553f280090f2a7b4476b00524faa2d70f085"/>
    <w:p>
      <w:pPr>
        <w:pStyle w:val="Heading2"/>
      </w:pPr>
      <w:r>
        <w:t xml:space="preserve">4. Enterprise Business Architecture Governance Model</w:t>
      </w:r>
    </w:p>
    <w:p>
      <w:pPr>
        <w:pStyle w:val="FirstParagraph"/>
      </w:pPr>
      <w:r>
        <w:rPr>
          <w:bCs/>
          <w:b/>
        </w:rPr>
        <w:t xml:space="preserve">Governance lifecycle.</w:t>
      </w:r>
      <w:r>
        <w:t xml:space="preserve"> </w:t>
      </w:r>
      <w:r>
        <w:t xml:space="preserve">Propose → Draft → Independent Review (WP-ARB-01 pattern) → Conditional or Full Ratification → Repository Commitment → Standing Conformance Monitoring. EEP-02 Phase I is currently sitting between</w:t>
      </w:r>
      <w:r>
        <w:t xml:space="preserve"> </w:t>
      </w:r>
      <w:r>
        <w:t xml:space="preserve">“</w:t>
      </w:r>
      <w:r>
        <w:t xml:space="preserve">Draft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Independent Review</w:t>
      </w:r>
      <w:r>
        <w:t xml:space="preserve">”</w:t>
      </w:r>
      <w:r>
        <w:t xml:space="preserve"> </w:t>
      </w:r>
      <w:r>
        <w:t xml:space="preserve">— it has not moved further.</w:t>
      </w:r>
    </w:p>
    <w:p>
      <w:pPr>
        <w:pStyle w:val="BodyText"/>
      </w:pPr>
      <w:r>
        <w:rPr>
          <w:bCs/>
          <w:b/>
        </w:rPr>
        <w:t xml:space="preserve">Architecture ownership.</w:t>
      </w:r>
      <w:r>
        <w:t xml:space="preserve"> </w:t>
      </w:r>
      <w:r>
        <w:t xml:space="preserve">Business architecture phases should have a named business-architecture owner distinct from the technical architecture owner, consistent with the</w:t>
      </w:r>
      <w:r>
        <w:t xml:space="preserve"> </w:t>
      </w:r>
      <w:r>
        <w:t xml:space="preserve">“</w:t>
      </w:r>
      <w:r>
        <w:t xml:space="preserve">Business ownership</w:t>
      </w:r>
      <w:r>
        <w:t xml:space="preserve">”</w:t>
      </w:r>
      <w:r>
        <w:t xml:space="preserve"> </w:t>
      </w:r>
      <w:r>
        <w:t xml:space="preserve">principle above. No such role is evidenced in the repository today.</w:t>
      </w:r>
    </w:p>
    <w:p>
      <w:pPr>
        <w:pStyle w:val="BodyText"/>
      </w:pPr>
      <w:r>
        <w:rPr>
          <w:bCs/>
          <w:b/>
        </w:rPr>
        <w:t xml:space="preserve">Review model.</w:t>
      </w:r>
      <w:r>
        <w:t xml:space="preserve"> </w:t>
      </w:r>
      <w:r>
        <w:t xml:space="preserve">Reuse WP-ARB-01’s model directly: independent re-verification of claims, explicit named conditions, a distinction between blocking and non-blocking findings, and a required re-verification checkpoint at completion.</w:t>
      </w:r>
    </w:p>
    <w:p>
      <w:pPr>
        <w:pStyle w:val="BodyText"/>
      </w:pPr>
      <w:r>
        <w:rPr>
          <w:bCs/>
          <w:b/>
        </w:rPr>
        <w:t xml:space="preserve">Approval model.</w:t>
      </w:r>
      <w:r>
        <w:t xml:space="preserve"> </w:t>
      </w:r>
      <w:r>
        <w:t xml:space="preserve">Conditional approval (as WP-ARB-01 used for WP-DIF-01:</w:t>
      </w:r>
      <w:r>
        <w:t xml:space="preserve"> </w:t>
      </w:r>
      <w:r>
        <w:t xml:space="preserve">“</w:t>
      </w:r>
      <w:r>
        <w:t xml:space="preserve">APPROVED WITH CONDITIONS</w:t>
      </w:r>
      <w:r>
        <w:t xml:space="preserve">”</w:t>
      </w:r>
      <w:r>
        <w:t xml:space="preserve">) is the appropriate default for any future EEP-02 phase, rather than binary accept/reject — this matches the maturity level the technical architecture review process has already settled on.</w:t>
      </w:r>
    </w:p>
    <w:p>
      <w:pPr>
        <w:pStyle w:val="BodyText"/>
      </w:pPr>
      <w:r>
        <w:rPr>
          <w:bCs/>
          <w:b/>
        </w:rPr>
        <w:t xml:space="preserve">Business accountability.</w:t>
      </w:r>
      <w:r>
        <w:t xml:space="preserve"> </w:t>
      </w:r>
      <w:r>
        <w:t xml:space="preserve">Until a named business-architecture owner exists, accountability for EEP-02 content defaults to whoever commissions each phase — currently unnamed in the repository.</w:t>
      </w:r>
    </w:p>
    <w:p>
      <w:pPr>
        <w:pStyle w:val="BodyText"/>
      </w:pPr>
      <w:r>
        <w:rPr>
          <w:bCs/>
          <w:b/>
        </w:rPr>
        <w:t xml:space="preserve">Knowledge stewardship.</w:t>
      </w:r>
      <w:r>
        <w:t xml:space="preserve"> </w:t>
      </w:r>
      <w:r>
        <w:t xml:space="preserve">The Knowledge Curation &amp; Lifecycle Framework (KCLF, WP-KD-01) already defines a mature stewardship model (source ownership, review cycles, escalation rules) for knowledge</w:t>
      </w:r>
      <w:r>
        <w:t xml:space="preserve"> </w:t>
      </w:r>
      <w:r>
        <w:rPr>
          <w:iCs/>
          <w:i/>
        </w:rPr>
        <w:t xml:space="preserve">content</w:t>
      </w:r>
      <w:r>
        <w:t xml:space="preserve">. This governance document adopts KCLF’s stewardship pattern as the template for business-architecture stewardship generally, since no separate one exists.</w:t>
      </w:r>
    </w:p>
    <w:p>
      <w:pPr>
        <w:pStyle w:val="BodyText"/>
      </w:pPr>
      <w:r>
        <w:rPr>
          <w:bCs/>
          <w:b/>
        </w:rPr>
        <w:t xml:space="preserve">AI business governance.</w:t>
      </w:r>
      <w:r>
        <w:t xml:space="preserve"> </w:t>
      </w:r>
      <w:r>
        <w:t xml:space="preserve">IQF and KCLF’s</w:t>
      </w:r>
      <w:r>
        <w:t xml:space="preserve"> </w:t>
      </w:r>
      <w:r>
        <w:t xml:space="preserve">“</w:t>
      </w:r>
      <w:r>
        <w:t xml:space="preserve">AI may suggest, never publish</w:t>
      </w:r>
      <w:r>
        <w:t xml:space="preserve">”</w:t>
      </w:r>
      <w:r>
        <w:t xml:space="preserve"> </w:t>
      </w:r>
      <w:r>
        <w:t xml:space="preserve">rule is the one AI-business-governance constraint with real architectural backing. This document does not introduce new AI governance; it notes that constraint has not yet been independently audited in running code (a finding carried over from Phase I).</w:t>
      </w:r>
    </w:p>
    <w:p>
      <w:pPr>
        <w:pStyle w:val="BodyText"/>
      </w:pPr>
      <w:r>
        <w:rPr>
          <w:bCs/>
          <w:b/>
        </w:rPr>
        <w:t xml:space="preserve">Operating model governance.</w:t>
      </w:r>
      <w:r>
        <w:t xml:space="preserve"> </w:t>
      </w:r>
      <w:r>
        <w:t xml:space="preserve">No EEP-02 Phase H (Operating Model) exists to govern; the closest analog remains the observed WP/ARB process itself, as noted in Phase I.</w:t>
      </w:r>
    </w:p>
    <w:p>
      <w:pPr>
        <w:pStyle w:val="BodyText"/>
      </w:pPr>
      <w:r>
        <w:rPr>
          <w:bCs/>
          <w:b/>
        </w:rPr>
        <w:t xml:space="preserve">Strategic governance.</w:t>
      </w:r>
      <w:r>
        <w:t xml:space="preserve"> </w:t>
      </w:r>
      <w:r>
        <w:t xml:space="preserve">Phase I’s transformation roadmap (Section 13 of that document) already specifies adoption triggers per domain; this governance model’s role is to verify those triggers are actually checked before advancing, not to redefine them.</w:t>
      </w:r>
    </w:p>
    <w:p>
      <w:r>
        <w:pict>
          <v:rect style="width:0;height:1.5pt" o:hralign="center" o:hrstd="t" o:hr="t"/>
        </w:pict>
      </w:r>
    </w:p>
    <w:bookmarkEnd w:id="26"/>
    <w:bookmarkStart w:id="27" w:name="architecture-conformance-model"/>
    <w:p>
      <w:pPr>
        <w:pStyle w:val="Heading2"/>
      </w:pPr>
      <w:r>
        <w:t xml:space="preserve">5. Architecture Conformance Model</w:t>
      </w:r>
    </w:p>
    <w:p>
      <w:pPr>
        <w:pStyle w:val="FirstParagraph"/>
      </w:pPr>
      <w:r>
        <w:t xml:space="preserve">Conformance can only be assessed against something that exists. Current conformance status by EEP-02 phase: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Conformance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— Business Capability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assessable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does not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— Business 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assessable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does not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— Value 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assessable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does not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— Business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assessable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does not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— Business Process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assessable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does not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— Knowledge &amp; Intelligence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Partially assessable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EEP-02 F document exists, but WP-KP-01/WP-KD-01/WP-KRA-01 provide real, evidenced knowledge architecture that functions as its de facto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 — AI Business Architecture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Partially assessable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EEP-02 G document exists, but IQF and KCLF’s AI-governance rules provide real, evidenced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 — Operating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assessable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does not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— Strategy &amp; Transformation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Assessable, unratified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exists as a draft; has not been independently reviewed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 alignment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 pending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check EEP-02/repository alignment for phases that don’t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 alignment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I’s Section 6 roadmaps were built directly from repository evidence, so implementation alignment for</w:t>
            </w:r>
            <w:r>
              <w:t xml:space="preserve"> </w:t>
            </w:r>
            <w:r>
              <w:rPr>
                <w:iCs/>
                <w:i/>
              </w:rPr>
              <w:t xml:space="preserve">that</w:t>
            </w:r>
            <w:r>
              <w:t xml:space="preserve"> </w:t>
            </w:r>
            <w:r>
              <w:t xml:space="preserve">content is high by construction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Conformance model going forward:</w:t>
      </w:r>
      <w:r>
        <w:t xml:space="preserve"> </w:t>
      </w:r>
      <w:r>
        <w:t xml:space="preserve">once a phase is drafted, it enters conformance scoring using ACR-01’s eight-dimension weighted-scorecard pattern, adapted to business-architecture dimensions (Capability Conformance, Domain Conformance, Traceability, Evidence Basis, Internal Consistency, Repository Alignment, Governance Readiness, Business Accountability) rather than technical ones.</w:t>
      </w:r>
    </w:p>
    <w:p>
      <w:r>
        <w:pict>
          <v:rect style="width:0;height:1.5pt" o:hralign="center" o:hrstd="t" o:hr="t"/>
        </w:pict>
      </w:r>
    </w:p>
    <w:bookmarkEnd w:id="27"/>
    <w:bookmarkStart w:id="28" w:name="business-architecture-review-process"/>
    <w:p>
      <w:pPr>
        <w:pStyle w:val="Heading2"/>
      </w:pPr>
      <w:r>
        <w:t xml:space="preserve">6. Business Architecture Review Process</w:t>
      </w:r>
    </w:p>
    <w:p>
      <w:pPr>
        <w:pStyle w:val="FirstParagraph"/>
      </w:pPr>
      <w:r>
        <w:rPr>
          <w:bCs/>
          <w:b/>
        </w:rPr>
        <w:t xml:space="preserve">Review types:</w:t>
      </w:r>
      <w:r>
        <w:t xml:space="preserve"> </w:t>
      </w:r>
      <w:r>
        <w:t xml:space="preserve">Draft Review (internal consistency, evidence basis) and Independent Conformance Review (WP-ARB-01-style, re-verifying claims), mirroring the two-stage pattern already used for WP-DIF-01 → WP-ARB-01.</w:t>
      </w:r>
    </w:p>
    <w:p>
      <w:pPr>
        <w:pStyle w:val="BodyText"/>
      </w:pPr>
      <w:r>
        <w:rPr>
          <w:bCs/>
          <w:b/>
        </w:rPr>
        <w:t xml:space="preserve">Review cadence:</w:t>
      </w:r>
      <w:r>
        <w:t xml:space="preserve"> </w:t>
      </w:r>
      <w:r>
        <w:t xml:space="preserve">Triggered by phase completion, not calendar-based — consistent with the</w:t>
      </w:r>
      <w:r>
        <w:t xml:space="preserve"> </w:t>
      </w:r>
      <w:r>
        <w:t xml:space="preserve">“</w:t>
      </w:r>
      <w:r>
        <w:t xml:space="preserve">measurable adoption triggers</w:t>
      </w:r>
      <w:r>
        <w:t xml:space="preserve">”</w:t>
      </w:r>
      <w:r>
        <w:t xml:space="preserve"> </w:t>
      </w:r>
      <w:r>
        <w:t xml:space="preserve">discipline running through this program.</w:t>
      </w:r>
    </w:p>
    <w:p>
      <w:pPr>
        <w:pStyle w:val="BodyText"/>
      </w:pPr>
      <w:r>
        <w:rPr>
          <w:bCs/>
          <w:b/>
        </w:rPr>
        <w:t xml:space="preserve">Review participants:</w:t>
      </w:r>
      <w:r>
        <w:t xml:space="preserve"> </w:t>
      </w:r>
      <w:r>
        <w:t xml:space="preserve">A named business-architecture reviewer, distinct from the document’s author, matching the separation WP-ARB-01 maintained from WP-DIF-01’s authorship.</w:t>
      </w:r>
    </w:p>
    <w:p>
      <w:pPr>
        <w:pStyle w:val="BodyText"/>
      </w:pPr>
      <w:r>
        <w:rPr>
          <w:bCs/>
          <w:b/>
        </w:rPr>
        <w:t xml:space="preserve">Evidence requirements:</w:t>
      </w:r>
      <w:r>
        <w:t xml:space="preserve"> </w:t>
      </w:r>
      <w:r>
        <w:t xml:space="preserve">Every claim in a reviewed phase must cite either direct repository evidence or a specifically identified, inspectable approved document — general assertions of prior approval are insufficient, per this document’s own experience with the EEP-02 Background claims.</w:t>
      </w:r>
    </w:p>
    <w:p>
      <w:pPr>
        <w:pStyle w:val="BodyText"/>
      </w:pPr>
      <w:r>
        <w:rPr>
          <w:bCs/>
          <w:b/>
        </w:rPr>
        <w:t xml:space="preserve">Review outputs:</w:t>
      </w:r>
      <w:r>
        <w:t xml:space="preserve"> </w:t>
      </w:r>
      <w:r>
        <w:t xml:space="preserve">A conformance report (per Section 5’s model) and a final decision record (per WP-ARB-01’s</w:t>
      </w:r>
      <w:r>
        <w:t xml:space="preserve"> </w:t>
      </w:r>
      <w:r>
        <w:rPr>
          <w:rStyle w:val="VerbatimChar"/>
        </w:rPr>
        <w:t xml:space="preserve">ARB_FINAL_DECISION.md</w:t>
      </w:r>
      <w:r>
        <w:t xml:space="preserve"> </w:t>
      </w:r>
      <w:r>
        <w:t xml:space="preserve">format: verdict, reasoning, named conditions, explicit distinctions between architecture gaps and implementation gaps).</w:t>
      </w:r>
    </w:p>
    <w:p>
      <w:pPr>
        <w:pStyle w:val="BodyText"/>
      </w:pPr>
      <w:r>
        <w:rPr>
          <w:bCs/>
          <w:b/>
        </w:rPr>
        <w:t xml:space="preserve">Architecture decision records:</w:t>
      </w:r>
      <w:r>
        <w:t xml:space="preserve"> </w:t>
      </w:r>
      <w:r>
        <w:t xml:space="preserve">New business-architecture ADRs should follow the existing repository convention (Context / Decision / Alternatives Considered / Pros / Cons) demonstrated in</w:t>
      </w:r>
      <w:r>
        <w:t xml:space="preserve"> </w:t>
      </w:r>
      <w:r>
        <w:rPr>
          <w:rStyle w:val="VerbatimChar"/>
        </w:rPr>
        <w:t xml:space="preserve">WP-SIPD-02/ARCHITECTURE_DECISION_RECORDS.md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Exception handling:</w:t>
      </w:r>
      <w:r>
        <w:t xml:space="preserve"> </w:t>
      </w:r>
      <w:r>
        <w:t xml:space="preserve">Where a phase is cited as existing</w:t>
      </w:r>
      <w:r>
        <w:t xml:space="preserve"> </w:t>
      </w:r>
      <w:r>
        <w:t xml:space="preserve">“</w:t>
      </w:r>
      <w:r>
        <w:t xml:space="preserve">outside the repository,</w:t>
      </w:r>
      <w:r>
        <w:t xml:space="preserve">”</w:t>
      </w:r>
      <w:r>
        <w:t xml:space="preserve"> </w:t>
      </w:r>
      <w:r>
        <w:t xml:space="preserve">the exception process is: request the specific document; if unavailable, treat the phase as not-yet-existing for conformance purposes rather than assuming content. This document itself is applying that exception handling to EEP-02 Phases A–H and I right now.</w:t>
      </w:r>
    </w:p>
    <w:p>
      <w:pPr>
        <w:pStyle w:val="BodyText"/>
      </w:pPr>
      <w:r>
        <w:rPr>
          <w:bCs/>
          <w:b/>
        </w:rPr>
        <w:t xml:space="preserve">Continuous verification:</w:t>
      </w:r>
      <w:r>
        <w:t xml:space="preserve"> </w:t>
      </w:r>
      <w:r>
        <w:t xml:space="preserve">Adopt EEP-01 Phase J’s drift register pattern — a standing, periodically re-checked list of places where documentation and reality have diverged — once EEP-02 has enough real content for drift to be possible.</w:t>
      </w:r>
    </w:p>
    <w:p>
      <w:r>
        <w:pict>
          <v:rect style="width:0;height:1.5pt" o:hralign="center" o:hrstd="t" o:hr="t"/>
        </w:pict>
      </w:r>
    </w:p>
    <w:bookmarkEnd w:id="28"/>
    <w:bookmarkStart w:id="29" w:name="change-management"/>
    <w:p>
      <w:pPr>
        <w:pStyle w:val="Heading2"/>
      </w:pPr>
      <w:r>
        <w:t xml:space="preserve">7. Change Management</w:t>
      </w:r>
    </w:p>
    <w:p>
      <w:pPr>
        <w:pStyle w:val="FirstParagraph"/>
      </w:pPr>
      <w:r>
        <w:rPr>
          <w:bCs/>
          <w:b/>
        </w:rPr>
        <w:t xml:space="preserve">Architecture change lifecycle:</w:t>
      </w:r>
      <w:r>
        <w:t xml:space="preserve"> </w:t>
      </w:r>
      <w:r>
        <w:t xml:space="preserve">Propose → Draft → Review → Ratify (with conditions where warranted) → Commit to repository → Monitor for drift, matching the WP → ARB lifecycle already in use.</w:t>
      </w:r>
    </w:p>
    <w:p>
      <w:pPr>
        <w:pStyle w:val="BodyText"/>
      </w:pPr>
      <w:r>
        <w:rPr>
          <w:bCs/>
          <w:b/>
        </w:rPr>
        <w:t xml:space="preserve">Proposal process:</w:t>
      </w:r>
      <w:r>
        <w:t xml:space="preserve"> </w:t>
      </w:r>
      <w:r>
        <w:t xml:space="preserve">Not yet formally documented for business architecture; recommend adopting the WP-numbering convention already used enterprise-wide.</w:t>
      </w:r>
    </w:p>
    <w:p>
      <w:pPr>
        <w:pStyle w:val="BodyText"/>
      </w:pPr>
      <w:r>
        <w:rPr>
          <w:bCs/>
          <w:b/>
        </w:rPr>
        <w:t xml:space="preserve">Impact assessment:</w:t>
      </w:r>
      <w:r>
        <w:t xml:space="preserve"> </w:t>
      </w:r>
      <w:r>
        <w:t xml:space="preserve">Any future EEP-02 phase must state its impact on already-existing EEP-01 phases and any prior-ratified EEP-02 phases, per the traceability principle.</w:t>
      </w:r>
    </w:p>
    <w:p>
      <w:pPr>
        <w:pStyle w:val="BodyText"/>
      </w:pPr>
      <w:r>
        <w:rPr>
          <w:bCs/>
          <w:b/>
        </w:rPr>
        <w:t xml:space="preserve">Approval workflow:</w:t>
      </w:r>
      <w:r>
        <w:t xml:space="preserve"> </w:t>
      </w:r>
      <w:r>
        <w:t xml:space="preserve">WP-ARB-01’s conditional-approval pattern, applied to business architecture.</w:t>
      </w:r>
    </w:p>
    <w:p>
      <w:pPr>
        <w:pStyle w:val="BodyText"/>
      </w:pPr>
      <w:r>
        <w:rPr>
          <w:bCs/>
          <w:b/>
        </w:rPr>
        <w:t xml:space="preserve">Traceability updates:</w:t>
      </w:r>
      <w:r>
        <w:t xml:space="preserve"> </w:t>
      </w:r>
      <w:r>
        <w:t xml:space="preserve">Section 14 of this document should be revisited and filled in as each EEP-02 phase is actually ratified — it is deliberately sparse today.</w:t>
      </w:r>
    </w:p>
    <w:p>
      <w:pPr>
        <w:pStyle w:val="BodyText"/>
      </w:pPr>
      <w:r>
        <w:rPr>
          <w:bCs/>
          <w:b/>
        </w:rPr>
        <w:t xml:space="preserve">Repository synchronization:</w:t>
      </w:r>
      <w:r>
        <w:t xml:space="preserve"> </w:t>
      </w:r>
      <w:r>
        <w:t xml:space="preserve">Every ratified phase must be committed to the repository as a condition of ratification;</w:t>
      </w:r>
      <w:r>
        <w:t xml:space="preserve"> </w:t>
      </w:r>
      <w:r>
        <w:t xml:space="preserve">“</w:t>
      </w:r>
      <w:r>
        <w:t xml:space="preserve">approved but uncommitted</w:t>
      </w:r>
      <w:r>
        <w:t xml:space="preserve">”</w:t>
      </w:r>
      <w:r>
        <w:t xml:space="preserve"> </w:t>
      </w:r>
      <w:r>
        <w:t xml:space="preserve">should not be treated as equivalent to</w:t>
      </w:r>
      <w:r>
        <w:t xml:space="preserve"> </w:t>
      </w:r>
      <w:r>
        <w:t xml:space="preserve">“</w:t>
      </w:r>
      <w:r>
        <w:t xml:space="preserve">canonical</w:t>
      </w:r>
      <w:r>
        <w:t xml:space="preserve">”</w:t>
      </w:r>
      <w:r>
        <w:t xml:space="preserve"> </w:t>
      </w:r>
      <w:r>
        <w:t xml:space="preserve">without the specific document being producible for review (the standard this document itself applied above).</w:t>
      </w:r>
    </w:p>
    <w:p>
      <w:pPr>
        <w:pStyle w:val="BodyText"/>
      </w:pPr>
      <w:r>
        <w:rPr>
          <w:bCs/>
          <w:b/>
        </w:rPr>
        <w:t xml:space="preserve">Version management:</w:t>
      </w:r>
      <w:r>
        <w:t xml:space="preserve"> </w:t>
      </w:r>
      <w:r>
        <w:t xml:space="preserve">Follow the versioning convention already visible across WP documents (</w:t>
      </w:r>
      <w:r>
        <w:t xml:space="preserve">“</w:t>
      </w:r>
      <w:r>
        <w:t xml:space="preserve">Version 1.0 | Status: …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Business communication:</w:t>
      </w:r>
      <w:r>
        <w:t xml:space="preserve"> </w:t>
      </w:r>
      <w:r>
        <w:t xml:space="preserve">Not evidenced in the repository; out of scope for this technology-independent governance document beyond noting the gap.</w:t>
      </w:r>
    </w:p>
    <w:p>
      <w:r>
        <w:pict>
          <v:rect style="width:0;height:1.5pt" o:hralign="center" o:hrstd="t" o:hr="t"/>
        </w:pict>
      </w:r>
    </w:p>
    <w:bookmarkEnd w:id="29"/>
    <w:bookmarkStart w:id="30" w:name="traceability-governance"/>
    <w:p>
      <w:pPr>
        <w:pStyle w:val="Heading2"/>
      </w:pPr>
      <w:r>
        <w:t xml:space="preserve">8. Traceability Governance</w:t>
      </w:r>
    </w:p>
    <w:p>
      <w:pPr>
        <w:pStyle w:val="FirstParagraph"/>
      </w:pPr>
      <w:r>
        <w:t xml:space="preserve">Traceability is only as strong as what exists to trace. Current state: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Traceability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EEP-02 Phases A–H ↔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link possible — phases don’t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EEP-02 Phase I ↔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— Phase I’s roadmaps were built from cited repository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EEP-02 Phase I ↔ EEP-01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— Phase I’s Section 14 traceability table explicitly marks most links as absent, by design, rather than fabricated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 Packages ↔ EEP-01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— WP-ARB-01, ACR-01, and the WP-IMP series consistently cite EEP-01 and frozen architecture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ADRs ↔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— ADRs reviewed (WP-SIPD-02, WP-XAI2-04) cite specific code artifacts and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Verification reviews ↔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— WP-ARB-01 and ACR-01 both independently re-derive claims rather than citing self-report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Transformation roadmap ↔ Knowledge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within Phase I — roadmaps in that document cite WP-KP-01/WP-KD-01 directly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governance ↔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 — IQF/KCLF AI-governance rules are architecturally defined but not yet independently audited against running code</w:t>
            </w:r>
          </w:p>
        </w:tc>
      </w:tr>
    </w:tbl>
    <w:p>
      <w:pPr>
        <w:pStyle w:val="BodyText"/>
      </w:pPr>
      <w:r>
        <w:rPr>
          <w:bCs/>
          <w:b/>
        </w:rPr>
        <w:t xml:space="preserve">Governance requirement going forward:</w:t>
      </w:r>
      <w:r>
        <w:t xml:space="preserve"> </w:t>
      </w:r>
      <w:r>
        <w:t xml:space="preserve">no traceability claim in any future EEP-02 phase should assert a link to a document that cannot be produced for inspection, regardless of whether that document is</w:t>
      </w:r>
      <w:r>
        <w:t xml:space="preserve"> </w:t>
      </w:r>
      <w:r>
        <w:t xml:space="preserve">“</w:t>
      </w:r>
      <w:r>
        <w:t xml:space="preserve">in the repository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approved externally</w:t>
      </w:r>
      <w:r>
        <w:t xml:space="preserve">”</w:t>
      </w:r>
      <w:r>
        <w:t xml:space="preserve"> </w:t>
      </w:r>
      <w:r>
        <w:t xml:space="preserve">— the standard this section itself was held to.</w:t>
      </w:r>
    </w:p>
    <w:p>
      <w:r>
        <w:pict>
          <v:rect style="width:0;height:1.5pt" o:hralign="center" o:hrstd="t" o:hr="t"/>
        </w:pict>
      </w:r>
    </w:p>
    <w:bookmarkEnd w:id="30"/>
    <w:bookmarkStart w:id="31" w:name="continuous-improvement-model"/>
    <w:p>
      <w:pPr>
        <w:pStyle w:val="Heading2"/>
      </w:pPr>
      <w:r>
        <w:t xml:space="preserve">9. Continuous Improvement Model</w:t>
      </w:r>
    </w:p>
    <w:p>
      <w:pPr>
        <w:pStyle w:val="FirstParagraph"/>
      </w:pPr>
      <w:r>
        <w:rPr>
          <w:bCs/>
          <w:b/>
        </w:rPr>
        <w:t xml:space="preserve">Architecture retrospectives.</w:t>
      </w:r>
      <w:r>
        <w:t xml:space="preserve"> </w:t>
      </w:r>
      <w:r>
        <w:t xml:space="preserve">EEP-01 Phase J’s retrospective finding — that quality machinery can drift out of sync with what it governs, undetected — is directly relevant here and is adopted as a standing risk to monitor for EEP-02 as it matures (Section 16).</w:t>
      </w:r>
    </w:p>
    <w:p>
      <w:pPr>
        <w:pStyle w:val="BodyText"/>
      </w:pPr>
      <w:r>
        <w:rPr>
          <w:bCs/>
          <w:b/>
        </w:rPr>
        <w:t xml:space="preserve">Lessons learned.</w:t>
      </w:r>
      <w:r>
        <w:t xml:space="preserve"> </w:t>
      </w:r>
      <w:r>
        <w:t xml:space="preserve">The most direct lesson from this phase: a Background section asserting phases are</w:t>
      </w:r>
      <w:r>
        <w:t xml:space="preserve"> </w:t>
      </w:r>
      <w:r>
        <w:t xml:space="preserve">“</w:t>
      </w:r>
      <w:r>
        <w:t xml:space="preserve">completed</w:t>
      </w:r>
      <w:r>
        <w:t xml:space="preserve">”</w:t>
      </w:r>
      <w:r>
        <w:t xml:space="preserve"> </w:t>
      </w:r>
      <w:r>
        <w:t xml:space="preserve">should itself be verified against the repository before being treated as fact, the same discipline WP-ARB-01 applied to WP-DIF-01’s own self-reported claims.</w:t>
      </w:r>
    </w:p>
    <w:p>
      <w:pPr>
        <w:pStyle w:val="BodyText"/>
      </w:pPr>
      <w:r>
        <w:rPr>
          <w:bCs/>
          <w:b/>
        </w:rPr>
        <w:t xml:space="preserve">Governance feedback.</w:t>
      </w:r>
      <w:r>
        <w:t xml:space="preserve"> </w:t>
      </w:r>
      <w:r>
        <w:t xml:space="preserve">This document’s own construction — flagging the EEP-02 A–H/I gap rather than filling it — is itself an instance of the evidence-first principle it recommends; future reviewers should expect and welcome equivalent pushback rather than treating it as friction.</w:t>
      </w:r>
    </w:p>
    <w:p>
      <w:pPr>
        <w:pStyle w:val="BodyText"/>
      </w:pPr>
      <w:r>
        <w:rPr>
          <w:bCs/>
          <w:b/>
        </w:rPr>
        <w:t xml:space="preserve">Quality improvement.</w:t>
      </w:r>
      <w:r>
        <w:t xml:space="preserve"> </w:t>
      </w:r>
      <w:r>
        <w:t xml:space="preserve">Adopt ACR-01’s scorecard model for business architecture once content exists to score.</w:t>
      </w:r>
    </w:p>
    <w:p>
      <w:pPr>
        <w:pStyle w:val="BodyText"/>
      </w:pPr>
      <w:r>
        <w:rPr>
          <w:bCs/>
          <w:b/>
        </w:rPr>
        <w:t xml:space="preserve">Maturity tracking.</w:t>
      </w:r>
      <w:r>
        <w:t xml:space="preserve"> </w:t>
      </w:r>
      <w:r>
        <w:t xml:space="preserve">See Section 11.</w:t>
      </w:r>
    </w:p>
    <w:p>
      <w:pPr>
        <w:pStyle w:val="BodyText"/>
      </w:pPr>
      <w:r>
        <w:rPr>
          <w:bCs/>
          <w:b/>
        </w:rPr>
        <w:t xml:space="preserve">Repository evolution.</w:t>
      </w:r>
      <w:r>
        <w:t xml:space="preserve"> </w:t>
      </w:r>
      <w:r>
        <w:t xml:space="preserve">As EEP-02 phases are actually drafted, this document’s Sections 5, 8, and 14 should be revisited and updated — they are currently sparse by necessity, not by oversight.</w:t>
      </w:r>
    </w:p>
    <w:p>
      <w:pPr>
        <w:pStyle w:val="BodyText"/>
      </w:pPr>
      <w:r>
        <w:rPr>
          <w:bCs/>
          <w:b/>
        </w:rPr>
        <w:t xml:space="preserve">Business architecture refinement.</w:t>
      </w:r>
      <w:r>
        <w:t xml:space="preserve"> </w:t>
      </w:r>
      <w:r>
        <w:t xml:space="preserve">Refinement should follow ratification, not precede it — matching the</w:t>
      </w:r>
      <w:r>
        <w:t xml:space="preserve"> </w:t>
      </w:r>
      <w:r>
        <w:t xml:space="preserve">“</w:t>
      </w:r>
      <w:r>
        <w:t xml:space="preserve">incremental evolution</w:t>
      </w:r>
      <w:r>
        <w:t xml:space="preserve">”</w:t>
      </w:r>
      <w:r>
        <w:t xml:space="preserve"> </w:t>
      </w:r>
      <w:r>
        <w:t xml:space="preserve">principle from Phase I.</w:t>
      </w:r>
    </w:p>
    <w:p>
      <w:pPr>
        <w:pStyle w:val="BodyText"/>
      </w:pPr>
      <w:r>
        <w:rPr>
          <w:bCs/>
          <w:b/>
        </w:rPr>
        <w:t xml:space="preserve">Continuous verification.</w:t>
      </w:r>
      <w:r>
        <w:t xml:space="preserve"> </w:t>
      </w:r>
      <w:r>
        <w:t xml:space="preserve">Recommend a standing practice, modeled on EEP-01 Phase J’s drift register, that periodically re-checks whether cited</w:t>
      </w:r>
      <w:r>
        <w:t xml:space="preserve"> </w:t>
      </w:r>
      <w:r>
        <w:t xml:space="preserve">“</w:t>
      </w:r>
      <w:r>
        <w:t xml:space="preserve">approved external documents</w:t>
      </w:r>
      <w:r>
        <w:t xml:space="preserve">”</w:t>
      </w:r>
      <w:r>
        <w:t xml:space="preserve"> </w:t>
      </w:r>
      <w:r>
        <w:t xml:space="preserve">can still be produced for inspection.</w:t>
      </w:r>
    </w:p>
    <w:p>
      <w:r>
        <w:pict>
          <v:rect style="width:0;height:1.5pt" o:hralign="center" o:hrstd="t" o:hr="t"/>
        </w:pict>
      </w:r>
    </w:p>
    <w:bookmarkEnd w:id="31"/>
    <w:bookmarkStart w:id="32" w:name="current-state-vs-target-state"/>
    <w:p>
      <w:pPr>
        <w:pStyle w:val="Heading2"/>
      </w:pPr>
      <w:r>
        <w:t xml:space="preserve">10. Current State vs Target State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Current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EEP-02 A–H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Drafted, independently reviewed, ratified with named conditions where warranted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EEP-02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Unratified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Independently reviewed (WP-ARB-01 pattern) and formally ratified or revised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Conformance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business-architecture scorecard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ACR-01-style weighted scorecard applied once phases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Exists for technical architecture (WP-ARB-01)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explicitly to cover business-architecture phases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Traceability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Sparse by necessity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Populated as each phase is ratified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for business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EEP-01 Phase J’s drift-register pattern applied once there is content to drift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Transformation stages:</w:t>
      </w:r>
      <w:r>
        <w:t xml:space="preserve"> </w:t>
      </w:r>
      <w:r>
        <w:t xml:space="preserve">Acknowledge Gap → Disposition Phase I → Draft Missing Phases (as separately scoped work) → Review → Ratify → Monitor.</w:t>
      </w:r>
      <w:r>
        <w:t xml:space="preserve"> </w:t>
      </w:r>
      <w:r>
        <w:rPr>
          <w:bCs/>
          <w:b/>
        </w:rPr>
        <w:t xml:space="preserve">Evolution roadmap:</w:t>
      </w:r>
      <w:r>
        <w:t xml:space="preserve"> </w:t>
      </w:r>
      <w:r>
        <w:t xml:space="preserve">See Section 13.</w:t>
      </w:r>
      <w:r>
        <w:t xml:space="preserve"> </w:t>
      </w:r>
      <w:r>
        <w:rPr>
          <w:bCs/>
          <w:b/>
        </w:rPr>
        <w:t xml:space="preserve">Adoption triggers:</w:t>
      </w:r>
      <w:r>
        <w:t xml:space="preserve"> </w:t>
      </w:r>
      <w:r>
        <w:t xml:space="preserve">No phase is treated as canonical until it has been produced for inspection and independently reviewed — this is the single governing trigger underlying every row above.</w:t>
      </w:r>
    </w:p>
    <w:p>
      <w:r>
        <w:pict>
          <v:rect style="width:0;height:1.5pt" o:hralign="center" o:hrstd="t" o:hr="t"/>
        </w:pict>
      </w:r>
    </w:p>
    <w:bookmarkEnd w:id="32"/>
    <w:bookmarkStart w:id="33" w:name="business-architecture-maturity"/>
    <w:p>
      <w:pPr>
        <w:pStyle w:val="Heading2"/>
      </w:pPr>
      <w:r>
        <w:t xml:space="preserve">11. Business Architecture Maturity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Evidence-Based 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business-architecture-specific governance process exists yet; technical-architecture governance (WP-ARB-01) is mature and reusable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(transferable)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WP-ARB-01’s review mechanics are mature; they have simply never been applied to business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Conformance 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scorecard exists; Section 5 above is the first attempt at even a conformance status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Traceability 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I explicitly documents its own traceability gaps rather than fabricating links — an honest baseline, not a mature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 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EEP-01 documentation is mature (custom lint rules, CI, scorecards); EEP-02 documentation is largely absent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Continuous improvement 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drift register exists for business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where content exists, N/A elsewhere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I is well-aligned to repository evidence; Phases A–H have no alignment to assess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architecture adoption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draft phase in a nine-phase program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enterprise-governance-heat-map"/>
    <w:p>
      <w:pPr>
        <w:pStyle w:val="Heading2"/>
      </w:pPr>
      <w:r>
        <w:t xml:space="preserve">12. Enterprise Governance Heat Map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Strategic 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 of EEP-02 Phase I; drafting of EEP-02 Phases A–H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foundational gap this whole document exists to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WP-ARB-01 review process, ACR-01 scorecard model, EEP-01 Phases A–J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Proven, working, should be reused rather than reinvented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Traceability tables (Section 8/14)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 sparse by necessity; should densify as phases are ratified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Emerging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Business-architecture-specific conformance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Modeled directly on ACR-01 but not yet applied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Experimental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AI-business-governance independent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 exist (KCLF/IQF); verification mechanism does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Business-architecture-specific review board (distinct from or extending WP-ARB-01)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Reasonable target once phase volume justifies a dedicated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identified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repository evidence of deprecated business-governance architecture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governance-roadmap"/>
    <w:p>
      <w:pPr>
        <w:pStyle w:val="Heading2"/>
      </w:pPr>
      <w:r>
        <w:t xml:space="preserve">13. Governance Roadmap</w:t>
      </w:r>
    </w:p>
    <w:p>
      <w:pPr>
        <w:pStyle w:val="FirstParagraph"/>
      </w:pPr>
      <w:r>
        <w:rPr>
          <w:bCs/>
          <w:b/>
        </w:rPr>
        <w:t xml:space="preserve">Short-term (0–2 quarters):</w:t>
      </w:r>
      <w:r>
        <w:t xml:space="preserve"> </w:t>
      </w:r>
      <w:r>
        <w:t xml:space="preserve">Formally disposition EEP-02 Phase I — either commission an independent WP-ARB-01-style review of it, or explicitly re-scope it as a working draft pending that review.</w:t>
      </w:r>
      <w:r>
        <w:t xml:space="preserve"> </w:t>
      </w:r>
      <w:r>
        <w:rPr>
          <w:iCs/>
          <w:i/>
        </w:rPr>
        <w:t xml:space="preserve">Adoption trigger: a named reviewer, distinct from this document’s authorship, produces a conformance report against Phase I.</w:t>
      </w:r>
    </w:p>
    <w:p>
      <w:pPr>
        <w:pStyle w:val="BodyText"/>
      </w:pPr>
      <w:r>
        <w:rPr>
          <w:bCs/>
          <w:b/>
        </w:rPr>
        <w:t xml:space="preserve">Medium-term (2–4 quarters):</w:t>
      </w:r>
      <w:r>
        <w:t xml:space="preserve"> </w:t>
      </w:r>
      <w:r>
        <w:t xml:space="preserve">Scope and draft EEP-02 Phases A–H as dedicated work packages, each subject to the review process in Section 6 before being cited as canonical elsewhere.</w:t>
      </w:r>
      <w:r>
        <w:t xml:space="preserve"> </w:t>
      </w:r>
      <w:r>
        <w:rPr>
          <w:iCs/>
          <w:i/>
        </w:rPr>
        <w:t xml:space="preserve">Adoption trigger: each phase is produced as an inspectable document and independently reviewed before being marked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completed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in any future prompt background section.</w:t>
      </w:r>
    </w:p>
    <w:p>
      <w:pPr>
        <w:pStyle w:val="BodyText"/>
      </w:pPr>
      <w:r>
        <w:rPr>
          <w:bCs/>
          <w:b/>
        </w:rPr>
        <w:t xml:space="preserve">Long-term (4+ quarters):</w:t>
      </w:r>
      <w:r>
        <w:t xml:space="preserve"> </w:t>
      </w:r>
      <w:r>
        <w:t xml:space="preserve">Once phases exist and have been reviewed, apply ACR-01-style conformance scoring across the full EEP-02 set, and stand up EEP-01 Phase J’s drift-register pattern for ongoing monitoring.</w:t>
      </w:r>
      <w:r>
        <w:t xml:space="preserve"> </w:t>
      </w:r>
      <w:r>
        <w:rPr>
          <w:iCs/>
          <w:i/>
        </w:rPr>
        <w:t xml:space="preserve">Adoption trigger: a business-architecture conformance scorecard exists and has been run at least once.</w:t>
      </w:r>
    </w:p>
    <w:p>
      <w:pPr>
        <w:pStyle w:val="BodyText"/>
      </w:pPr>
      <w:r>
        <w:rPr>
          <w:bCs/>
          <w:b/>
        </w:rPr>
        <w:t xml:space="preserve">Enterprise evolution:</w:t>
      </w:r>
      <w:r>
        <w:t xml:space="preserve"> </w:t>
      </w:r>
      <w:r>
        <w:t xml:space="preserve">This roadmap deliberately does not assume EEP-02 A–H will exist by a given date; each step’s trigger is document production and review, not calendar time — consistent with every prior phase in this program.</w:t>
      </w:r>
    </w:p>
    <w:p>
      <w:r>
        <w:pict>
          <v:rect style="width:0;height:1.5pt" o:hralign="center" o:hrstd="t" o:hr="t"/>
        </w:pict>
      </w:r>
    </w:p>
    <w:bookmarkEnd w:id="35"/>
    <w:bookmarkStart w:id="36" w:name="traceability"/>
    <w:p>
      <w:pPr>
        <w:pStyle w:val="Heading2"/>
      </w:pPr>
      <w:r>
        <w:t xml:space="preserve">14. Traceability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Governance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EEP-02 A–I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EEP-01 Governance/Verification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I 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Traces to the Phase I draft itself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direct 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follow ACR-01/WP-ARB-01 pattern once commissioned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Future Phase A–H drafting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trace — content does not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reuse EEP-01 Phase H/I conventions (CURRENT/TARGET, Part 0 reality check)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generate new ADRs per WP-SIPD-02 convention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be reviewed under a future ACR-style instrument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Conformance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once phases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Directly modeled on</w:t>
            </w:r>
            <w:r>
              <w:t xml:space="preserve"> </w:t>
            </w:r>
            <w:r>
              <w:rPr>
                <w:rStyle w:val="VerbatimChar"/>
              </w:rPr>
              <w:t xml:space="preserve">ARCHITECTURE_GOVERNANCE_SCORECARD.md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reuse of ACR-01 methodology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once phases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Directly modeled on EEP-01 Phase J’s drift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This table remains intentionally sparse in the same places Phase I’s traceability table was sparse, for the same reason: there is nothing yet to trace to.</w:t>
      </w:r>
    </w:p>
    <w:p>
      <w:r>
        <w:pict>
          <v:rect style="width:0;height:1.5pt" o:hralign="center" o:hrstd="t" o:hr="t"/>
        </w:pict>
      </w:r>
    </w:p>
    <w:bookmarkEnd w:id="36"/>
    <w:bookmarkStart w:id="37" w:name="architecture-decisions"/>
    <w:p>
      <w:pPr>
        <w:pStyle w:val="Heading2"/>
      </w:pPr>
      <w:r>
        <w:t xml:space="preserve">15. Architecture Decisions</w:t>
      </w:r>
    </w:p>
    <w:p>
      <w:pPr>
        <w:pStyle w:val="FirstParagraph"/>
      </w:pPr>
      <w:r>
        <w:rPr>
          <w:bCs/>
          <w:b/>
        </w:rPr>
        <w:t xml:space="preserve">Decision 1 — Treat the Background section’s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EEP-02 A–I completed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claim as unverified rather than canonical.</w:t>
      </w:r>
      <w:r>
        <w:t xml:space="preserve"> </w:t>
      </w:r>
      <w:r>
        <w:rPr>
          <w:iCs/>
          <w:i/>
        </w:rPr>
        <w:t xml:space="preserve">Context:</w:t>
      </w:r>
      <w:r>
        <w:t xml:space="preserve"> </w:t>
      </w:r>
      <w:r>
        <w:t xml:space="preserve">The prompt background for this phase and the prior phase both assert EEP-02 A–I are completed and canonical; repository search finds no evidence for A–H, and Phase I is this session’s own unratified draft.</w:t>
      </w:r>
      <w:r>
        <w:t xml:space="preserve"> </w:t>
      </w:r>
      <w:r>
        <w:rPr>
          <w:iCs/>
          <w:i/>
        </w:rPr>
        <w:t xml:space="preserve">Alternatives considered:</w:t>
      </w:r>
      <w:r>
        <w:t xml:space="preserve"> </w:t>
      </w:r>
      <w:r>
        <w:t xml:space="preserve">(a) accept the claim at face value and write Phase J as if governing a mature nine-phase program; (b) refuse to proceed; (c) apply the same evidence standard this document recommends to the claim itself, and build Phase J around the gap.</w:t>
      </w:r>
      <w:r>
        <w:t xml:space="preserve"> </w:t>
      </w:r>
      <w:r>
        <w:rPr>
          <w:iCs/>
          <w:i/>
        </w:rPr>
        <w:t xml:space="preserve">Trade-offs:</w:t>
      </w:r>
      <w:r>
        <w:t xml:space="preserve"> </w:t>
      </w:r>
      <w:r>
        <w:t xml:space="preserve">(a) would make this document internally inconsistent with its own recommended governance principle (evidence-first, repository-driven validation); (b) blocks legitimate, useful governance-framework work that doesn’t depend on A–H existing.</w:t>
      </w:r>
      <w:r>
        <w:t xml:space="preserve"> </w:t>
      </w:r>
      <w:r>
        <w:rPr>
          <w:iCs/>
          <w:i/>
        </w:rPr>
        <w:t xml:space="preserve">Rationale:</w:t>
      </w:r>
      <w:r>
        <w:t xml:space="preserve"> </w:t>
      </w:r>
      <w:r>
        <w:t xml:space="preserve">(c) is the only option consistent with the document’s own stated principles.</w:t>
      </w:r>
    </w:p>
    <w:p>
      <w:pPr>
        <w:pStyle w:val="BodyText"/>
      </w:pPr>
      <w:r>
        <w:rPr>
          <w:bCs/>
          <w:b/>
        </w:rPr>
        <w:t xml:space="preserve">Decision 2 — Reuse WP-ARB-01 and ACR-01 mechanics rather than designing a new governance instrument.</w:t>
      </w:r>
      <w:r>
        <w:t xml:space="preserve"> </w:t>
      </w:r>
      <w:r>
        <w:rPr>
          <w:iCs/>
          <w:i/>
        </w:rPr>
        <w:t xml:space="preserve">Context:</w:t>
      </w:r>
      <w:r>
        <w:t xml:space="preserve"> </w:t>
      </w:r>
      <w:r>
        <w:t xml:space="preserve">A mature, working review-and-scoring process already exists for technical architecture.</w:t>
      </w:r>
      <w:r>
        <w:t xml:space="preserve"> </w:t>
      </w:r>
      <w:r>
        <w:rPr>
          <w:iCs/>
          <w:i/>
        </w:rPr>
        <w:t xml:space="preserve">Alternatives considered:</w:t>
      </w:r>
      <w:r>
        <w:t xml:space="preserve"> </w:t>
      </w:r>
      <w:r>
        <w:t xml:space="preserve">Design a bespoke business-architecture governance model from scratch.</w:t>
      </w:r>
      <w:r>
        <w:t xml:space="preserve"> </w:t>
      </w:r>
      <w:r>
        <w:rPr>
          <w:iCs/>
          <w:i/>
        </w:rPr>
        <w:t xml:space="preserve">Trade-offs:</w:t>
      </w:r>
      <w:r>
        <w:t xml:space="preserve"> </w:t>
      </w:r>
      <w:r>
        <w:t xml:space="preserve">A bespoke model risks reinventing what already works and introducing inconsistency between how EEP-01 and EEP-02 are governed.</w:t>
      </w:r>
      <w:r>
        <w:t xml:space="preserve"> </w:t>
      </w:r>
      <w:r>
        <w:rPr>
          <w:iCs/>
          <w:i/>
        </w:rPr>
        <w:t xml:space="preserve">Rationale:</w:t>
      </w:r>
      <w:r>
        <w:t xml:space="preserve"> </w:t>
      </w:r>
      <w:r>
        <w:t xml:space="preserve">Reuse maximizes consistency and is directly supported by repository evidence of the existing process’s effectiveness.</w:t>
      </w:r>
    </w:p>
    <w:p>
      <w:r>
        <w:pict>
          <v:rect style="width:0;height:1.5pt" o:hralign="center" o:hrstd="t" o:hr="t"/>
        </w:pict>
      </w:r>
    </w:p>
    <w:bookmarkEnd w:id="37"/>
    <w:bookmarkStart w:id="38" w:name="risks"/>
    <w:p>
      <w:pPr>
        <w:pStyle w:val="Heading2"/>
      </w:pPr>
      <w:r>
        <w:t xml:space="preserve">16. Risks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Governance risk:</w:t>
      </w:r>
      <w:r>
        <w:t xml:space="preserve"> </w:t>
      </w:r>
      <w:r>
        <w:t xml:space="preserve">Future prompts or documents may continue to assert EEP-02 A–H/I are</w:t>
      </w:r>
      <w:r>
        <w:t xml:space="preserve"> </w:t>
      </w:r>
      <w:r>
        <w:t xml:space="preserve">“</w:t>
      </w:r>
      <w:r>
        <w:t xml:space="preserve">completed</w:t>
      </w:r>
      <w:r>
        <w:t xml:space="preserve">”</w:t>
      </w:r>
      <w:r>
        <w:t xml:space="preserve"> </w:t>
      </w:r>
      <w:r>
        <w:t xml:space="preserve">without the documents being produced; each recurrence should be checked against the repository, not accepted cumulatively.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Architecture drift:</w:t>
      </w:r>
      <w:r>
        <w:t xml:space="preserve"> </w:t>
      </w:r>
      <w:r>
        <w:t xml:space="preserve">Not yet applicable to EEP-02 (nothing to drift from), but directly applicable to EEP-01 per Phase J’s own findings (broken CI paths, phantom</w:t>
      </w:r>
      <w:r>
        <w:t xml:space="preserve"> </w:t>
      </w:r>
      <w:r>
        <w:rPr>
          <w:rStyle w:val="VerbatimChar"/>
        </w:rPr>
        <w:t xml:space="preserve">drift:check</w:t>
      </w:r>
      <w:r>
        <w:t xml:space="preserve"> </w:t>
      </w:r>
      <w:r>
        <w:t xml:space="preserve">script) — those remain open per that document and are out of this phase’s scope to fix, only to note.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Traceability risk:</w:t>
      </w:r>
      <w:r>
        <w:t xml:space="preserve"> </w:t>
      </w:r>
      <w:r>
        <w:t xml:space="preserve">Sparse traceability tables (Sections 8, 14) could be mistaken for oversight rather than an honest reflection of missing content; this document mitigates that by stating the reason explicitly wherever it occurs.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Documentation risk:</w:t>
      </w:r>
      <w:r>
        <w:t xml:space="preserve"> </w:t>
      </w:r>
      <w:r>
        <w:t xml:space="preserve">An unratified Phase I could be cited elsewhere as canonical if this document’s disposition recommendation (Section 13) isn’t acted 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Knowledge risk:</w:t>
      </w:r>
      <w:r>
        <w:t xml:space="preserve"> </w:t>
      </w:r>
      <w:r>
        <w:t xml:space="preserve">KCLF’s AI-publication constraint remains unaudited in running code, carried over from Phase I as a standing risk.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 governance risk:</w:t>
      </w:r>
      <w:r>
        <w:t xml:space="preserve"> </w:t>
      </w:r>
      <w:r>
        <w:t xml:space="preserve">Same as above — architecturally constrained, not independently verified.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Transformation risk:</w:t>
      </w:r>
      <w:r>
        <w:t xml:space="preserve"> </w:t>
      </w:r>
      <w:r>
        <w:t xml:space="preserve">Phase I’s roadmap sequencing (verify before expanding scope) could be undermined if EEP-02 phases are drafted out of order or without review, defeating the purpose of this governance framework.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Repository synchronization risk:</w:t>
      </w:r>
      <w:r>
        <w:t xml:space="preserve"> </w:t>
      </w:r>
      <w:r>
        <w:t xml:space="preserve">“</w:t>
      </w:r>
      <w:r>
        <w:t xml:space="preserve">Approved but uncommitted</w:t>
      </w:r>
      <w:r>
        <w:t xml:space="preserve">”</w:t>
      </w:r>
      <w:r>
        <w:t xml:space="preserve"> </w:t>
      </w:r>
      <w:r>
        <w:t xml:space="preserve">documents cannot be distinguished from documents that don’t exist without a specific, inspectable artifact — this is the central risk this entire document responds to.</w:t>
      </w:r>
    </w:p>
    <w:p>
      <w:pPr>
        <w:pStyle w:val="FirstParagraph"/>
      </w:pPr>
      <w:r>
        <w:rPr>
          <w:bCs/>
          <w:b/>
        </w:rPr>
        <w:t xml:space="preserve">Mitigation strategies:</w:t>
      </w:r>
      <w:r>
        <w:t xml:space="preserve"> </w:t>
      </w:r>
      <w:r>
        <w:t xml:space="preserve">Require any future claim of an</w:t>
      </w:r>
      <w:r>
        <w:t xml:space="preserve"> </w:t>
      </w:r>
      <w:r>
        <w:t xml:space="preserve">“</w:t>
      </w:r>
      <w:r>
        <w:t xml:space="preserve">approved external EEP document</w:t>
      </w:r>
      <w:r>
        <w:t xml:space="preserve">”</w:t>
      </w:r>
      <w:r>
        <w:t xml:space="preserve"> </w:t>
      </w:r>
      <w:r>
        <w:t xml:space="preserve">to be accompanied by a producible artifact before being cited as canonical; apply WP-ARB-01/ACR-01 review mechanics to every future EEP-02 phase; extend EEP-01 Phase J’s drift-register practice to EEP-02 once it has content.</w:t>
      </w:r>
    </w:p>
    <w:p>
      <w:r>
        <w:pict>
          <v:rect style="width:0;height:1.5pt" o:hralign="center" o:hrstd="t" o:hr="t"/>
        </w:pict>
      </w:r>
    </w:p>
    <w:bookmarkEnd w:id="38"/>
    <w:bookmarkStart w:id="39" w:name="success-metrics"/>
    <w:p>
      <w:pPr>
        <w:pStyle w:val="Heading2"/>
      </w:pPr>
      <w:r>
        <w:t xml:space="preserve">17. Success Metrics</w:t>
      </w:r>
    </w:p>
    <w:p>
      <w:pPr>
        <w:numPr>
          <w:ilvl w:val="0"/>
          <w:numId w:val="1003"/>
        </w:numPr>
        <w:pStyle w:val="Compact"/>
      </w:pPr>
      <w:r>
        <w:t xml:space="preserve">Number of EEP-02 phases that are both drafted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independently reviewed (current: 0 of 9 fully; Phase I drafted, not reviewed).</w:t>
      </w:r>
    </w:p>
    <w:p>
      <w:pPr>
        <w:numPr>
          <w:ilvl w:val="0"/>
          <w:numId w:val="1003"/>
        </w:numPr>
        <w:pStyle w:val="Compact"/>
      </w:pPr>
      <w:r>
        <w:t xml:space="preserve">Existence of a business-architecture conformance scorecard, modeled on ACR-01 (current: none).</w:t>
      </w:r>
    </w:p>
    <w:p>
      <w:pPr>
        <w:numPr>
          <w:ilvl w:val="0"/>
          <w:numId w:val="1003"/>
        </w:numPr>
        <w:pStyle w:val="Compact"/>
      </w:pPr>
      <w:r>
        <w:t xml:space="preserve">Traceability table completeness (Sections 8, 14), tracked as it densifies over time.</w:t>
      </w:r>
    </w:p>
    <w:p>
      <w:pPr>
        <w:numPr>
          <w:ilvl w:val="0"/>
          <w:numId w:val="1003"/>
        </w:numPr>
        <w:pStyle w:val="Compact"/>
      </w:pPr>
      <w:r>
        <w:t xml:space="preserve">Recurrence rate of unverified</w:t>
      </w:r>
      <w:r>
        <w:t xml:space="preserve"> </w:t>
      </w:r>
      <w:r>
        <w:t xml:space="preserve">“</w:t>
      </w:r>
      <w:r>
        <w:t xml:space="preserve">completed</w:t>
      </w:r>
      <w:r>
        <w:t xml:space="preserve">”</w:t>
      </w:r>
      <w:r>
        <w:t xml:space="preserve"> </w:t>
      </w:r>
      <w:r>
        <w:t xml:space="preserve">claims in future prompts, checked against repository evidence each time.</w:t>
      </w:r>
    </w:p>
    <w:p>
      <w:pPr>
        <w:numPr>
          <w:ilvl w:val="0"/>
          <w:numId w:val="1003"/>
        </w:numPr>
        <w:pStyle w:val="Compact"/>
      </w:pPr>
      <w:r>
        <w:t xml:space="preserve">Time-to-disposition for Phase I (draft → reviewed → ratified or revised).</w:t>
      </w:r>
    </w:p>
    <w:p>
      <w:pPr>
        <w:numPr>
          <w:ilvl w:val="0"/>
          <w:numId w:val="1003"/>
        </w:numPr>
        <w:pStyle w:val="Compact"/>
      </w:pPr>
      <w:r>
        <w:t xml:space="preserve">Drift-register findings once EEP-02 has content to monitor (target: zero undetected drift, per EEP-01 Phase J’s own</w:t>
      </w:r>
      <w:r>
        <w:t xml:space="preserve"> </w:t>
      </w:r>
      <w:r>
        <w:t xml:space="preserve">“</w:t>
      </w:r>
      <w:r>
        <w:t xml:space="preserve">verify the verifiers</w:t>
      </w:r>
      <w:r>
        <w:t xml:space="preserve">”</w:t>
      </w:r>
      <w:r>
        <w:t xml:space="preserve"> </w:t>
      </w:r>
      <w:r>
        <w:t xml:space="preserve">standard).</w:t>
      </w:r>
    </w:p>
    <w:p>
      <w:r>
        <w:pict>
          <v:rect style="width:0;height:1.5pt" o:hralign="center" o:hrstd="t" o:hr="t"/>
        </w:pict>
      </w:r>
    </w:p>
    <w:bookmarkEnd w:id="39"/>
    <w:bookmarkStart w:id="40" w:name="recommendations"/>
    <w:p>
      <w:pPr>
        <w:pStyle w:val="Heading2"/>
      </w:pPr>
      <w:r>
        <w:t xml:space="preserve">18. Recommendations</w:t>
      </w:r>
    </w:p>
    <w:p>
      <w:pPr>
        <w:pStyle w:val="FirstParagraph"/>
      </w:pPr>
      <w:r>
        <w:rPr>
          <w:bCs/>
          <w:b/>
        </w:rPr>
        <w:t xml:space="preserve">Immediate priorities:</w:t>
      </w:r>
      <w:r>
        <w:t xml:space="preserve"> </w:t>
      </w:r>
      <w:r>
        <w:t xml:space="preserve">Commission an independent review of EEP-02 Phase I using the WP-ARB-01 model before treating it as canonical anywhere else; explicitly correct future prompt background sections that assert EEP-02 A–H are completed, since repository evidence does not support that claim.</w:t>
      </w:r>
    </w:p>
    <w:p>
      <w:pPr>
        <w:pStyle w:val="BodyText"/>
      </w:pPr>
      <w:r>
        <w:rPr>
          <w:bCs/>
          <w:b/>
        </w:rPr>
        <w:t xml:space="preserve">Near-term improvements:</w:t>
      </w:r>
      <w:r>
        <w:t xml:space="preserve"> </w:t>
      </w:r>
      <w:r>
        <w:t xml:space="preserve">Scope EEP-02 Phases A–H as dedicated, individually reviewed work packages rather than assuming their content; adopt ACR-01’s scorecard format as the template for business-architecture conformance scoring once content exists.</w:t>
      </w:r>
    </w:p>
    <w:p>
      <w:pPr>
        <w:pStyle w:val="BodyText"/>
      </w:pPr>
      <w:r>
        <w:rPr>
          <w:bCs/>
          <w:b/>
        </w:rPr>
        <w:t xml:space="preserve">Medium-term improvements:</w:t>
      </w:r>
      <w:r>
        <w:t xml:space="preserve"> </w:t>
      </w:r>
      <w:r>
        <w:t xml:space="preserve">Populate Sections 8 and 14’s traceability tables as each phase is ratified; extend EEP-01 Phase J’s drift-register practice to EEP-02.</w:t>
      </w:r>
    </w:p>
    <w:p>
      <w:pPr>
        <w:pStyle w:val="BodyText"/>
      </w:pPr>
      <w:r>
        <w:rPr>
          <w:bCs/>
          <w:b/>
        </w:rPr>
        <w:t xml:space="preserve">Long-term evolution:</w:t>
      </w:r>
      <w:r>
        <w:t xml:space="preserve"> </w:t>
      </w:r>
      <w:r>
        <w:t xml:space="preserve">Once EEP-02 has real, reviewed content across Phases A–I, run a full ACR-style conformance review across the whole business-architecture set, mirroring the rigor already applied to the technical architecture.</w:t>
      </w:r>
    </w:p>
    <w:p>
      <w:pPr>
        <w:pStyle w:val="BodyText"/>
      </w:pPr>
      <w:r>
        <w:rPr>
          <w:bCs/>
          <w:b/>
        </w:rPr>
        <w:t xml:space="preserve">Strategic investments:</w:t>
      </w:r>
      <w:r>
        <w:t xml:space="preserve"> </w:t>
      </w:r>
      <w:r>
        <w:t xml:space="preserve">The highest-value next investment is not a new governance mechanism — it is actually drafting and reviewing EEP-02 Phases A–H, since this document’s own recommendations, and Phase I’s roadmaps, depend on that foundation existing rather than being assumed.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2026-07-08T08:43:17Z</dcterms:created>
  <dcterms:modified xsi:type="dcterms:W3CDTF">2026-07-08T08:43:17Z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