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B57"/>
          <w:sz w:val="40"/>
          <w:szCs w:val="40"/>
        </w:rPr>
        <w:t xml:space="preserve">HireRise Career Intelligence Platform</w:t>
      </w:r>
    </w:p>
    <w:p>
      <w:pPr>
        <w:spacing w:before="200"/>
        <w:jc w:val="center"/>
      </w:pPr>
      <w:r>
        <w:rPr>
          <w:b/>
          <w:bCs/>
          <w:color w:val="0E7C7B"/>
          <w:sz w:val="32"/>
          <w:szCs w:val="32"/>
        </w:rPr>
        <w:t xml:space="preserve">Enterprise Business Capability Architecture</w:t>
      </w:r>
    </w:p>
    <w:p>
      <w:pPr>
        <w:spacing w:after="600" w:before="120"/>
        <w:jc w:val="center"/>
      </w:pPr>
      <w:r>
        <w:rPr>
          <w:color w:val="595959"/>
          <w:sz w:val="24"/>
          <w:szCs w:val="24"/>
        </w:rPr>
        <w:t xml:space="preserve">EEP-02 — Enterprise Engineering Program, Phase A</w:t>
      </w:r>
    </w:p>
    <w:p>
      <w:pPr>
        <w:spacing w:after="60"/>
        <w:jc w:val="center"/>
      </w:pPr>
      <w:r>
        <w:rPr>
          <w:i/>
          <w:iCs/>
        </w:rPr>
        <w:t xml:space="preserve">Document status: Canonical — Phase A only, per program constraint</w:t>
      </w:r>
    </w:p>
    <w:p>
      <w:pPr>
        <w:spacing w:after="60"/>
        <w:jc w:val="center"/>
      </w:pPr>
      <w:r>
        <w:t xml:space="preserve">Version 1.0 — July 2026</w:t>
      </w:r>
    </w:p>
    <w:p>
      <w:pPr>
        <w:spacing w:after="60"/>
        <w:jc w:val="center"/>
      </w:pPr>
      <w:r>
        <w:t xml:space="preserve">Prepared as a combined Business Architecture / Capability Modeling / Strategy Alignment deliverable</w:t>
      </w:r>
    </w:p>
    <w:p>
      <w:pPr>
        <w:spacing w:after="400"/>
        <w:jc w:val="center"/>
      </w:pPr>
      <w:r>
        <w:t xml:space="preserve">Built on, and traceable to, the completed EEP-01 Enterprise Technical Architecture (Phases A–J)</w:t>
      </w:r>
    </w:p>
    <w:p>
      <w:r>
        <w:br w:type="page"/>
      </w:r>
    </w:p>
    <w:p>
      <w:pPr>
        <w:pStyle w:val="Heading1"/>
        <w:spacing w:after="200" w:before="400"/>
      </w:pPr>
      <w:r>
        <w:t xml:space="preserve">How to Read This Document</w:t>
      </w:r>
    </w:p>
    <w:p>
      <w:pPr>
        <w:spacing w:after="160" w:line="276"/>
      </w:pPr>
      <w:r>
        <w:t xml:space="preserve">This document follows the evidentiary discipline established across the EEP-01 series: every capability statement is grounded in the HireRise repository (the hirerise/core backend, the hirerise/front application, the canonical taxonomy, and the ten completed EEP-01 architecture phases), not in a generic industry capability template relabeled with HireRise's name.</w:t>
      </w:r>
    </w:p>
    <w:p>
      <w:pPr>
        <w:spacing w:after="160" w:line="276"/>
      </w:pPr>
      <w:r>
        <w:t xml:space="preserve">Two conventions carry over from EEP-01 and apply throughout:</w:t>
      </w:r>
    </w:p>
    <w:p>
      <w:pPr>
        <w:pBdr>
          <w:left w:val="single" w:color="0E7C7B" w:sz="18"/>
        </w:pBdr>
        <w:shd w:fill="E8F3F1" w:val="clear"/>
        <w:spacing w:after="160" w:before="80"/>
      </w:pPr>
      <w:r>
        <w:rPr>
          <w:b/>
          <w:bCs/>
          <w:color w:val="0E7C7B"/>
        </w:rPr>
        <w:t xml:space="preserve">CURRENT STATE  </w:t>
      </w:r>
      <w:r>
        <w:t xml:space="preserve">describes a capability, or a level of capability maturity, that exists in the repository today, evidenced by named modules, services, or completed EEP-01 architecture decisions.</w:t>
      </w:r>
    </w:p>
    <w:p>
      <w:pPr>
        <w:pBdr>
          <w:left w:val="single" w:color="C9A227" w:sz="18"/>
        </w:pBdr>
        <w:shd w:fill="FDF3E3" w:val="clear"/>
        <w:spacing w:after="160" w:before="80"/>
      </w:pPr>
      <w:r>
        <w:rPr>
          <w:b/>
          <w:bCs/>
          <w:color w:val="9C7A0A"/>
        </w:rPr>
        <w:t xml:space="preserve">TARGET STATE  </w:t>
      </w:r>
      <w:r>
        <w:t xml:space="preserve">describes a capability, or maturity level, HireRise does not yet have, expressed as a reference point to grow into — with an explicit, measurable adoption trigger, never an unconditional roadmap commitment.</w:t>
      </w:r>
    </w:p>
    <w:p>
      <w:pPr>
        <w:spacing w:after="160" w:line="276"/>
      </w:pPr>
      <w:r>
        <w:t xml:space="preserve">A methodological note on scale, carried forward from EEP-01 Phase H and Phase I: the engineering evidence throughout this repository — one integrated codebase, one CI pipeline, custom architectural lint rules rather than a large governance function, a small number of contributors — indicates a small, high-leverage engineering team rather than a large enterprise. This document does not manufacture large-organization capability bureaucracy to look more "enterprise." Capabilities are modeled at the maturity the evidence supports, with target states reserved for genuine future scale points.</w:t>
      </w:r>
    </w:p>
    <w:p>
      <w:pPr>
        <w:spacing w:after="160" w:line="276"/>
      </w:pPr>
      <w:r>
        <w:t xml:space="preserve">This document is Phase A of EEP-02 only. It defines the business capability architecture — what HireRise does, for whom, and how that evolves. It does not redesign, restate in full, or reopen any EEP-01 technical decision; where a capability is realized by a specific technical architecture, this document references the owning EEP-01 phase rather than re-deriving it (Section 14 — Traceability to EEP-01).</w:t>
      </w:r>
    </w:p>
    <w:p>
      <w:pPr>
        <w:pStyle w:val="Heading1"/>
        <w:spacing w:after="200" w:before="400"/>
      </w:pPr>
      <w:r>
        <w:t xml:space="preserve">1. Executive Summary</w:t>
      </w:r>
    </w:p>
    <w:p>
      <w:pPr>
        <w:pStyle w:val="Heading2"/>
        <w:spacing w:after="140" w:before="280"/>
      </w:pPr>
      <w:r>
        <w:t xml:space="preserve">1.1 Business Capability Vision</w:t>
      </w:r>
    </w:p>
    <w:p>
      <w:pPr>
        <w:spacing w:after="160" w:line="276"/>
      </w:pPr>
      <w:r>
        <w:t xml:space="preserve">HireRise exists to replace fragmented, one-off career decision-making — a student guessing at a stream, a degree, a first job — with a continuously maintained, evidence-based career intelligence practice that combines a student's academic and skill profile with real labor-market and employer demand signals, mediated by AI advisory capabilities the student can trust and act on repeatedly, not just once at graduation.</w:t>
      </w:r>
    </w:p>
    <w:p>
      <w:pPr>
        <w:spacing w:after="160" w:line="276"/>
      </w:pPr>
      <w:r>
        <w:t xml:space="preserve">The repository evidences this vision directly: a purpose-built academic domain data model designed to hold up to ten years of per-student history (EEP-01 Phase A), a Career Digital Twin and Career Health Index capability pair intended to give a longitudinal, simulate-able view of a student's career trajectory rather than a point-in-time score, and an AI subsystem (Phase F) already running a five-provider model fallback chain and multiple coordinated agents in production code — evidence of sustained investment in the AI-native part of the vision specifically, ahead of some of the surrounding business capabilities.</w:t>
      </w:r>
    </w:p>
    <w:p>
      <w:pPr>
        <w:pStyle w:val="Heading2"/>
        <w:spacing w:after="140" w:before="280"/>
      </w:pPr>
      <w:r>
        <w:t xml:space="preserve">1.2 Strategic Goals</w:t>
      </w:r>
    </w:p>
    <w:p>
      <w:pPr>
        <w:pStyle w:val="ListParagraph"/>
        <w:numPr>
          <w:ilvl w:val="0"/>
          <w:numId w:val="1"/>
        </w:numPr>
        <w:spacing w:after="80" w:line="276"/>
      </w:pPr>
      <w:r>
        <w:t xml:space="preserve">Give every student a trustworthy, continuously updated picture of their academic and skill standing (Academic Intelligence).</w:t>
      </w:r>
    </w:p>
    <w:p>
      <w:pPr>
        <w:pStyle w:val="ListParagraph"/>
        <w:numPr>
          <w:ilvl w:val="0"/>
          <w:numId w:val="1"/>
        </w:numPr>
        <w:spacing w:after="80" w:line="276"/>
      </w:pPr>
      <w:r>
        <w:t xml:space="preserve">Translate that standing into concrete, ranked, explainable career and role options grounded in real market data (Career Intelligence).</w:t>
      </w:r>
    </w:p>
    <w:p>
      <w:pPr>
        <w:pStyle w:val="ListParagraph"/>
        <w:numPr>
          <w:ilvl w:val="0"/>
          <w:numId w:val="1"/>
        </w:numPr>
        <w:spacing w:after="80" w:line="276"/>
      </w:pPr>
      <w:r>
        <w:t xml:space="preserve">Maintain a living map of skills, roles, and labor-market demand that both intelligence capabilities and future employer-facing capabilities can draw on (Knowledge &amp; Market Intelligence).</w:t>
      </w:r>
    </w:p>
    <w:p>
      <w:pPr>
        <w:pStyle w:val="ListParagraph"/>
        <w:numPr>
          <w:ilvl w:val="0"/>
          <w:numId w:val="1"/>
        </w:numPr>
        <w:spacing w:after="80" w:line="276"/>
      </w:pPr>
      <w:r>
        <w:t xml:space="preserve">Deliver all of the above through AI advisory and agentic capabilities that are provider-resilient, explainable, and auditable, not a single brittle model call (AI-Native Capabilities).</w:t>
      </w:r>
    </w:p>
    <w:p>
      <w:pPr>
        <w:pStyle w:val="ListParagraph"/>
        <w:numPr>
          <w:ilvl w:val="0"/>
          <w:numId w:val="1"/>
        </w:numPr>
        <w:spacing w:after="80" w:line="276"/>
      </w:pPr>
      <w:r>
        <w:t xml:space="preserve">Convert intelligence into action — resumes, cover letters, applications, and daily engagement — so the platform closes the loop from insight to outcome (Candidate Experience &amp; Growth).</w:t>
      </w:r>
    </w:p>
    <w:p>
      <w:pPr>
        <w:pStyle w:val="ListParagraph"/>
        <w:numPr>
          <w:ilvl w:val="0"/>
          <w:numId w:val="1"/>
        </w:numPr>
        <w:spacing w:after="80" w:line="276"/>
      </w:pPr>
      <w:r>
        <w:t xml:space="preserve">Build the connective tissue (employer integration, opportunity ingestion) that will eventually make HireRise a two-sided market, not only a student-facing advisory tool (Employer Intelligence — currently the least mature domain, see Section 2).</w:t>
      </w:r>
    </w:p>
    <w:p>
      <w:pPr>
        <w:pStyle w:val="Heading2"/>
        <w:spacing w:after="140" w:before="280"/>
      </w:pPr>
      <w:r>
        <w:t xml:space="preserve">1.3 Business Architecture Objectives</w:t>
      </w:r>
    </w:p>
    <w:p>
      <w:pPr>
        <w:spacing w:after="160" w:line="276"/>
      </w:pPr>
      <w:r>
        <w:t xml:space="preserve">This document exists to give HireRise a stable way to talk about, invest in, and govern what the business does — independent of which service, provider, or framework currently implements it. Objectives:</w:t>
      </w:r>
    </w:p>
    <w:p>
      <w:pPr>
        <w:pStyle w:val="ListParagraph"/>
        <w:numPr>
          <w:ilvl w:val="0"/>
          <w:numId w:val="1"/>
        </w:numPr>
        <w:spacing w:after="80" w:line="276"/>
      </w:pPr>
      <w:r>
        <w:t xml:space="preserve">Establish a canonical, named capability map, decoupled from module and service names, that survives refactors and re-platforming.</w:t>
      </w:r>
    </w:p>
    <w:p>
      <w:pPr>
        <w:pStyle w:val="ListParagraph"/>
        <w:numPr>
          <w:ilvl w:val="0"/>
          <w:numId w:val="1"/>
        </w:numPr>
        <w:spacing w:after="80" w:line="276"/>
      </w:pPr>
      <w:r>
        <w:t xml:space="preserve">Make current maturity and capability gaps explicit and evidence-based, replacing implicit assumptions about "what HireRise already does."</w:t>
      </w:r>
    </w:p>
    <w:p>
      <w:pPr>
        <w:pStyle w:val="ListParagraph"/>
        <w:numPr>
          <w:ilvl w:val="0"/>
          <w:numId w:val="1"/>
        </w:numPr>
        <w:spacing w:after="80" w:line="276"/>
      </w:pPr>
      <w:r>
        <w:t xml:space="preserve">Give every capability a business owner and a technical steward, even where — honestly, at current headcount — both roles are presently held by the same person or small team (Section 12).</w:t>
      </w:r>
    </w:p>
    <w:p>
      <w:pPr>
        <w:pStyle w:val="ListParagraph"/>
        <w:numPr>
          <w:ilvl w:val="0"/>
          <w:numId w:val="1"/>
        </w:numPr>
        <w:spacing w:after="80" w:line="276"/>
      </w:pPr>
      <w:r>
        <w:t xml:space="preserve">Provide a roadmap with measurable adoption triggers, not calendar-only commitments, consistent with the EEP-01 Part 0 trigger-table convention.</w:t>
      </w:r>
    </w:p>
    <w:p>
      <w:pPr>
        <w:pStyle w:val="Heading2"/>
        <w:spacing w:after="140" w:before="280"/>
      </w:pPr>
      <w:r>
        <w:t xml:space="preserve">1.4 Expected Enterprise Outcomes</w:t>
      </w:r>
    </w:p>
    <w:p>
      <w:pPr>
        <w:pStyle w:val="ListParagraph"/>
        <w:numPr>
          <w:ilvl w:val="0"/>
          <w:numId w:val="1"/>
        </w:numPr>
        <w:spacing w:after="80" w:line="276"/>
      </w:pPr>
      <w:r>
        <w:t xml:space="preserve">Investment decisions (build vs. defer vs. retire) made against named business capabilities and their maturity, not against ad hoc feature requests.</w:t>
      </w:r>
    </w:p>
    <w:p>
      <w:pPr>
        <w:pStyle w:val="ListParagraph"/>
        <w:numPr>
          <w:ilvl w:val="0"/>
          <w:numId w:val="1"/>
        </w:numPr>
        <w:spacing w:after="80" w:line="276"/>
      </w:pPr>
      <w:r>
        <w:t xml:space="preserve">A shared vocabulary between product, engineering, and any future business stakeholders (investors, partner universities, employers) that does not require reading the codebase.</w:t>
      </w:r>
    </w:p>
    <w:p>
      <w:pPr>
        <w:pStyle w:val="ListParagraph"/>
        <w:numPr>
          <w:ilvl w:val="0"/>
          <w:numId w:val="1"/>
        </w:numPr>
        <w:spacing w:after="80" w:line="276"/>
      </w:pPr>
      <w:r>
        <w:t xml:space="preserve">A single place that shows, side by side, what HireRise's strategy claims it does and what the evidence shows it actually does today.</w:t>
      </w:r>
    </w:p>
    <w:p>
      <w:r>
        <w:br w:type="page"/>
      </w:r>
    </w:p>
    <w:p>
      <w:pPr>
        <w:pStyle w:val="Heading1"/>
        <w:spacing w:after="200" w:before="400"/>
      </w:pPr>
      <w:r>
        <w:t xml:space="preserve">2. Current State Assessment</w:t>
      </w:r>
    </w:p>
    <w:p>
      <w:pPr>
        <w:spacing w:after="160" w:line="276"/>
      </w:pPr>
      <w:r>
        <w:t xml:space="preserve">This assessment classifies every capability domain identified in Section 5 by implementation status, with the repository evidence that supports the classification. Detailed per-capability maturity is in Section 9; this section gives the headline current-state picture.</w:t>
      </w:r>
    </w:p>
    <w:p>
      <w:pPr>
        <w:pStyle w:val="Heading2"/>
        <w:spacing w:after="140" w:before="280"/>
      </w:pPr>
      <w:r>
        <w:t xml:space="preserve">2.1 Fully Implemented (Level 3+ evidence: working controller, routes, and repository/service layers)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00"/>
        <w:gridCol w:w="4750"/>
      </w:tblGrid>
      <w:tr>
        <w:trPr>
          <w:tblHeader/>
        </w:trPr>
        <w:tc>
          <w:tcPr>
            <w:tcW w:type="dxa" w:w="4600"/>
            <w:shd w:fill="1F3B57" w:val="clear"/>
            <w:tcMar>
              <w:top w:type="dxa" w:w="80"/>
              <w:left w:type="dxa" w:w="100"/>
              <w:bottom w:type="dxa" w:w="80"/>
              <w:right w:type="dxa" w:w="100"/>
            </w:tcMar>
            <w:vAlign w:val="center"/>
          </w:tcPr>
          <w:p>
            <w:r>
              <w:rPr>
                <w:b/>
                <w:bCs/>
                <w:color w:val="FFFFFF"/>
                <w:sz w:val="19"/>
                <w:szCs w:val="19"/>
              </w:rPr>
              <w:t xml:space="preserve">Capability area</w:t>
            </w:r>
          </w:p>
        </w:tc>
        <w:tc>
          <w:tcPr>
            <w:tcW w:type="dxa" w:w="4750"/>
            <w:shd w:fill="1F3B57" w:val="clear"/>
            <w:tcMar>
              <w:top w:type="dxa" w:w="80"/>
              <w:left w:type="dxa" w:w="100"/>
              <w:bottom w:type="dxa" w:w="80"/>
              <w:right w:type="dxa" w:w="100"/>
            </w:tcMar>
            <w:vAlign w:val="center"/>
          </w:tcPr>
          <w:p>
            <w:r>
              <w:rPr>
                <w:b/>
                <w:bCs/>
                <w:color w:val="FFFFFF"/>
                <w:sz w:val="19"/>
                <w:szCs w:val="19"/>
              </w:rPr>
              <w:t xml:space="preserve">Evidence</w:t>
            </w:r>
          </w:p>
        </w:tc>
      </w:tr>
      <w:tr>
        <w:tc>
          <w:tcPr>
            <w:tcW w:type="dxa" w:w="4600"/>
            <w:tcMar>
              <w:top w:type="dxa" w:w="80"/>
              <w:left w:type="dxa" w:w="100"/>
              <w:bottom w:type="dxa" w:w="80"/>
              <w:right w:type="dxa" w:w="100"/>
            </w:tcMar>
            <w:vAlign w:val="center"/>
          </w:tcPr>
          <w:p>
            <w:r>
              <w:rPr>
                <w:b w:val="false"/>
                <w:bCs w:val="false"/>
                <w:sz w:val="19"/>
                <w:szCs w:val="19"/>
              </w:rPr>
              <w:t xml:space="preserve">Candidate onboarding &amp; upload flow</w:t>
            </w:r>
          </w:p>
        </w:tc>
        <w:tc>
          <w:tcPr>
            <w:tcW w:type="dxa" w:w="4750"/>
            <w:tcMar>
              <w:top w:type="dxa" w:w="80"/>
              <w:left w:type="dxa" w:w="100"/>
              <w:bottom w:type="dxa" w:w="80"/>
              <w:right w:type="dxa" w:w="100"/>
            </w:tcMar>
            <w:vAlign w:val="center"/>
          </w:tcPr>
          <w:p>
            <w:r>
              <w:rPr>
                <w:b w:val="false"/>
                <w:bCs w:val="false"/>
                <w:sz w:val="19"/>
                <w:szCs w:val="19"/>
              </w:rPr>
              <w:t xml:space="preserve">core/src/modules/onboarding and student-onboarding modules include a documented upload-flow overview and a single source of truth for step ordering/enum values; front/src has matching student-onboarding features and hooks.</w:t>
            </w:r>
          </w:p>
        </w:tc>
      </w:tr>
      <w:tr>
        <w:tc>
          <w:tcPr>
            <w:tcW w:type="dxa" w:w="4600"/>
            <w:shd w:fill="EDF2F4" w:val="clear"/>
            <w:tcMar>
              <w:top w:type="dxa" w:w="80"/>
              <w:left w:type="dxa" w:w="100"/>
              <w:bottom w:type="dxa" w:w="80"/>
              <w:right w:type="dxa" w:w="100"/>
            </w:tcMar>
            <w:vAlign w:val="center"/>
          </w:tcPr>
          <w:p>
            <w:r>
              <w:rPr>
                <w:b w:val="false"/>
                <w:bCs w:val="false"/>
                <w:sz w:val="19"/>
                <w:szCs w:val="19"/>
              </w:rPr>
              <w:t xml:space="preserve">Resume intake &amp; parsing</w:t>
            </w:r>
          </w:p>
        </w:tc>
        <w:tc>
          <w:tcPr>
            <w:tcW w:type="dxa" w:w="4750"/>
            <w:shd w:fill="EDF2F4" w:val="clear"/>
            <w:tcMar>
              <w:top w:type="dxa" w:w="80"/>
              <w:left w:type="dxa" w:w="100"/>
              <w:bottom w:type="dxa" w:w="80"/>
              <w:right w:type="dxa" w:w="100"/>
            </w:tcMar>
            <w:vAlign w:val="center"/>
          </w:tcPr>
          <w:p>
            <w:r>
              <w:rPr>
                <w:b w:val="false"/>
                <w:bCs w:val="false"/>
                <w:sz w:val="19"/>
                <w:szCs w:val="19"/>
              </w:rPr>
              <w:t xml:space="preserve">core/src/modules/resume and core/src/services/resumeParser exist as dedicated backend layers; front/src/hooks/mutations/useUploadResume.ts and front/src/components/resume provide the client path.</w:t>
            </w:r>
          </w:p>
        </w:tc>
      </w:tr>
      <w:tr>
        <w:tc>
          <w:tcPr>
            <w:tcW w:type="dxa" w:w="4600"/>
            <w:tcMar>
              <w:top w:type="dxa" w:w="80"/>
              <w:left w:type="dxa" w:w="100"/>
              <w:bottom w:type="dxa" w:w="80"/>
              <w:right w:type="dxa" w:w="100"/>
            </w:tcMar>
            <w:vAlign w:val="center"/>
          </w:tcPr>
          <w:p>
            <w:r>
              <w:rPr>
                <w:b w:val="false"/>
                <w:bCs w:val="false"/>
                <w:sz w:val="19"/>
                <w:szCs w:val="19"/>
              </w:rPr>
              <w:t xml:space="preserve">Career graph &amp; role/skill taxonomy</w:t>
            </w:r>
          </w:p>
        </w:tc>
        <w:tc>
          <w:tcPr>
            <w:tcW w:type="dxa" w:w="4750"/>
            <w:tcMar>
              <w:top w:type="dxa" w:w="80"/>
              <w:left w:type="dxa" w:w="100"/>
              <w:bottom w:type="dxa" w:w="80"/>
              <w:right w:type="dxa" w:w="100"/>
            </w:tcMar>
            <w:vAlign w:val="center"/>
          </w:tcPr>
          <w:p>
            <w:r>
              <w:rPr>
                <w:b w:val="false"/>
                <w:bCs w:val="false"/>
                <w:sz w:val="19"/>
                <w:szCs w:val="19"/>
              </w:rPr>
              <w:t xml:space="preserve">hirerise_taxonomy.json is a populated canonical dataset (job_families, seniority_levels, industries, skills, roles, role_skills, certifications, role_certifications); core/src/modules/careerGraph, roles, roleAliases, skillGraph consume it.</w:t>
            </w:r>
          </w:p>
        </w:tc>
      </w:tr>
      <w:tr>
        <w:tc>
          <w:tcPr>
            <w:tcW w:type="dxa" w:w="4600"/>
            <w:shd w:fill="EDF2F4" w:val="clear"/>
            <w:tcMar>
              <w:top w:type="dxa" w:w="80"/>
              <w:left w:type="dxa" w:w="100"/>
              <w:bottom w:type="dxa" w:w="80"/>
              <w:right w:type="dxa" w:w="100"/>
            </w:tcMar>
            <w:vAlign w:val="center"/>
          </w:tcPr>
          <w:p>
            <w:r>
              <w:rPr>
                <w:b w:val="false"/>
                <w:bCs w:val="false"/>
                <w:sz w:val="19"/>
                <w:szCs w:val="19"/>
              </w:rPr>
              <w:t xml:space="preserve">Academic domain data</w:t>
            </w:r>
          </w:p>
        </w:tc>
        <w:tc>
          <w:tcPr>
            <w:tcW w:type="dxa" w:w="4750"/>
            <w:shd w:fill="EDF2F4" w:val="clear"/>
            <w:tcMar>
              <w:top w:type="dxa" w:w="80"/>
              <w:left w:type="dxa" w:w="100"/>
              <w:bottom w:type="dxa" w:w="80"/>
              <w:right w:type="dxa" w:w="100"/>
            </w:tcMar>
            <w:vAlign w:val="center"/>
          </w:tcPr>
          <w:p>
            <w:r>
              <w:rPr>
                <w:b w:val="false"/>
                <w:bCs w:val="false"/>
                <w:sz w:val="19"/>
                <w:szCs w:val="19"/>
              </w:rPr>
              <w:t xml:space="preserve">EEP-01 Phase A defines a complete 26-table physical model (10 domain + 16 reference entities) for the Canonical Student Academic Domain, already treated as authoritative input to nine downstream AI/runtime systems per Phase B.</w:t>
            </w:r>
          </w:p>
        </w:tc>
      </w:tr>
      <w:tr>
        <w:tc>
          <w:tcPr>
            <w:tcW w:type="dxa" w:w="4600"/>
            <w:tcMar>
              <w:top w:type="dxa" w:w="80"/>
              <w:left w:type="dxa" w:w="100"/>
              <w:bottom w:type="dxa" w:w="80"/>
              <w:right w:type="dxa" w:w="100"/>
            </w:tcMar>
            <w:vAlign w:val="center"/>
          </w:tcPr>
          <w:p>
            <w:r>
              <w:rPr>
                <w:b w:val="false"/>
                <w:bCs w:val="false"/>
                <w:sz w:val="19"/>
                <w:szCs w:val="19"/>
              </w:rPr>
              <w:t xml:space="preserve">AI provider resilience</w:t>
            </w:r>
          </w:p>
        </w:tc>
        <w:tc>
          <w:tcPr>
            <w:tcW w:type="dxa" w:w="4750"/>
            <w:tcMar>
              <w:top w:type="dxa" w:w="80"/>
              <w:left w:type="dxa" w:w="100"/>
              <w:bottom w:type="dxa" w:w="80"/>
              <w:right w:type="dxa" w:w="100"/>
            </w:tcMar>
            <w:vAlign w:val="center"/>
          </w:tcPr>
          <w:p>
            <w:r>
              <w:rPr>
                <w:b w:val="false"/>
                <w:bCs w:val="false"/>
                <w:sz w:val="19"/>
                <w:szCs w:val="19"/>
              </w:rPr>
              <w:t xml:space="preserve">core's aiProviderManager.js runs a five-provider fallback chain (gemini → grok → mistral → openai → anthropic) in production code today, per EEP-01 Phase F Part 0 — already at target-state maturity on this specific axis.</w:t>
            </w:r>
          </w:p>
        </w:tc>
      </w:tr>
      <w:tr>
        <w:tc>
          <w:tcPr>
            <w:tcW w:type="dxa" w:w="4600"/>
            <w:shd w:fill="EDF2F4" w:val="clear"/>
            <w:tcMar>
              <w:top w:type="dxa" w:w="80"/>
              <w:left w:type="dxa" w:w="100"/>
              <w:bottom w:type="dxa" w:w="80"/>
              <w:right w:type="dxa" w:w="100"/>
            </w:tcMar>
            <w:vAlign w:val="center"/>
          </w:tcPr>
          <w:p>
            <w:r>
              <w:rPr>
                <w:b w:val="false"/>
                <w:bCs w:val="false"/>
                <w:sz w:val="19"/>
                <w:szCs w:val="19"/>
              </w:rPr>
              <w:t xml:space="preserve">Career Health Index (v1)</w:t>
            </w:r>
          </w:p>
        </w:tc>
        <w:tc>
          <w:tcPr>
            <w:tcW w:type="dxa" w:w="4750"/>
            <w:shd w:fill="EDF2F4" w:val="clear"/>
            <w:tcMar>
              <w:top w:type="dxa" w:w="80"/>
              <w:left w:type="dxa" w:w="100"/>
              <w:bottom w:type="dxa" w:w="80"/>
              <w:right w:type="dxa" w:w="100"/>
            </w:tcMar>
            <w:vAlign w:val="center"/>
          </w:tcPr>
          <w:p>
            <w:r>
              <w:rPr>
                <w:b w:val="false"/>
                <w:bCs w:val="false"/>
                <w:sz w:val="19"/>
                <w:szCs w:val="19"/>
              </w:rPr>
              <w:t xml:space="preserve">core/src/modules/careerHealthIndex is a distinct, routed module, with chiV2 present as a named successor module (see 2.2).</w:t>
            </w:r>
          </w:p>
        </w:tc>
      </w:tr>
    </w:tbl>
    <w:p>
      <w:pPr>
        <w:pStyle w:val="Heading2"/>
        <w:spacing w:after="140" w:before="280"/>
      </w:pPr>
      <w:r>
        <w:t xml:space="preserve">2.2 Partially Implemented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00"/>
        <w:gridCol w:w="4750"/>
      </w:tblGrid>
      <w:tr>
        <w:trPr>
          <w:tblHeader/>
        </w:trPr>
        <w:tc>
          <w:tcPr>
            <w:tcW w:type="dxa" w:w="4600"/>
            <w:shd w:fill="1F3B57" w:val="clear"/>
            <w:tcMar>
              <w:top w:type="dxa" w:w="80"/>
              <w:left w:type="dxa" w:w="100"/>
              <w:bottom w:type="dxa" w:w="80"/>
              <w:right w:type="dxa" w:w="100"/>
            </w:tcMar>
            <w:vAlign w:val="center"/>
          </w:tcPr>
          <w:p>
            <w:r>
              <w:rPr>
                <w:b/>
                <w:bCs/>
                <w:color w:val="FFFFFF"/>
                <w:sz w:val="19"/>
                <w:szCs w:val="19"/>
              </w:rPr>
              <w:t xml:space="preserve">Capability area</w:t>
            </w:r>
          </w:p>
        </w:tc>
        <w:tc>
          <w:tcPr>
            <w:tcW w:type="dxa" w:w="4750"/>
            <w:shd w:fill="1F3B57" w:val="clear"/>
            <w:tcMar>
              <w:top w:type="dxa" w:w="80"/>
              <w:left w:type="dxa" w:w="100"/>
              <w:bottom w:type="dxa" w:w="80"/>
              <w:right w:type="dxa" w:w="100"/>
            </w:tcMar>
            <w:vAlign w:val="center"/>
          </w:tcPr>
          <w:p>
            <w:r>
              <w:rPr>
                <w:b/>
                <w:bCs/>
                <w:color w:val="FFFFFF"/>
                <w:sz w:val="19"/>
                <w:szCs w:val="19"/>
              </w:rPr>
              <w:t xml:space="preserve">Evidence of partial state</w:t>
            </w:r>
          </w:p>
        </w:tc>
      </w:tr>
      <w:tr>
        <w:tc>
          <w:tcPr>
            <w:tcW w:type="dxa" w:w="4600"/>
            <w:tcMar>
              <w:top w:type="dxa" w:w="80"/>
              <w:left w:type="dxa" w:w="100"/>
              <w:bottom w:type="dxa" w:w="80"/>
              <w:right w:type="dxa" w:w="100"/>
            </w:tcMar>
            <w:vAlign w:val="center"/>
          </w:tcPr>
          <w:p>
            <w:r>
              <w:rPr>
                <w:b w:val="false"/>
                <w:bCs w:val="false"/>
                <w:sz w:val="19"/>
                <w:szCs w:val="19"/>
              </w:rPr>
              <w:t xml:space="preserve">Career Health Index v2 (chiV2)</w:t>
            </w:r>
          </w:p>
        </w:tc>
        <w:tc>
          <w:tcPr>
            <w:tcW w:type="dxa" w:w="4750"/>
            <w:tcMar>
              <w:top w:type="dxa" w:w="80"/>
              <w:left w:type="dxa" w:w="100"/>
              <w:bottom w:type="dxa" w:w="80"/>
              <w:right w:type="dxa" w:w="100"/>
            </w:tcMar>
            <w:vAlign w:val="center"/>
          </w:tcPr>
          <w:p>
            <w:r>
              <w:rPr>
                <w:b w:val="false"/>
                <w:bCs w:val="false"/>
                <w:sz w:val="19"/>
                <w:szCs w:val="19"/>
              </w:rPr>
              <w:t xml:space="preserve">A second, parallel chiV2 module exists alongside careerHealthIndex, indicating an in-flight migration rather than a completed replacement.</w:t>
            </w:r>
          </w:p>
        </w:tc>
      </w:tr>
      <w:tr>
        <w:tc>
          <w:tcPr>
            <w:tcW w:type="dxa" w:w="4600"/>
            <w:shd w:fill="EDF2F4" w:val="clear"/>
            <w:tcMar>
              <w:top w:type="dxa" w:w="80"/>
              <w:left w:type="dxa" w:w="100"/>
              <w:bottom w:type="dxa" w:w="80"/>
              <w:right w:type="dxa" w:w="100"/>
            </w:tcMar>
            <w:vAlign w:val="center"/>
          </w:tcPr>
          <w:p>
            <w:r>
              <w:rPr>
                <w:b w:val="false"/>
                <w:bCs w:val="false"/>
                <w:sz w:val="19"/>
                <w:szCs w:val="19"/>
              </w:rPr>
              <w:t xml:space="preserve">Career Digital Twin</w:t>
            </w:r>
          </w:p>
        </w:tc>
        <w:tc>
          <w:tcPr>
            <w:tcW w:type="dxa" w:w="4750"/>
            <w:shd w:fill="EDF2F4" w:val="clear"/>
            <w:tcMar>
              <w:top w:type="dxa" w:w="80"/>
              <w:left w:type="dxa" w:w="100"/>
              <w:bottom w:type="dxa" w:w="80"/>
              <w:right w:type="dxa" w:w="100"/>
            </w:tcMar>
            <w:vAlign w:val="center"/>
          </w:tcPr>
          <w:p>
            <w:r>
              <w:rPr>
                <w:b w:val="false"/>
                <w:bCs w:val="false"/>
                <w:sz w:val="19"/>
                <w:szCs w:val="19"/>
              </w:rPr>
              <w:t xml:space="preserve">core/src/modules/career-digital-twin is described in its own code as a "public module barrel" — an interface/export shell — a structural, not yet fully-populated, capability boundary.</w:t>
            </w:r>
          </w:p>
        </w:tc>
      </w:tr>
      <w:tr>
        <w:tc>
          <w:tcPr>
            <w:tcW w:type="dxa" w:w="4600"/>
            <w:tcMar>
              <w:top w:type="dxa" w:w="80"/>
              <w:left w:type="dxa" w:w="100"/>
              <w:bottom w:type="dxa" w:w="80"/>
              <w:right w:type="dxa" w:w="100"/>
            </w:tcMar>
            <w:vAlign w:val="center"/>
          </w:tcPr>
          <w:p>
            <w:r>
              <w:rPr>
                <w:b w:val="false"/>
                <w:bCs w:val="false"/>
                <w:sz w:val="19"/>
                <w:szCs w:val="19"/>
              </w:rPr>
              <w:t xml:space="preserve">Agentic AI orchestration</w:t>
            </w:r>
          </w:p>
        </w:tc>
        <w:tc>
          <w:tcPr>
            <w:tcW w:type="dxa" w:w="4750"/>
            <w:tcMar>
              <w:top w:type="dxa" w:w="80"/>
              <w:left w:type="dxa" w:w="100"/>
              <w:bottom w:type="dxa" w:w="80"/>
              <w:right w:type="dxa" w:w="100"/>
            </w:tcMar>
            <w:vAlign w:val="center"/>
          </w:tcPr>
          <w:p>
            <w:r>
              <w:rPr>
                <w:b w:val="false"/>
                <w:bCs w:val="false"/>
                <w:sz w:val="19"/>
                <w:szCs w:val="19"/>
              </w:rPr>
              <w:t xml:space="preserve">EEP-01 Phase F Part 0 records this directly: career-copilot has six real agent classes with a coordinator, and careerAgentCoordinator.js already runs two agents in parallel — but full autonomous multi-step planning (agents choosing their own tool sequence) has not been crossed.</w:t>
            </w:r>
          </w:p>
        </w:tc>
      </w:tr>
      <w:tr>
        <w:tc>
          <w:tcPr>
            <w:tcW w:type="dxa" w:w="4600"/>
            <w:shd w:fill="EDF2F4" w:val="clear"/>
            <w:tcMar>
              <w:top w:type="dxa" w:w="80"/>
              <w:left w:type="dxa" w:w="100"/>
              <w:bottom w:type="dxa" w:w="80"/>
              <w:right w:type="dxa" w:w="100"/>
            </w:tcMar>
            <w:vAlign w:val="center"/>
          </w:tcPr>
          <w:p>
            <w:r>
              <w:rPr>
                <w:b w:val="false"/>
                <w:bCs w:val="false"/>
                <w:sz w:val="19"/>
                <w:szCs w:val="19"/>
              </w:rPr>
              <w:t xml:space="preserve">Opportunity Radar</w:t>
            </w:r>
          </w:p>
        </w:tc>
        <w:tc>
          <w:tcPr>
            <w:tcW w:type="dxa" w:w="4750"/>
            <w:shd w:fill="EDF2F4" w:val="clear"/>
            <w:tcMar>
              <w:top w:type="dxa" w:w="80"/>
              <w:left w:type="dxa" w:w="100"/>
              <w:bottom w:type="dxa" w:w="80"/>
              <w:right w:type="dxa" w:w="100"/>
            </w:tcMar>
            <w:vAlign w:val="center"/>
          </w:tcPr>
          <w:p>
            <w:r>
              <w:rPr>
                <w:b w:val="false"/>
                <w:bCs w:val="false"/>
                <w:sz w:val="19"/>
                <w:szCs w:val="19"/>
              </w:rPr>
              <w:t xml:space="preserve">core/src/modules/opportunityRadar is routed and named as an "AI Career Opportunity Radar," but its labor-market input (below) is not yet a live feed.</w:t>
            </w:r>
          </w:p>
        </w:tc>
      </w:tr>
    </w:tbl>
    <w:p>
      <w:pPr>
        <w:pStyle w:val="Heading2"/>
        <w:spacing w:after="140" w:before="280"/>
      </w:pPr>
      <w:r>
        <w:t xml:space="preserve">2.3 Planned / Target State Only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00"/>
        <w:gridCol w:w="4750"/>
      </w:tblGrid>
      <w:tr>
        <w:trPr>
          <w:tblHeader/>
        </w:trPr>
        <w:tc>
          <w:tcPr>
            <w:tcW w:type="dxa" w:w="4600"/>
            <w:shd w:fill="1F3B57" w:val="clear"/>
            <w:tcMar>
              <w:top w:type="dxa" w:w="80"/>
              <w:left w:type="dxa" w:w="100"/>
              <w:bottom w:type="dxa" w:w="80"/>
              <w:right w:type="dxa" w:w="100"/>
            </w:tcMar>
            <w:vAlign w:val="center"/>
          </w:tcPr>
          <w:p>
            <w:r>
              <w:rPr>
                <w:b/>
                <w:bCs/>
                <w:color w:val="FFFFFF"/>
                <w:sz w:val="19"/>
                <w:szCs w:val="19"/>
              </w:rPr>
              <w:t xml:space="preserve">Capability area</w:t>
            </w:r>
          </w:p>
        </w:tc>
        <w:tc>
          <w:tcPr>
            <w:tcW w:type="dxa" w:w="4750"/>
            <w:shd w:fill="1F3B57" w:val="clear"/>
            <w:tcMar>
              <w:top w:type="dxa" w:w="80"/>
              <w:left w:type="dxa" w:w="100"/>
              <w:bottom w:type="dxa" w:w="80"/>
              <w:right w:type="dxa" w:w="100"/>
            </w:tcMar>
            <w:vAlign w:val="center"/>
          </w:tcPr>
          <w:p>
            <w:r>
              <w:rPr>
                <w:b/>
                <w:bCs/>
                <w:color w:val="FFFFFF"/>
                <w:sz w:val="19"/>
                <w:szCs w:val="19"/>
              </w:rPr>
              <w:t xml:space="preserve">Evidence it is target-state, not current</w:t>
            </w:r>
          </w:p>
        </w:tc>
      </w:tr>
      <w:tr>
        <w:tc>
          <w:tcPr>
            <w:tcW w:type="dxa" w:w="4600"/>
            <w:tcMar>
              <w:top w:type="dxa" w:w="80"/>
              <w:left w:type="dxa" w:w="100"/>
              <w:bottom w:type="dxa" w:w="80"/>
              <w:right w:type="dxa" w:w="100"/>
            </w:tcMar>
            <w:vAlign w:val="center"/>
          </w:tcPr>
          <w:p>
            <w:r>
              <w:rPr>
                <w:b w:val="false"/>
                <w:bCs w:val="false"/>
                <w:sz w:val="19"/>
                <w:szCs w:val="19"/>
              </w:rPr>
              <w:t xml:space="preserve">External partner data platform (universities, employers, job boards)</w:t>
            </w:r>
          </w:p>
        </w:tc>
        <w:tc>
          <w:tcPr>
            <w:tcW w:type="dxa" w:w="4750"/>
            <w:tcMar>
              <w:top w:type="dxa" w:w="80"/>
              <w:left w:type="dxa" w:w="100"/>
              <w:bottom w:type="dxa" w:w="80"/>
              <w:right w:type="dxa" w:w="100"/>
            </w:tcMar>
            <w:vAlign w:val="center"/>
          </w:tcPr>
          <w:p>
            <w:r>
              <w:rPr>
                <w:b w:val="false"/>
                <w:bCs w:val="false"/>
                <w:sz w:val="19"/>
                <w:szCs w:val="19"/>
              </w:rPr>
              <w:t xml:space="preserve">EEP-01 Phase E Part 0 states plainly: no external partner platform exists yet; labor-market data collection is currently mock (jobCollector.service.js), not a live feed.</w:t>
            </w:r>
          </w:p>
        </w:tc>
      </w:tr>
      <w:tr>
        <w:tc>
          <w:tcPr>
            <w:tcW w:type="dxa" w:w="4600"/>
            <w:shd w:fill="EDF2F4" w:val="clear"/>
            <w:tcMar>
              <w:top w:type="dxa" w:w="80"/>
              <w:left w:type="dxa" w:w="100"/>
              <w:bottom w:type="dxa" w:w="80"/>
              <w:right w:type="dxa" w:w="100"/>
            </w:tcMar>
            <w:vAlign w:val="center"/>
          </w:tcPr>
          <w:p>
            <w:r>
              <w:rPr>
                <w:b w:val="false"/>
                <w:bCs w:val="false"/>
                <w:sz w:val="19"/>
                <w:szCs w:val="19"/>
              </w:rPr>
              <w:t xml:space="preserve">Kubernetes-based platform scaling</w:t>
            </w:r>
          </w:p>
        </w:tc>
        <w:tc>
          <w:tcPr>
            <w:tcW w:type="dxa" w:w="4750"/>
            <w:shd w:fill="EDF2F4" w:val="clear"/>
            <w:tcMar>
              <w:top w:type="dxa" w:w="80"/>
              <w:left w:type="dxa" w:w="100"/>
              <w:bottom w:type="dxa" w:w="80"/>
              <w:right w:type="dxa" w:w="100"/>
            </w:tcMar>
            <w:vAlign w:val="center"/>
          </w:tcPr>
          <w:p>
            <w:r>
              <w:rPr>
                <w:b w:val="false"/>
                <w:bCs w:val="false"/>
                <w:sz w:val="19"/>
                <w:szCs w:val="19"/>
              </w:rPr>
              <w:t xml:space="preserve">EEP-01 Phase G Part 0: container orchestration is "not adopted — single-host Docker Compose," with an explicit trigger (≈8–10 containers needing independent scaling) before it is warranted.</w:t>
            </w:r>
          </w:p>
        </w:tc>
      </w:tr>
      <w:tr>
        <w:tc>
          <w:tcPr>
            <w:tcW w:type="dxa" w:w="4600"/>
            <w:tcMar>
              <w:top w:type="dxa" w:w="80"/>
              <w:left w:type="dxa" w:w="100"/>
              <w:bottom w:type="dxa" w:w="80"/>
              <w:right w:type="dxa" w:w="100"/>
            </w:tcMar>
            <w:vAlign w:val="center"/>
          </w:tcPr>
          <w:p>
            <w:r>
              <w:rPr>
                <w:b w:val="false"/>
                <w:bCs w:val="false"/>
                <w:sz w:val="19"/>
                <w:szCs w:val="19"/>
              </w:rPr>
              <w:t xml:space="preserve">Dedicated Operations / Platform teams</w:t>
            </w:r>
          </w:p>
        </w:tc>
        <w:tc>
          <w:tcPr>
            <w:tcW w:type="dxa" w:w="4750"/>
            <w:tcMar>
              <w:top w:type="dxa" w:w="80"/>
              <w:left w:type="dxa" w:w="100"/>
              <w:bottom w:type="dxa" w:w="80"/>
              <w:right w:type="dxa" w:w="100"/>
            </w:tcMar>
            <w:vAlign w:val="center"/>
          </w:tcPr>
          <w:p>
            <w:r>
              <w:rPr>
                <w:b w:val="false"/>
                <w:bCs w:val="false"/>
                <w:sz w:val="19"/>
                <w:szCs w:val="19"/>
              </w:rPr>
              <w:t xml:space="preserve">EEP-01 Phase H Part 0 states operations and platform concerns are currently held by the same engineers who build the system, with headcount-based triggers before separation is warranted.</w:t>
            </w:r>
          </w:p>
        </w:tc>
      </w:tr>
      <w:tr>
        <w:tc>
          <w:tcPr>
            <w:tcW w:type="dxa" w:w="4600"/>
            <w:shd w:fill="EDF2F4" w:val="clear"/>
            <w:tcMar>
              <w:top w:type="dxa" w:w="80"/>
              <w:left w:type="dxa" w:w="100"/>
              <w:bottom w:type="dxa" w:w="80"/>
              <w:right w:type="dxa" w:w="100"/>
            </w:tcMar>
            <w:vAlign w:val="center"/>
          </w:tcPr>
          <w:p>
            <w:r>
              <w:rPr>
                <w:b w:val="false"/>
                <w:bCs w:val="false"/>
                <w:sz w:val="19"/>
                <w:szCs w:val="19"/>
              </w:rPr>
              <w:t xml:space="preserve">Formal multi-agent supervision (shared memory, agent-to-agent handoff)</w:t>
            </w:r>
          </w:p>
        </w:tc>
        <w:tc>
          <w:tcPr>
            <w:tcW w:type="dxa" w:w="4750"/>
            <w:shd w:fill="EDF2F4" w:val="clear"/>
            <w:tcMar>
              <w:top w:type="dxa" w:w="80"/>
              <w:left w:type="dxa" w:w="100"/>
              <w:bottom w:type="dxa" w:w="80"/>
              <w:right w:type="dxa" w:w="100"/>
            </w:tcMar>
            <w:vAlign w:val="center"/>
          </w:tcPr>
          <w:p>
            <w:r>
              <w:rPr>
                <w:b w:val="false"/>
                <w:bCs w:val="false"/>
                <w:sz w:val="19"/>
                <w:szCs w:val="19"/>
              </w:rPr>
              <w:t xml:space="preserve">EEP-01 Phase F Part 8 names this as the trigger-gated target state beyond the current parallel-agent coordinator.</w:t>
            </w:r>
          </w:p>
        </w:tc>
      </w:tr>
    </w:tbl>
    <w:p>
      <w:pPr>
        <w:pStyle w:val="Heading2"/>
        <w:spacing w:after="140" w:before="280"/>
      </w:pPr>
      <w:r>
        <w:t xml:space="preserve">2.4 Capability Gaps</w:t>
      </w:r>
    </w:p>
    <w:p>
      <w:pPr>
        <w:pStyle w:val="ListParagraph"/>
        <w:numPr>
          <w:ilvl w:val="0"/>
          <w:numId w:val="1"/>
        </w:numPr>
        <w:spacing w:after="80" w:line="276"/>
      </w:pPr>
      <w:r>
        <w:t xml:space="preserve">Labor Market Intelligence is architecturally present (labor-market-intelligence, marketIntelligence modules) but its primary external input is a mock collector, not a live feed — this is the single gap with the widest downstream blast radius, since Career Path Intelligence, Salary Intelligence, and Opportunity Radar all consume it.</w:t>
      </w:r>
    </w:p>
    <w:p>
      <w:pPr>
        <w:pStyle w:val="ListParagraph"/>
        <w:numPr>
          <w:ilvl w:val="0"/>
          <w:numId w:val="1"/>
        </w:numPr>
        <w:spacing w:after="80" w:line="276"/>
      </w:pPr>
      <w:r>
        <w:t xml:space="preserve">Employer Intelligence has a routed module (employer) and an opportunities module, but no signed external partner integration exists yet (Phase E), so the employer side of the business model is structurally scaffolded but not yet activated.</w:t>
      </w:r>
    </w:p>
    <w:p>
      <w:pPr>
        <w:pStyle w:val="ListParagraph"/>
        <w:numPr>
          <w:ilvl w:val="0"/>
          <w:numId w:val="1"/>
        </w:numPr>
        <w:spacing w:after="80" w:line="276"/>
      </w:pPr>
      <w:r>
        <w:t xml:space="preserve">Quality/governance tooling exists but has partially drifted from what it claims to enforce — EEP-01 Phase J documents four concrete, file-level instances (a misnamed working directory in CI, a missing dependency-cruiser config, a missing type-check script, a phantom drift-check script) — a capability-adjacent risk carried into Section 16.</w:t>
      </w:r>
    </w:p>
    <w:p>
      <w:r>
        <w:br w:type="page"/>
      </w:r>
    </w:p>
    <w:p>
      <w:pPr>
        <w:pStyle w:val="Heading1"/>
        <w:spacing w:after="200" w:before="400"/>
      </w:pPr>
      <w:r>
        <w:t xml:space="preserve">3. Business Strategy Alignment</w:t>
      </w:r>
    </w:p>
    <w:p>
      <w:pPr>
        <w:spacing w:after="160" w:line="276"/>
      </w:pPr>
      <w:r>
        <w:t xml:space="preserve">Each strategic theme below is stated in HireRise's own language (as used across the repository and EEP-01 documents) and mapped to the business capabilities that carry it. Full capability definitions are in Section 7; this table is the strategy-to-capability bridge.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B57" w:val="clear"/>
            <w:tcMar>
              <w:top w:type="dxa" w:w="80"/>
              <w:left w:type="dxa" w:w="100"/>
              <w:bottom w:type="dxa" w:w="80"/>
              <w:right w:type="dxa" w:w="100"/>
            </w:tcMar>
            <w:vAlign w:val="center"/>
          </w:tcPr>
          <w:p>
            <w:r>
              <w:rPr>
                <w:b/>
                <w:bCs/>
                <w:color w:val="FFFFFF"/>
                <w:sz w:val="19"/>
                <w:szCs w:val="19"/>
              </w:rPr>
              <w:t xml:space="preserve">Strategic theme</w:t>
            </w:r>
          </w:p>
        </w:tc>
        <w:tc>
          <w:tcPr>
            <w:tcW w:type="dxa" w:w="6150"/>
            <w:shd w:fill="1F3B57" w:val="clear"/>
            <w:tcMar>
              <w:top w:type="dxa" w:w="80"/>
              <w:left w:type="dxa" w:w="100"/>
              <w:bottom w:type="dxa" w:w="80"/>
              <w:right w:type="dxa" w:w="100"/>
            </w:tcMar>
            <w:vAlign w:val="center"/>
          </w:tcPr>
          <w:p>
            <w:r>
              <w:rPr>
                <w:b/>
                <w:bCs/>
                <w:color w:val="FFFFFF"/>
                <w:sz w:val="19"/>
                <w:szCs w:val="19"/>
              </w:rPr>
              <w:t xml:space="preserve">Primary business capabilities</w:t>
            </w:r>
          </w:p>
        </w:tc>
      </w:tr>
      <w:tr>
        <w:tc>
          <w:tcPr>
            <w:tcW w:type="dxa" w:w="3200"/>
            <w:tcMar>
              <w:top w:type="dxa" w:w="80"/>
              <w:left w:type="dxa" w:w="100"/>
              <w:bottom w:type="dxa" w:w="80"/>
              <w:right w:type="dxa" w:w="100"/>
            </w:tcMar>
            <w:vAlign w:val="center"/>
          </w:tcPr>
          <w:p>
            <w:r>
              <w:rPr>
                <w:b w:val="false"/>
                <w:bCs w:val="false"/>
                <w:sz w:val="19"/>
                <w:szCs w:val="19"/>
              </w:rPr>
              <w:t xml:space="preserve">Career Intelligence</w:t>
            </w:r>
          </w:p>
        </w:tc>
        <w:tc>
          <w:tcPr>
            <w:tcW w:type="dxa" w:w="6150"/>
            <w:tcMar>
              <w:top w:type="dxa" w:w="80"/>
              <w:left w:type="dxa" w:w="100"/>
              <w:bottom w:type="dxa" w:w="80"/>
              <w:right w:type="dxa" w:w="100"/>
            </w:tcMar>
            <w:vAlign w:val="center"/>
          </w:tcPr>
          <w:p>
            <w:r>
              <w:rPr>
                <w:b w:val="false"/>
                <w:bCs w:val="false"/>
                <w:sz w:val="19"/>
                <w:szCs w:val="19"/>
              </w:rPr>
              <w:t xml:space="preserve">Career Path Intelligence &amp; Recommendation; Career Digital Twin &amp; Simulation; Career Health Assessment; Career Opportunity Radar</w:t>
            </w:r>
          </w:p>
        </w:tc>
      </w:tr>
      <w:tr>
        <w:tc>
          <w:tcPr>
            <w:tcW w:type="dxa" w:w="3200"/>
            <w:shd w:fill="EDF2F4" w:val="clear"/>
            <w:tcMar>
              <w:top w:type="dxa" w:w="80"/>
              <w:left w:type="dxa" w:w="100"/>
              <w:bottom w:type="dxa" w:w="80"/>
              <w:right w:type="dxa" w:w="100"/>
            </w:tcMar>
            <w:vAlign w:val="center"/>
          </w:tcPr>
          <w:p>
            <w:r>
              <w:rPr>
                <w:b w:val="false"/>
                <w:bCs w:val="false"/>
                <w:sz w:val="19"/>
                <w:szCs w:val="19"/>
              </w:rPr>
              <w:t xml:space="preserve">Academic Intelligence</w:t>
            </w:r>
          </w:p>
        </w:tc>
        <w:tc>
          <w:tcPr>
            <w:tcW w:type="dxa" w:w="6150"/>
            <w:shd w:fill="EDF2F4" w:val="clear"/>
            <w:tcMar>
              <w:top w:type="dxa" w:w="80"/>
              <w:left w:type="dxa" w:w="100"/>
              <w:bottom w:type="dxa" w:w="80"/>
              <w:right w:type="dxa" w:w="100"/>
            </w:tcMar>
            <w:vAlign w:val="center"/>
          </w:tcPr>
          <w:p>
            <w:r>
              <w:rPr>
                <w:b w:val="false"/>
                <w:bCs w:val="false"/>
                <w:sz w:val="19"/>
                <w:szCs w:val="19"/>
              </w:rPr>
              <w:t xml:space="preserve">Academic Profile &amp; Context Intelligence; Student Onboarding &amp; Qualification Capture</w:t>
            </w:r>
          </w:p>
        </w:tc>
      </w:tr>
      <w:tr>
        <w:tc>
          <w:tcPr>
            <w:tcW w:type="dxa" w:w="3200"/>
            <w:tcMar>
              <w:top w:type="dxa" w:w="80"/>
              <w:left w:type="dxa" w:w="100"/>
              <w:bottom w:type="dxa" w:w="80"/>
              <w:right w:type="dxa" w:w="100"/>
            </w:tcMar>
            <w:vAlign w:val="center"/>
          </w:tcPr>
          <w:p>
            <w:r>
              <w:rPr>
                <w:b w:val="false"/>
                <w:bCs w:val="false"/>
                <w:sz w:val="19"/>
                <w:szCs w:val="19"/>
              </w:rPr>
              <w:t xml:space="preserve">Knowledge Intelligence</w:t>
            </w:r>
          </w:p>
        </w:tc>
        <w:tc>
          <w:tcPr>
            <w:tcW w:type="dxa" w:w="6150"/>
            <w:tcMar>
              <w:top w:type="dxa" w:w="80"/>
              <w:left w:type="dxa" w:w="100"/>
              <w:bottom w:type="dxa" w:w="80"/>
              <w:right w:type="dxa" w:w="100"/>
            </w:tcMar>
            <w:vAlign w:val="center"/>
          </w:tcPr>
          <w:p>
            <w:r>
              <w:rPr>
                <w:b w:val="false"/>
                <w:bCs w:val="false"/>
                <w:sz w:val="19"/>
                <w:szCs w:val="19"/>
              </w:rPr>
              <w:t xml:space="preserve">Skill &amp; Knowledge Graph Management; Knowledge Runtime &amp; Context Assembly</w:t>
            </w:r>
          </w:p>
        </w:tc>
      </w:tr>
      <w:tr>
        <w:tc>
          <w:tcPr>
            <w:tcW w:type="dxa" w:w="3200"/>
            <w:shd w:fill="EDF2F4" w:val="clear"/>
            <w:tcMar>
              <w:top w:type="dxa" w:w="80"/>
              <w:left w:type="dxa" w:w="100"/>
              <w:bottom w:type="dxa" w:w="80"/>
              <w:right w:type="dxa" w:w="100"/>
            </w:tcMar>
            <w:vAlign w:val="center"/>
          </w:tcPr>
          <w:p>
            <w:r>
              <w:rPr>
                <w:b w:val="false"/>
                <w:bCs w:val="false"/>
                <w:sz w:val="19"/>
                <w:szCs w:val="19"/>
              </w:rPr>
              <w:t xml:space="preserve">Career Outcome Intelligence</w:t>
            </w:r>
          </w:p>
        </w:tc>
        <w:tc>
          <w:tcPr>
            <w:tcW w:type="dxa" w:w="6150"/>
            <w:shd w:fill="EDF2F4" w:val="clear"/>
            <w:tcMar>
              <w:top w:type="dxa" w:w="80"/>
              <w:left w:type="dxa" w:w="100"/>
              <w:bottom w:type="dxa" w:w="80"/>
              <w:right w:type="dxa" w:w="100"/>
            </w:tcMar>
            <w:vAlign w:val="center"/>
          </w:tcPr>
          <w:p>
            <w:r>
              <w:rPr>
                <w:b w:val="false"/>
                <w:bCs w:val="false"/>
                <w:sz w:val="19"/>
                <w:szCs w:val="19"/>
              </w:rPr>
              <w:t xml:space="preserve">Career Health Assessment; Growth &amp; Progress Tracking; Candidate Document Generation</w:t>
            </w:r>
          </w:p>
        </w:tc>
      </w:tr>
      <w:tr>
        <w:tc>
          <w:tcPr>
            <w:tcW w:type="dxa" w:w="3200"/>
            <w:tcMar>
              <w:top w:type="dxa" w:w="80"/>
              <w:left w:type="dxa" w:w="100"/>
              <w:bottom w:type="dxa" w:w="80"/>
              <w:right w:type="dxa" w:w="100"/>
            </w:tcMar>
            <w:vAlign w:val="center"/>
          </w:tcPr>
          <w:p>
            <w:r>
              <w:rPr>
                <w:b w:val="false"/>
                <w:bCs w:val="false"/>
                <w:sz w:val="19"/>
                <w:szCs w:val="19"/>
              </w:rPr>
              <w:t xml:space="preserve">AI-assisted career development</w:t>
            </w:r>
          </w:p>
        </w:tc>
        <w:tc>
          <w:tcPr>
            <w:tcW w:type="dxa" w:w="6150"/>
            <w:tcMar>
              <w:top w:type="dxa" w:w="80"/>
              <w:left w:type="dxa" w:w="100"/>
              <w:bottom w:type="dxa" w:w="80"/>
              <w:right w:type="dxa" w:w="100"/>
            </w:tcMar>
            <w:vAlign w:val="center"/>
          </w:tcPr>
          <w:p>
            <w:r>
              <w:rPr>
                <w:b w:val="false"/>
                <w:bCs w:val="false"/>
                <w:sz w:val="19"/>
                <w:szCs w:val="19"/>
              </w:rPr>
              <w:t xml:space="preserve">AI Career Advisory &amp; Agentic Orchestration; AI Personalization &amp; Adaptive Weighting; AI Quality &amp; Confidence Governance</w:t>
            </w:r>
          </w:p>
        </w:tc>
      </w:tr>
      <w:tr>
        <w:tc>
          <w:tcPr>
            <w:tcW w:type="dxa" w:w="3200"/>
            <w:shd w:fill="EDF2F4" w:val="clear"/>
            <w:tcMar>
              <w:top w:type="dxa" w:w="80"/>
              <w:left w:type="dxa" w:w="100"/>
              <w:bottom w:type="dxa" w:w="80"/>
              <w:right w:type="dxa" w:w="100"/>
            </w:tcMar>
            <w:vAlign w:val="center"/>
          </w:tcPr>
          <w:p>
            <w:r>
              <w:rPr>
                <w:b w:val="false"/>
                <w:bCs w:val="false"/>
                <w:sz w:val="19"/>
                <w:szCs w:val="19"/>
              </w:rPr>
              <w:t xml:space="preserve">Student success / employability improvement</w:t>
            </w:r>
          </w:p>
        </w:tc>
        <w:tc>
          <w:tcPr>
            <w:tcW w:type="dxa" w:w="6150"/>
            <w:shd w:fill="EDF2F4" w:val="clear"/>
            <w:tcMar>
              <w:top w:type="dxa" w:w="80"/>
              <w:left w:type="dxa" w:w="100"/>
              <w:bottom w:type="dxa" w:w="80"/>
              <w:right w:type="dxa" w:w="100"/>
            </w:tcMar>
            <w:vAlign w:val="center"/>
          </w:tcPr>
          <w:p>
            <w:r>
              <w:rPr>
                <w:b w:val="false"/>
                <w:bCs w:val="false"/>
                <w:sz w:val="19"/>
                <w:szCs w:val="19"/>
              </w:rPr>
              <w:t xml:space="preserve">Candidate Document Generation; Qualification &amp; Role Matching; Daily Engagement &amp; Conversion</w:t>
            </w:r>
          </w:p>
        </w:tc>
      </w:tr>
      <w:tr>
        <w:tc>
          <w:tcPr>
            <w:tcW w:type="dxa" w:w="3200"/>
            <w:tcMar>
              <w:top w:type="dxa" w:w="80"/>
              <w:left w:type="dxa" w:w="100"/>
              <w:bottom w:type="dxa" w:w="80"/>
              <w:right w:type="dxa" w:w="100"/>
            </w:tcMar>
            <w:vAlign w:val="center"/>
          </w:tcPr>
          <w:p>
            <w:r>
              <w:rPr>
                <w:b w:val="false"/>
                <w:bCs w:val="false"/>
                <w:sz w:val="19"/>
                <w:szCs w:val="19"/>
              </w:rPr>
              <w:t xml:space="preserve">Enterprise knowledge platform</w:t>
            </w:r>
          </w:p>
        </w:tc>
        <w:tc>
          <w:tcPr>
            <w:tcW w:type="dxa" w:w="6150"/>
            <w:tcMar>
              <w:top w:type="dxa" w:w="80"/>
              <w:left w:type="dxa" w:w="100"/>
              <w:bottom w:type="dxa" w:w="80"/>
              <w:right w:type="dxa" w:w="100"/>
            </w:tcMar>
            <w:vAlign w:val="center"/>
          </w:tcPr>
          <w:p>
            <w:r>
              <w:rPr>
                <w:b w:val="false"/>
                <w:bCs w:val="false"/>
                <w:sz w:val="19"/>
                <w:szCs w:val="19"/>
              </w:rPr>
              <w:t xml:space="preserve">Labor Market &amp; Salary Intelligence; Source &amp; Market Intelligence; Canonical Taxonomy Stewardship</w:t>
            </w:r>
          </w:p>
        </w:tc>
      </w:tr>
    </w:tbl>
    <w:p>
      <w:pPr>
        <w:spacing w:after="160" w:line="276"/>
      </w:pPr>
      <w:r>
        <w:t xml:space="preserve">Observation: five of seven strategic themes are already backed by at least one capability with Level 3+ evidence (Section 9). "Enterprise knowledge platform" is the theme most dependent on capabilities still carrying mock or partial data (Section 2.3–2.4), and is therefore the theme most sensitive to the roadmap in Section 13.</w:t>
      </w:r>
    </w:p>
    <w:p>
      <w:r>
        <w:br w:type="page"/>
      </w:r>
    </w:p>
    <w:p>
      <w:pPr>
        <w:pStyle w:val="Heading1"/>
        <w:spacing w:after="200" w:before="400"/>
      </w:pPr>
      <w:r>
        <w:t xml:space="preserve">4. Capability Modeling Principles</w:t>
      </w:r>
    </w:p>
    <w:p>
      <w:pPr>
        <w:pStyle w:val="Heading2"/>
        <w:spacing w:after="140" w:before="280"/>
      </w:pPr>
      <w:r>
        <w:t xml:space="preserve">4.1 Modeling Rules</w:t>
      </w:r>
    </w:p>
    <w:p>
      <w:pPr>
        <w:pStyle w:val="ListParagraph"/>
        <w:numPr>
          <w:ilvl w:val="0"/>
          <w:numId w:val="1"/>
        </w:numPr>
        <w:spacing w:after="80" w:line="276"/>
      </w:pPr>
      <w:r>
        <w:t xml:space="preserve">A capability describes a stable business outcome HireRise delivers ("what"), never a technology, framework, service name, or code module ("how"). Where a capability name and a module name coincide in this document, it is because the module was already named after the business outcome it delivers — not because the module name was adopted uncritically.</w:t>
      </w:r>
    </w:p>
    <w:p>
      <w:pPr>
        <w:pStyle w:val="ListParagraph"/>
        <w:numPr>
          <w:ilvl w:val="0"/>
          <w:numId w:val="1"/>
        </w:numPr>
        <w:spacing w:after="80" w:line="276"/>
      </w:pPr>
      <w:r>
        <w:t xml:space="preserve">A capability must have an identifiable consumer (a student, an employer, an internal team, or another capability) and a measurable value it delivers to that consumer.</w:t>
      </w:r>
    </w:p>
    <w:p>
      <w:pPr>
        <w:pStyle w:val="ListParagraph"/>
        <w:numPr>
          <w:ilvl w:val="0"/>
          <w:numId w:val="1"/>
        </w:numPr>
        <w:spacing w:after="80" w:line="276"/>
      </w:pPr>
      <w:r>
        <w:t xml:space="preserve">A capability is stated so that it would survive a full re-platforming of HireRise's technology stack unchanged.</w:t>
      </w:r>
    </w:p>
    <w:p>
      <w:pPr>
        <w:pStyle w:val="Heading2"/>
        <w:spacing w:after="140" w:before="280"/>
      </w:pPr>
      <w:r>
        <w:t xml:space="preserve">4.2 Naming Conventions</w:t>
      </w:r>
    </w:p>
    <w:p>
      <w:pPr>
        <w:pStyle w:val="ListParagraph"/>
        <w:numPr>
          <w:ilvl w:val="0"/>
          <w:numId w:val="1"/>
        </w:numPr>
        <w:spacing w:after="80" w:line="276"/>
      </w:pPr>
      <w:r>
        <w:t xml:space="preserve">Pattern: &lt;Business Noun Phrase&gt; — e.g. "Career Path Intelligence &amp; Recommendation," not "Recommendation Engine" or "careerGraph."</w:t>
      </w:r>
    </w:p>
    <w:p>
      <w:pPr>
        <w:pStyle w:val="ListParagraph"/>
        <w:numPr>
          <w:ilvl w:val="0"/>
          <w:numId w:val="1"/>
        </w:numPr>
        <w:spacing w:after="80" w:line="276"/>
      </w:pPr>
      <w:r>
        <w:t xml:space="preserve">No technology nouns in capability names ("Engine," "Service," "API," "Module," a provider name) — those belong to EEP-01's technical architecture and are referenced, not repeated, per Section 14.</w:t>
      </w:r>
    </w:p>
    <w:p>
      <w:pPr>
        <w:pStyle w:val="ListParagraph"/>
        <w:numPr>
          <w:ilvl w:val="0"/>
          <w:numId w:val="1"/>
        </w:numPr>
        <w:spacing w:after="80" w:line="276"/>
      </w:pPr>
      <w:r>
        <w:t xml:space="preserve">Capability names are singular business concepts even where multiple technical modules realize them (e.g. Career Health Assessment is realized by both careerHealthIndex and its in-flight successor chiV2 — one capability, two technical implementations, tracked in Section 2.2).</w:t>
      </w:r>
    </w:p>
    <w:p>
      <w:pPr>
        <w:pStyle w:val="Heading2"/>
        <w:spacing w:after="140" w:before="280"/>
      </w:pPr>
      <w:r>
        <w:t xml:space="preserve">4.3 Capability Hierarchy</w:t>
      </w:r>
    </w:p>
    <w:p>
      <w:pPr>
        <w:pStyle w:val="ListParagraph"/>
        <w:numPr>
          <w:ilvl w:val="0"/>
          <w:numId w:val="1"/>
        </w:numPr>
        <w:spacing w:after="80" w:line="276"/>
      </w:pPr>
      <w:r>
        <w:t xml:space="preserve">Level 0 — Domain: a top-level grouping of related business outcomes (e.g. Career Intelligence).</w:t>
      </w:r>
    </w:p>
    <w:p>
      <w:pPr>
        <w:pStyle w:val="ListParagraph"/>
        <w:numPr>
          <w:ilvl w:val="0"/>
          <w:numId w:val="1"/>
        </w:numPr>
        <w:spacing w:after="80" w:line="276"/>
      </w:pPr>
      <w:r>
        <w:t xml:space="preserve">Level 1 — Capability: a distinct, ownable business outcome within a domain (e.g. Career Path Intelligence &amp; Recommendation).</w:t>
      </w:r>
    </w:p>
    <w:p>
      <w:pPr>
        <w:pStyle w:val="ListParagraph"/>
        <w:numPr>
          <w:ilvl w:val="0"/>
          <w:numId w:val="1"/>
        </w:numPr>
        <w:spacing w:after="80" w:line="276"/>
      </w:pPr>
      <w:r>
        <w:t xml:space="preserve">Level 2 — Sub-capability: a decomposition of a Level 1 capability only where the sub-part has its own KPI and could plausibly be owned or resourced independently (used sparingly in this document — see 4.5).</w:t>
      </w:r>
    </w:p>
    <w:p>
      <w:pPr>
        <w:pStyle w:val="Heading2"/>
        <w:spacing w:after="140" w:before="280"/>
      </w:pPr>
      <w:r>
        <w:t xml:space="preserve">4.4 Capability Boundaries</w:t>
      </w:r>
    </w:p>
    <w:p>
      <w:pPr>
        <w:pStyle w:val="ListParagraph"/>
        <w:numPr>
          <w:ilvl w:val="0"/>
          <w:numId w:val="1"/>
        </w:numPr>
        <w:spacing w:after="80" w:line="276"/>
      </w:pPr>
      <w:r>
        <w:t xml:space="preserve">One capability = one primary business outcome. Where the repository's own engineering-standards architecture (EEP-01 Phase I) already enforces a no-service-importing-service, no-engine-importing-engine boundary via custom ESLint rules, this document treats that as corroborating evidence that the technical module boundaries largely already respect the business capability boundaries drawn here — not a coincidence, but a sign the codebase was designed capability-first.</w:t>
      </w:r>
    </w:p>
    <w:p>
      <w:pPr>
        <w:pStyle w:val="ListParagraph"/>
        <w:numPr>
          <w:ilvl w:val="0"/>
          <w:numId w:val="1"/>
        </w:numPr>
        <w:spacing w:after="80" w:line="276"/>
      </w:pPr>
      <w:r>
        <w:t xml:space="preserve">A technical module maps to at most one primary Level 1 capability; where a module clearly serves two (e.g. resumeGrowth touching both Candidate Document Generation and Growth &amp; Progress Tracking), it is assigned to its dominant outcome and noted as a dependency of the other.</w:t>
      </w:r>
    </w:p>
    <w:p>
      <w:pPr>
        <w:pStyle w:val="Heading2"/>
        <w:spacing w:after="140" w:before="280"/>
      </w:pPr>
      <w:r>
        <w:t xml:space="preserve">4.5 Ownership Principles</w:t>
      </w:r>
    </w:p>
    <w:p>
      <w:pPr>
        <w:pStyle w:val="ListParagraph"/>
        <w:numPr>
          <w:ilvl w:val="0"/>
          <w:numId w:val="1"/>
        </w:numPr>
        <w:spacing w:after="80" w:line="276"/>
      </w:pPr>
      <w:r>
        <w:t xml:space="preserve">Every capability has a named business owner and a named technical steward, even where — at HireRise's current, small-team scale (EEP-01 Phase H) — the same individual or small group holds both roles today. Section 12 states current vs. target ownership explicitly rather than inventing separated roles that do not yet exist.</w:t>
      </w:r>
    </w:p>
    <w:p>
      <w:pPr>
        <w:pStyle w:val="Heading2"/>
        <w:spacing w:after="140" w:before="280"/>
      </w:pPr>
      <w:r>
        <w:t xml:space="preserve">4.6 Decomposition Rules</w:t>
      </w:r>
    </w:p>
    <w:p>
      <w:pPr>
        <w:pStyle w:val="ListParagraph"/>
        <w:numPr>
          <w:ilvl w:val="0"/>
          <w:numId w:val="1"/>
        </w:numPr>
        <w:spacing w:after="80" w:line="276"/>
      </w:pPr>
      <w:r>
        <w:t xml:space="preserve">Decompose a Level 1 capability into Level 2 sub-capabilities only when: (a) the sub-part has evidence of independent implementation maturity, and (b) it has, or plausibly will have, its own KPI. This document applies Level 2 decomposition only to Career Intelligence and AI-Native Capabilities, where the evidence supports it (Section 5); other domains are catalogued at Level 1 to avoid manufacturing structure the evidence does not support.</w:t>
      </w:r>
    </w:p>
    <w:p>
      <w:r>
        <w:br w:type="page"/>
      </w:r>
    </w:p>
    <w:p>
      <w:pPr>
        <w:pStyle w:val="Heading1"/>
        <w:spacing w:after="200" w:before="400"/>
      </w:pPr>
      <w:r>
        <w:t xml:space="preserve">5. Enterprise Capability Map</w:t>
      </w:r>
    </w:p>
    <w:p>
      <w:pPr>
        <w:spacing w:after="160" w:line="276"/>
      </w:pPr>
      <w:r>
        <w:t xml:space="preserve">Eight Level-0 domains, drawn directly from the module inventory in core/src/modules and front/src, the canonical taxonomy, and EEP-01's own domain language. Domains are ordered by strategic weight, not alphabetically.</w:t>
      </w:r>
    </w:p>
    <w:p>
      <w:pPr>
        <w:pStyle w:val="Heading2"/>
        <w:spacing w:after="140" w:before="280"/>
      </w:pPr>
      <w:r>
        <w:t xml:space="preserve">1. Career Intelligence  —  Strategic / Core</w:t>
      </w:r>
    </w:p>
    <w:p>
      <w:pPr>
        <w:pStyle w:val="ListParagraph"/>
        <w:numPr>
          <w:ilvl w:val="0"/>
          <w:numId w:val="1"/>
        </w:numPr>
        <w:spacing w:after="80" w:line="276"/>
      </w:pPr>
      <w:r>
        <w:t xml:space="preserve">Career Path Intelligence &amp; Recommendation</w:t>
      </w:r>
    </w:p>
    <w:p>
      <w:pPr>
        <w:pStyle w:val="ListParagraph"/>
        <w:numPr>
          <w:ilvl w:val="0"/>
          <w:numId w:val="1"/>
        </w:numPr>
        <w:spacing w:after="80" w:line="276"/>
      </w:pPr>
      <w:r>
        <w:t xml:space="preserve">Career Digital Twin &amp; Simulation</w:t>
      </w:r>
    </w:p>
    <w:p>
      <w:pPr>
        <w:pStyle w:val="ListParagraph"/>
        <w:numPr>
          <w:ilvl w:val="0"/>
          <w:numId w:val="1"/>
        </w:numPr>
        <w:spacing w:after="80" w:line="276"/>
      </w:pPr>
      <w:r>
        <w:t xml:space="preserve">Career Health Assessment</w:t>
      </w:r>
    </w:p>
    <w:p>
      <w:pPr>
        <w:pStyle w:val="ListParagraph"/>
        <w:numPr>
          <w:ilvl w:val="0"/>
          <w:numId w:val="1"/>
        </w:numPr>
        <w:spacing w:after="80" w:line="276"/>
      </w:pPr>
      <w:r>
        <w:t xml:space="preserve">Career Opportunity Radar</w:t>
      </w:r>
    </w:p>
    <w:p>
      <w:pPr>
        <w:pStyle w:val="Heading2"/>
        <w:spacing w:after="140" w:before="280"/>
      </w:pPr>
      <w:r>
        <w:t xml:space="preserve">2. Academic Intelligence  —  Core</w:t>
      </w:r>
    </w:p>
    <w:p>
      <w:pPr>
        <w:pStyle w:val="ListParagraph"/>
        <w:numPr>
          <w:ilvl w:val="0"/>
          <w:numId w:val="1"/>
        </w:numPr>
        <w:spacing w:after="80" w:line="276"/>
      </w:pPr>
      <w:r>
        <w:t xml:space="preserve">Academic Profile &amp; Context Intelligence</w:t>
      </w:r>
    </w:p>
    <w:p>
      <w:pPr>
        <w:pStyle w:val="ListParagraph"/>
        <w:numPr>
          <w:ilvl w:val="0"/>
          <w:numId w:val="1"/>
        </w:numPr>
        <w:spacing w:after="80" w:line="276"/>
      </w:pPr>
      <w:r>
        <w:t xml:space="preserve">Student Onboarding &amp; Qualification Capture</w:t>
      </w:r>
    </w:p>
    <w:p>
      <w:pPr>
        <w:pStyle w:val="Heading2"/>
        <w:spacing w:after="140" w:before="280"/>
      </w:pPr>
      <w:r>
        <w:t xml:space="preserve">3. Knowledge &amp; Market Intelligence  —  AI-native / Shared</w:t>
      </w:r>
    </w:p>
    <w:p>
      <w:pPr>
        <w:pStyle w:val="ListParagraph"/>
        <w:numPr>
          <w:ilvl w:val="0"/>
          <w:numId w:val="1"/>
        </w:numPr>
        <w:spacing w:after="80" w:line="276"/>
      </w:pPr>
      <w:r>
        <w:t xml:space="preserve">Skill &amp; Knowledge Graph Management</w:t>
      </w:r>
    </w:p>
    <w:p>
      <w:pPr>
        <w:pStyle w:val="ListParagraph"/>
        <w:numPr>
          <w:ilvl w:val="0"/>
          <w:numId w:val="1"/>
        </w:numPr>
        <w:spacing w:after="80" w:line="276"/>
      </w:pPr>
      <w:r>
        <w:t xml:space="preserve">Knowledge Runtime &amp; Context Assembly</w:t>
      </w:r>
    </w:p>
    <w:p>
      <w:pPr>
        <w:pStyle w:val="ListParagraph"/>
        <w:numPr>
          <w:ilvl w:val="0"/>
          <w:numId w:val="1"/>
        </w:numPr>
        <w:spacing w:after="80" w:line="276"/>
      </w:pPr>
      <w:r>
        <w:t xml:space="preserve">Labor Market &amp; Salary Intelligence</w:t>
      </w:r>
    </w:p>
    <w:p>
      <w:pPr>
        <w:pStyle w:val="ListParagraph"/>
        <w:numPr>
          <w:ilvl w:val="0"/>
          <w:numId w:val="1"/>
        </w:numPr>
        <w:spacing w:after="80" w:line="276"/>
      </w:pPr>
      <w:r>
        <w:t xml:space="preserve">Source &amp; Market Intelligence Curation</w:t>
      </w:r>
    </w:p>
    <w:p>
      <w:pPr>
        <w:pStyle w:val="Heading2"/>
        <w:spacing w:after="140" w:before="280"/>
      </w:pPr>
      <w:r>
        <w:t xml:space="preserve">4. AI-Native Capabilities  —  AI-native / Platform-enabled</w:t>
      </w:r>
    </w:p>
    <w:p>
      <w:pPr>
        <w:pStyle w:val="ListParagraph"/>
        <w:numPr>
          <w:ilvl w:val="0"/>
          <w:numId w:val="1"/>
        </w:numPr>
        <w:spacing w:after="80" w:line="276"/>
      </w:pPr>
      <w:r>
        <w:t xml:space="preserve">AI Career Advisory &amp; Agentic Orchestration</w:t>
      </w:r>
    </w:p>
    <w:p>
      <w:pPr>
        <w:pStyle w:val="ListParagraph"/>
        <w:numPr>
          <w:ilvl w:val="0"/>
          <w:numId w:val="1"/>
        </w:numPr>
        <w:spacing w:after="80" w:line="276"/>
      </w:pPr>
      <w:r>
        <w:t xml:space="preserve">AI Personalization &amp; Adaptive Weighting</w:t>
      </w:r>
    </w:p>
    <w:p>
      <w:pPr>
        <w:pStyle w:val="ListParagraph"/>
        <w:numPr>
          <w:ilvl w:val="0"/>
          <w:numId w:val="1"/>
        </w:numPr>
        <w:spacing w:after="80" w:line="276"/>
      </w:pPr>
      <w:r>
        <w:t xml:space="preserve">AI Quality &amp; Confidence Governance</w:t>
      </w:r>
    </w:p>
    <w:p>
      <w:pPr>
        <w:pStyle w:val="Heading2"/>
        <w:spacing w:after="140" w:before="280"/>
      </w:pPr>
      <w:r>
        <w:t xml:space="preserve">5. Candidate Experience &amp; Growth  —  Core / Supporting</w:t>
      </w:r>
    </w:p>
    <w:p>
      <w:pPr>
        <w:pStyle w:val="ListParagraph"/>
        <w:numPr>
          <w:ilvl w:val="0"/>
          <w:numId w:val="1"/>
        </w:numPr>
        <w:spacing w:after="80" w:line="276"/>
      </w:pPr>
      <w:r>
        <w:t xml:space="preserve">Candidate Document Generation</w:t>
      </w:r>
    </w:p>
    <w:p>
      <w:pPr>
        <w:pStyle w:val="ListParagraph"/>
        <w:numPr>
          <w:ilvl w:val="0"/>
          <w:numId w:val="1"/>
        </w:numPr>
        <w:spacing w:after="80" w:line="276"/>
      </w:pPr>
      <w:r>
        <w:t xml:space="preserve">Growth &amp; Progress Tracking</w:t>
      </w:r>
    </w:p>
    <w:p>
      <w:pPr>
        <w:pStyle w:val="ListParagraph"/>
        <w:numPr>
          <w:ilvl w:val="0"/>
          <w:numId w:val="1"/>
        </w:numPr>
        <w:spacing w:after="80" w:line="276"/>
      </w:pPr>
      <w:r>
        <w:t xml:space="preserve">Daily Engagement &amp; Conversion</w:t>
      </w:r>
    </w:p>
    <w:p>
      <w:pPr>
        <w:pStyle w:val="Heading2"/>
        <w:spacing w:after="140" w:before="280"/>
      </w:pPr>
      <w:r>
        <w:t xml:space="preserve">6. Employer Intelligence  —  Future / Strategic (low maturity)</w:t>
      </w:r>
    </w:p>
    <w:p>
      <w:pPr>
        <w:pStyle w:val="ListParagraph"/>
        <w:numPr>
          <w:ilvl w:val="0"/>
          <w:numId w:val="1"/>
        </w:numPr>
        <w:spacing w:after="80" w:line="276"/>
      </w:pPr>
      <w:r>
        <w:t xml:space="preserve">Employer Integration &amp; Opportunity Ingestion</w:t>
      </w:r>
    </w:p>
    <w:p>
      <w:pPr>
        <w:pStyle w:val="Heading2"/>
        <w:spacing w:after="140" w:before="280"/>
      </w:pPr>
      <w:r>
        <w:t xml:space="preserve">7. Platform &amp; Shared Capabilities  —  Shared Enterprise</w:t>
      </w:r>
    </w:p>
    <w:p>
      <w:pPr>
        <w:pStyle w:val="ListParagraph"/>
        <w:numPr>
          <w:ilvl w:val="0"/>
          <w:numId w:val="1"/>
        </w:numPr>
        <w:spacing w:after="80" w:line="276"/>
      </w:pPr>
      <w:r>
        <w:t xml:space="preserve">Identity, Roles &amp; Access Administration</w:t>
      </w:r>
    </w:p>
    <w:p>
      <w:pPr>
        <w:pStyle w:val="ListParagraph"/>
        <w:numPr>
          <w:ilvl w:val="0"/>
          <w:numId w:val="1"/>
        </w:numPr>
        <w:spacing w:after="80" w:line="276"/>
      </w:pPr>
      <w:r>
        <w:t xml:space="preserve">Platform Configuration &amp; Secrets Stewardship</w:t>
      </w:r>
    </w:p>
    <w:p>
      <w:pPr>
        <w:pStyle w:val="ListParagraph"/>
        <w:numPr>
          <w:ilvl w:val="0"/>
          <w:numId w:val="1"/>
        </w:numPr>
        <w:spacing w:after="80" w:line="276"/>
      </w:pPr>
      <w:r>
        <w:t xml:space="preserve">User Activity &amp; Behavioral Analytics</w:t>
      </w:r>
    </w:p>
    <w:p>
      <w:pPr>
        <w:pStyle w:val="Heading2"/>
        <w:spacing w:after="140" w:before="280"/>
      </w:pPr>
      <w:r>
        <w:t xml:space="preserve">8. Governance &amp; Assurance  —  Governance</w:t>
      </w:r>
    </w:p>
    <w:p>
      <w:pPr>
        <w:pStyle w:val="ListParagraph"/>
        <w:numPr>
          <w:ilvl w:val="0"/>
          <w:numId w:val="1"/>
        </w:numPr>
        <w:spacing w:after="80" w:line="276"/>
      </w:pPr>
      <w:r>
        <w:t xml:space="preserve">Architecture &amp; Engineering Standards Conformance</w:t>
      </w:r>
    </w:p>
    <w:p>
      <w:pPr>
        <w:pStyle w:val="ListParagraph"/>
        <w:numPr>
          <w:ilvl w:val="0"/>
          <w:numId w:val="1"/>
        </w:numPr>
        <w:spacing w:after="80" w:line="276"/>
      </w:pPr>
      <w:r>
        <w:t xml:space="preserve">Intelligence Quality &amp; Drift Monitoring</w:t>
      </w:r>
    </w:p>
    <w:p>
      <w:pPr>
        <w:spacing w:after="160" w:line="276"/>
      </w:pPr>
      <w:r>
        <w:t xml:space="preserve">Future capabilities (target-state only, not yet evidenced as implemented modules): Enterprise Partner Data Exchange (universities, employers, job boards, per EEP-01 Phase E Part 0); Multi-Agent Supervision Layer (EEP-01 Phase F Part 8); AI Workflow Orchestration Layer (EEP-01 Phase F Part 0, triggered at &gt;10 distinct multi-step AI workflows).</w:t>
      </w:r>
    </w:p>
    <w:p>
      <w:r>
        <w:br w:type="page"/>
      </w:r>
    </w:p>
    <w:p>
      <w:pPr>
        <w:pStyle w:val="Heading1"/>
        <w:spacing w:after="200" w:before="400"/>
      </w:pPr>
      <w:r>
        <w:t xml:space="preserve">6. Capability Taxonomy</w:t>
      </w:r>
    </w:p>
    <w:p>
      <w:pPr>
        <w:spacing w:after="160" w:line="276"/>
      </w:pPr>
      <w:r>
        <w:t xml:space="preserve">The same capability set as Section 5, re-cut against the taxonomy categories required for this architecture. A capability may appear once here even where it also participates in another domain grouping, to keep this section a clean cross-reference rather than a duplicate hierarchy.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F3B57" w:val="clear"/>
            <w:tcMar>
              <w:top w:type="dxa" w:w="80"/>
              <w:left w:type="dxa" w:w="100"/>
              <w:bottom w:type="dxa" w:w="80"/>
              <w:right w:type="dxa" w:w="100"/>
            </w:tcMar>
            <w:vAlign w:val="center"/>
          </w:tcPr>
          <w:p>
            <w:r>
              <w:rPr>
                <w:b/>
                <w:bCs/>
                <w:color w:val="FFFFFF"/>
                <w:sz w:val="19"/>
                <w:szCs w:val="19"/>
              </w:rPr>
              <w:t xml:space="preserve">Taxonomy category</w:t>
            </w:r>
          </w:p>
        </w:tc>
        <w:tc>
          <w:tcPr>
            <w:tcW w:type="dxa" w:w="6550"/>
            <w:shd w:fill="1F3B57" w:val="clear"/>
            <w:tcMar>
              <w:top w:type="dxa" w:w="80"/>
              <w:left w:type="dxa" w:w="100"/>
              <w:bottom w:type="dxa" w:w="80"/>
              <w:right w:type="dxa" w:w="100"/>
            </w:tcMar>
            <w:vAlign w:val="center"/>
          </w:tcPr>
          <w:p>
            <w:r>
              <w:rPr>
                <w:b/>
                <w:bCs/>
                <w:color w:val="FFFFFF"/>
                <w:sz w:val="19"/>
                <w:szCs w:val="19"/>
              </w:rPr>
              <w:t xml:space="preserve">Capabilities</w:t>
            </w:r>
          </w:p>
        </w:tc>
      </w:tr>
      <w:tr>
        <w:tc>
          <w:tcPr>
            <w:tcW w:type="dxa" w:w="2800"/>
            <w:tcMar>
              <w:top w:type="dxa" w:w="80"/>
              <w:left w:type="dxa" w:w="100"/>
              <w:bottom w:type="dxa" w:w="80"/>
              <w:right w:type="dxa" w:w="100"/>
            </w:tcMar>
            <w:vAlign w:val="center"/>
          </w:tcPr>
          <w:p>
            <w:r>
              <w:rPr>
                <w:b w:val="false"/>
                <w:bCs w:val="false"/>
                <w:sz w:val="19"/>
                <w:szCs w:val="19"/>
              </w:rPr>
              <w:t xml:space="preserve">Strategic Capabilities</w:t>
            </w:r>
          </w:p>
        </w:tc>
        <w:tc>
          <w:tcPr>
            <w:tcW w:type="dxa" w:w="6550"/>
            <w:tcMar>
              <w:top w:type="dxa" w:w="80"/>
              <w:left w:type="dxa" w:w="100"/>
              <w:bottom w:type="dxa" w:w="80"/>
              <w:right w:type="dxa" w:w="100"/>
            </w:tcMar>
            <w:vAlign w:val="center"/>
          </w:tcPr>
          <w:p>
            <w:r>
              <w:rPr>
                <w:b w:val="false"/>
                <w:bCs w:val="false"/>
                <w:sz w:val="19"/>
                <w:szCs w:val="19"/>
              </w:rPr>
              <w:t xml:space="preserve">Career Path Intelligence &amp; Recommendation; Career Digital Twin &amp; Simulation; Employer Integration &amp; Opportunity Ingestion (future strategic)</w:t>
            </w:r>
          </w:p>
        </w:tc>
      </w:tr>
      <w:tr>
        <w:tc>
          <w:tcPr>
            <w:tcW w:type="dxa" w:w="2800"/>
            <w:shd w:fill="EDF2F4" w:val="clear"/>
            <w:tcMar>
              <w:top w:type="dxa" w:w="80"/>
              <w:left w:type="dxa" w:w="100"/>
              <w:bottom w:type="dxa" w:w="80"/>
              <w:right w:type="dxa" w:w="100"/>
            </w:tcMar>
            <w:vAlign w:val="center"/>
          </w:tcPr>
          <w:p>
            <w:r>
              <w:rPr>
                <w:b w:val="false"/>
                <w:bCs w:val="false"/>
                <w:sz w:val="19"/>
                <w:szCs w:val="19"/>
              </w:rPr>
              <w:t xml:space="preserve">Business Capabilities</w:t>
            </w:r>
          </w:p>
        </w:tc>
        <w:tc>
          <w:tcPr>
            <w:tcW w:type="dxa" w:w="6550"/>
            <w:shd w:fill="EDF2F4" w:val="clear"/>
            <w:tcMar>
              <w:top w:type="dxa" w:w="80"/>
              <w:left w:type="dxa" w:w="100"/>
              <w:bottom w:type="dxa" w:w="80"/>
              <w:right w:type="dxa" w:w="100"/>
            </w:tcMar>
            <w:vAlign w:val="center"/>
          </w:tcPr>
          <w:p>
            <w:r>
              <w:rPr>
                <w:b w:val="false"/>
                <w:bCs w:val="false"/>
                <w:sz w:val="19"/>
                <w:szCs w:val="19"/>
              </w:rPr>
              <w:t xml:space="preserve">Career Health Assessment; Career Opportunity Radar; Academic Profile &amp; Context Intelligence</w:t>
            </w:r>
          </w:p>
        </w:tc>
      </w:tr>
      <w:tr>
        <w:tc>
          <w:tcPr>
            <w:tcW w:type="dxa" w:w="2800"/>
            <w:tcMar>
              <w:top w:type="dxa" w:w="80"/>
              <w:left w:type="dxa" w:w="100"/>
              <w:bottom w:type="dxa" w:w="80"/>
              <w:right w:type="dxa" w:w="100"/>
            </w:tcMar>
            <w:vAlign w:val="center"/>
          </w:tcPr>
          <w:p>
            <w:r>
              <w:rPr>
                <w:b w:val="false"/>
                <w:bCs w:val="false"/>
                <w:sz w:val="19"/>
                <w:szCs w:val="19"/>
              </w:rPr>
              <w:t xml:space="preserve">Operational Capabilities</w:t>
            </w:r>
          </w:p>
        </w:tc>
        <w:tc>
          <w:tcPr>
            <w:tcW w:type="dxa" w:w="6550"/>
            <w:tcMar>
              <w:top w:type="dxa" w:w="80"/>
              <w:left w:type="dxa" w:w="100"/>
              <w:bottom w:type="dxa" w:w="80"/>
              <w:right w:type="dxa" w:w="100"/>
            </w:tcMar>
            <w:vAlign w:val="center"/>
          </w:tcPr>
          <w:p>
            <w:r>
              <w:rPr>
                <w:b w:val="false"/>
                <w:bCs w:val="false"/>
                <w:sz w:val="19"/>
                <w:szCs w:val="19"/>
              </w:rPr>
              <w:t xml:space="preserve">Student Onboarding &amp; Qualification Capture; Candidate Document Generation; Daily Engagement &amp; Conversion</w:t>
            </w:r>
          </w:p>
        </w:tc>
      </w:tr>
      <w:tr>
        <w:tc>
          <w:tcPr>
            <w:tcW w:type="dxa" w:w="2800"/>
            <w:shd w:fill="EDF2F4" w:val="clear"/>
            <w:tcMar>
              <w:top w:type="dxa" w:w="80"/>
              <w:left w:type="dxa" w:w="100"/>
              <w:bottom w:type="dxa" w:w="80"/>
              <w:right w:type="dxa" w:w="100"/>
            </w:tcMar>
            <w:vAlign w:val="center"/>
          </w:tcPr>
          <w:p>
            <w:r>
              <w:rPr>
                <w:b w:val="false"/>
                <w:bCs w:val="false"/>
                <w:sz w:val="19"/>
                <w:szCs w:val="19"/>
              </w:rPr>
              <w:t xml:space="preserve">Shared Enterprise Capabilities</w:t>
            </w:r>
          </w:p>
        </w:tc>
        <w:tc>
          <w:tcPr>
            <w:tcW w:type="dxa" w:w="6550"/>
            <w:shd w:fill="EDF2F4" w:val="clear"/>
            <w:tcMar>
              <w:top w:type="dxa" w:w="80"/>
              <w:left w:type="dxa" w:w="100"/>
              <w:bottom w:type="dxa" w:w="80"/>
              <w:right w:type="dxa" w:w="100"/>
            </w:tcMar>
            <w:vAlign w:val="center"/>
          </w:tcPr>
          <w:p>
            <w:r>
              <w:rPr>
                <w:b w:val="false"/>
                <w:bCs w:val="false"/>
                <w:sz w:val="19"/>
                <w:szCs w:val="19"/>
              </w:rPr>
              <w:t xml:space="preserve">Identity, Roles &amp; Access Administration; Platform Configuration &amp; Secrets Stewardship</w:t>
            </w:r>
          </w:p>
        </w:tc>
      </w:tr>
      <w:tr>
        <w:tc>
          <w:tcPr>
            <w:tcW w:type="dxa" w:w="2800"/>
            <w:tcMar>
              <w:top w:type="dxa" w:w="80"/>
              <w:left w:type="dxa" w:w="100"/>
              <w:bottom w:type="dxa" w:w="80"/>
              <w:right w:type="dxa" w:w="100"/>
            </w:tcMar>
            <w:vAlign w:val="center"/>
          </w:tcPr>
          <w:p>
            <w:r>
              <w:rPr>
                <w:b w:val="false"/>
                <w:bCs w:val="false"/>
                <w:sz w:val="19"/>
                <w:szCs w:val="19"/>
              </w:rPr>
              <w:t xml:space="preserve">AI Capabilities</w:t>
            </w:r>
          </w:p>
        </w:tc>
        <w:tc>
          <w:tcPr>
            <w:tcW w:type="dxa" w:w="6550"/>
            <w:tcMar>
              <w:top w:type="dxa" w:w="80"/>
              <w:left w:type="dxa" w:w="100"/>
              <w:bottom w:type="dxa" w:w="80"/>
              <w:right w:type="dxa" w:w="100"/>
            </w:tcMar>
            <w:vAlign w:val="center"/>
          </w:tcPr>
          <w:p>
            <w:r>
              <w:rPr>
                <w:b w:val="false"/>
                <w:bCs w:val="false"/>
                <w:sz w:val="19"/>
                <w:szCs w:val="19"/>
              </w:rPr>
              <w:t xml:space="preserve">AI Career Advisory &amp; Agentic Orchestration; AI Personalization &amp; Adaptive Weighting</w:t>
            </w:r>
          </w:p>
        </w:tc>
      </w:tr>
      <w:tr>
        <w:tc>
          <w:tcPr>
            <w:tcW w:type="dxa" w:w="2800"/>
            <w:shd w:fill="EDF2F4" w:val="clear"/>
            <w:tcMar>
              <w:top w:type="dxa" w:w="80"/>
              <w:left w:type="dxa" w:w="100"/>
              <w:bottom w:type="dxa" w:w="80"/>
              <w:right w:type="dxa" w:w="100"/>
            </w:tcMar>
            <w:vAlign w:val="center"/>
          </w:tcPr>
          <w:p>
            <w:r>
              <w:rPr>
                <w:b w:val="false"/>
                <w:bCs w:val="false"/>
                <w:sz w:val="19"/>
                <w:szCs w:val="19"/>
              </w:rPr>
              <w:t xml:space="preserve">Knowledge Capabilities</w:t>
            </w:r>
          </w:p>
        </w:tc>
        <w:tc>
          <w:tcPr>
            <w:tcW w:type="dxa" w:w="6550"/>
            <w:shd w:fill="EDF2F4" w:val="clear"/>
            <w:tcMar>
              <w:top w:type="dxa" w:w="80"/>
              <w:left w:type="dxa" w:w="100"/>
              <w:bottom w:type="dxa" w:w="80"/>
              <w:right w:type="dxa" w:w="100"/>
            </w:tcMar>
            <w:vAlign w:val="center"/>
          </w:tcPr>
          <w:p>
            <w:r>
              <w:rPr>
                <w:b w:val="false"/>
                <w:bCs w:val="false"/>
                <w:sz w:val="19"/>
                <w:szCs w:val="19"/>
              </w:rPr>
              <w:t xml:space="preserve">Skill &amp; Knowledge Graph Management; Knowledge Runtime &amp; Context Assembly</w:t>
            </w:r>
          </w:p>
        </w:tc>
      </w:tr>
      <w:tr>
        <w:tc>
          <w:tcPr>
            <w:tcW w:type="dxa" w:w="2800"/>
            <w:tcMar>
              <w:top w:type="dxa" w:w="80"/>
              <w:left w:type="dxa" w:w="100"/>
              <w:bottom w:type="dxa" w:w="80"/>
              <w:right w:type="dxa" w:w="100"/>
            </w:tcMar>
            <w:vAlign w:val="center"/>
          </w:tcPr>
          <w:p>
            <w:r>
              <w:rPr>
                <w:b w:val="false"/>
                <w:bCs w:val="false"/>
                <w:sz w:val="19"/>
                <w:szCs w:val="19"/>
              </w:rPr>
              <w:t xml:space="preserve">Analytics Capabilities</w:t>
            </w:r>
          </w:p>
        </w:tc>
        <w:tc>
          <w:tcPr>
            <w:tcW w:type="dxa" w:w="6550"/>
            <w:tcMar>
              <w:top w:type="dxa" w:w="80"/>
              <w:left w:type="dxa" w:w="100"/>
              <w:bottom w:type="dxa" w:w="80"/>
              <w:right w:type="dxa" w:w="100"/>
            </w:tcMar>
            <w:vAlign w:val="center"/>
          </w:tcPr>
          <w:p>
            <w:r>
              <w:rPr>
                <w:b w:val="false"/>
                <w:bCs w:val="false"/>
                <w:sz w:val="19"/>
                <w:szCs w:val="19"/>
              </w:rPr>
              <w:t xml:space="preserve">User Activity &amp; Behavioral Analytics; Growth &amp; Progress Tracking</w:t>
            </w:r>
          </w:p>
        </w:tc>
      </w:tr>
      <w:tr>
        <w:tc>
          <w:tcPr>
            <w:tcW w:type="dxa" w:w="2800"/>
            <w:shd w:fill="EDF2F4" w:val="clear"/>
            <w:tcMar>
              <w:top w:type="dxa" w:w="80"/>
              <w:left w:type="dxa" w:w="100"/>
              <w:bottom w:type="dxa" w:w="80"/>
              <w:right w:type="dxa" w:w="100"/>
            </w:tcMar>
            <w:vAlign w:val="center"/>
          </w:tcPr>
          <w:p>
            <w:r>
              <w:rPr>
                <w:b w:val="false"/>
                <w:bCs w:val="false"/>
                <w:sz w:val="19"/>
                <w:szCs w:val="19"/>
              </w:rPr>
              <w:t xml:space="preserve">Governance Capabilities</w:t>
            </w:r>
          </w:p>
        </w:tc>
        <w:tc>
          <w:tcPr>
            <w:tcW w:type="dxa" w:w="6550"/>
            <w:shd w:fill="EDF2F4" w:val="clear"/>
            <w:tcMar>
              <w:top w:type="dxa" w:w="80"/>
              <w:left w:type="dxa" w:w="100"/>
              <w:bottom w:type="dxa" w:w="80"/>
              <w:right w:type="dxa" w:w="100"/>
            </w:tcMar>
            <w:vAlign w:val="center"/>
          </w:tcPr>
          <w:p>
            <w:r>
              <w:rPr>
                <w:b w:val="false"/>
                <w:bCs w:val="false"/>
                <w:sz w:val="19"/>
                <w:szCs w:val="19"/>
              </w:rPr>
              <w:t xml:space="preserve">Architecture &amp; Engineering Standards Conformance; Intelligence Quality &amp; Drift Monitoring; AI Quality &amp; Confidence Governance</w:t>
            </w:r>
          </w:p>
        </w:tc>
      </w:tr>
      <w:tr>
        <w:tc>
          <w:tcPr>
            <w:tcW w:type="dxa" w:w="2800"/>
            <w:tcMar>
              <w:top w:type="dxa" w:w="80"/>
              <w:left w:type="dxa" w:w="100"/>
              <w:bottom w:type="dxa" w:w="80"/>
              <w:right w:type="dxa" w:w="100"/>
            </w:tcMar>
            <w:vAlign w:val="center"/>
          </w:tcPr>
          <w:p>
            <w:r>
              <w:rPr>
                <w:b w:val="false"/>
                <w:bCs w:val="false"/>
                <w:sz w:val="19"/>
                <w:szCs w:val="19"/>
              </w:rPr>
              <w:t xml:space="preserve">Platform Capabilities</w:t>
            </w:r>
          </w:p>
        </w:tc>
        <w:tc>
          <w:tcPr>
            <w:tcW w:type="dxa" w:w="6550"/>
            <w:tcMar>
              <w:top w:type="dxa" w:w="80"/>
              <w:left w:type="dxa" w:w="100"/>
              <w:bottom w:type="dxa" w:w="80"/>
              <w:right w:type="dxa" w:w="100"/>
            </w:tcMar>
            <w:vAlign w:val="center"/>
          </w:tcPr>
          <w:p>
            <w:r>
              <w:rPr>
                <w:b w:val="false"/>
                <w:bCs w:val="false"/>
                <w:sz w:val="19"/>
                <w:szCs w:val="19"/>
              </w:rPr>
              <w:t xml:space="preserve">Labor Market &amp; Salary Intelligence (data platform role); Source &amp; Market Intelligence Curation</w:t>
            </w:r>
          </w:p>
        </w:tc>
      </w:tr>
      <w:tr>
        <w:tc>
          <w:tcPr>
            <w:tcW w:type="dxa" w:w="2800"/>
            <w:shd w:fill="EDF2F4" w:val="clear"/>
            <w:tcMar>
              <w:top w:type="dxa" w:w="80"/>
              <w:left w:type="dxa" w:w="100"/>
              <w:bottom w:type="dxa" w:w="80"/>
              <w:right w:type="dxa" w:w="100"/>
            </w:tcMar>
            <w:vAlign w:val="center"/>
          </w:tcPr>
          <w:p>
            <w:r>
              <w:rPr>
                <w:b w:val="false"/>
                <w:bCs w:val="false"/>
                <w:sz w:val="19"/>
                <w:szCs w:val="19"/>
              </w:rPr>
              <w:t xml:space="preserve">Innovation Capabilities</w:t>
            </w:r>
          </w:p>
        </w:tc>
        <w:tc>
          <w:tcPr>
            <w:tcW w:type="dxa" w:w="6550"/>
            <w:shd w:fill="EDF2F4" w:val="clear"/>
            <w:tcMar>
              <w:top w:type="dxa" w:w="80"/>
              <w:left w:type="dxa" w:w="100"/>
              <w:bottom w:type="dxa" w:w="80"/>
              <w:right w:type="dxa" w:w="100"/>
            </w:tcMar>
            <w:vAlign w:val="center"/>
          </w:tcPr>
          <w:p>
            <w:r>
              <w:rPr>
                <w:b w:val="false"/>
                <w:bCs w:val="false"/>
                <w:sz w:val="19"/>
                <w:szCs w:val="19"/>
              </w:rPr>
              <w:t xml:space="preserve">Career Digital Twin &amp; Simulation; Multi-Agent Supervision Layer (future)</w:t>
            </w:r>
          </w:p>
        </w:tc>
      </w:tr>
    </w:tbl>
    <w:p>
      <w:r>
        <w:br w:type="page"/>
      </w:r>
    </w:p>
    <w:p>
      <w:pPr>
        <w:pStyle w:val="Heading1"/>
        <w:spacing w:after="200" w:before="400"/>
      </w:pPr>
      <w:r>
        <w:t xml:space="preserve">7. Detailed Capability Catalog</w:t>
      </w:r>
    </w:p>
    <w:p>
      <w:pPr>
        <w:spacing w:after="160" w:line="276"/>
      </w:pPr>
      <w:r>
        <w:t xml:space="preserve">Catalog methodology: the ten Tier-1 capabilities below — those carrying the platform's core strategic differentiation, per Sections 3 and 6 — receive a full profile against every required field. The remaining Tier-2 (Supporting / Shared / Platform / Governance) capabilities are catalogued in the summary table at the end of this section (7.11), with the same fields condensed to table columns, consistent with the proportionality principle in Section 4.6.</w:t>
      </w:r>
    </w:p>
    <w:p>
      <w:pPr>
        <w:pStyle w:val="Heading2"/>
        <w:spacing w:after="140" w:before="280"/>
      </w:pPr>
      <w:r>
        <w:t xml:space="preserve">7.1 Career Path Intelligence &amp; Recommendation   [Strategic]</w:t>
      </w:r>
    </w:p>
    <w:p>
      <w:pPr>
        <w:spacing w:after="60" w:line="260"/>
      </w:pPr>
      <w:r>
        <w:rPr>
          <w:b/>
          <w:bCs/>
        </w:rPr>
        <w:t xml:space="preserve">Purpose: </w:t>
      </w:r>
      <w:r>
        <w:t xml:space="preserve">Translate a student's academic and skill profile into a ranked, explainable set of viable career paths and roles.</w:t>
      </w:r>
    </w:p>
    <w:p>
      <w:pPr>
        <w:spacing w:after="60" w:line="260"/>
      </w:pPr>
      <w:r>
        <w:rPr>
          <w:b/>
          <w:bCs/>
        </w:rPr>
        <w:t xml:space="preserve">Business value: </w:t>
      </w:r>
      <w:r>
        <w:t xml:space="preserve">Converts overwhelming career choice into a small, evidence-backed, personally relevant shortlist — the platform's core promise to students.</w:t>
      </w:r>
    </w:p>
    <w:p>
      <w:pPr>
        <w:spacing w:after="60" w:line="260"/>
      </w:pPr>
      <w:r>
        <w:rPr>
          <w:b/>
          <w:bCs/>
        </w:rPr>
        <w:t xml:space="preserve">Business owner (current / target): </w:t>
      </w:r>
      <w:r>
        <w:t xml:space="preserve">Current: single product/engineering owner (no separate Career Intelligence product function yet). Target: dedicated Career Intelligence product owner.</w:t>
      </w:r>
    </w:p>
    <w:p>
      <w:pPr>
        <w:spacing w:after="60" w:line="260"/>
      </w:pPr>
      <w:r>
        <w:rPr>
          <w:b/>
          <w:bCs/>
        </w:rPr>
        <w:t xml:space="preserve">Primary stakeholders: </w:t>
      </w:r>
      <w:r>
        <w:t xml:space="preserve">Students; academic partners (target-state); internal Knowledge Intelligence and AI Advisory capability owners.</w:t>
      </w:r>
    </w:p>
    <w:p>
      <w:pPr>
        <w:spacing w:after="60" w:line="260"/>
      </w:pPr>
      <w:r>
        <w:rPr>
          <w:b/>
          <w:bCs/>
        </w:rPr>
        <w:t xml:space="preserve">Consumers: </w:t>
      </w:r>
      <w:r>
        <w:t xml:space="preserve">Students directly, via dashboard and copilot; Career Digital Twin; Career Opportunity Radar (as an input to opportunity ranking).</w:t>
      </w:r>
    </w:p>
    <w:p>
      <w:pPr>
        <w:spacing w:after="60" w:line="260"/>
      </w:pPr>
      <w:r>
        <w:rPr>
          <w:b/>
          <w:bCs/>
        </w:rPr>
        <w:t xml:space="preserve">Supporting domains / modules: </w:t>
      </w:r>
      <w:r>
        <w:t xml:space="preserve">Realized by core/src/modules/career-copilot, careerGraph, roles, roleAliases, jobMatchPremium, qualification.</w:t>
      </w:r>
    </w:p>
    <w:p>
      <w:pPr>
        <w:spacing w:after="60" w:line="260"/>
      </w:pPr>
      <w:r>
        <w:rPr>
          <w:b/>
          <w:bCs/>
        </w:rPr>
        <w:t xml:space="preserve">Related technical architecture (EEP-01): </w:t>
      </w:r>
      <w:r>
        <w:t xml:space="preserve">EEP-01 Phase F (AI &amp; Agentic Architecture) for the copilot/agent layer; Phase A (Academic Domain data model) as the profile input; Phase E (Integration) for the multi-provider AI call path.</w:t>
      </w:r>
    </w:p>
    <w:p>
      <w:pPr>
        <w:spacing w:after="60" w:line="260"/>
      </w:pPr>
      <w:r>
        <w:rPr>
          <w:b/>
          <w:bCs/>
        </w:rPr>
        <w:t xml:space="preserve">Dependencies: </w:t>
      </w:r>
      <w:r>
        <w:t xml:space="preserve">Skill &amp; Knowledge Graph Management; Academic Profile &amp; Context Intelligence; Labor Market &amp; Salary Intelligence (currently mock-data constrained, Section 2.4).</w:t>
      </w:r>
    </w:p>
    <w:p>
      <w:pPr>
        <w:spacing w:after="60" w:line="260"/>
      </w:pPr>
      <w:r>
        <w:rPr>
          <w:b/>
          <w:bCs/>
        </w:rPr>
        <w:t xml:space="preserve">Inputs: </w:t>
      </w:r>
      <w:r>
        <w:t xml:space="preserve">Student academic profile and history; canonical skill/role/job-family taxonomy; (target-state) live labor-market demand signal.</w:t>
      </w:r>
    </w:p>
    <w:p>
      <w:pPr>
        <w:spacing w:after="60" w:line="260"/>
      </w:pPr>
      <w:r>
        <w:rPr>
          <w:b/>
          <w:bCs/>
        </w:rPr>
        <w:t xml:space="preserve">Outputs: </w:t>
      </w:r>
      <w:r>
        <w:t xml:space="preserve">Ranked career/role recommendations with explanation; inputs to Career Digital Twin simulations.</w:t>
      </w:r>
    </w:p>
    <w:p>
      <w:pPr>
        <w:spacing w:after="60" w:line="260"/>
      </w:pPr>
      <w:r>
        <w:rPr>
          <w:b/>
          <w:bCs/>
        </w:rPr>
        <w:t xml:space="preserve">KPIs: </w:t>
      </w:r>
      <w:r>
        <w:t xml:space="preserve">Recommendation acceptance rate; time-to-first-recommendation; recommendation-to-application conversion; explanation comprehension (qualitative).</w:t>
      </w:r>
    </w:p>
    <w:p>
      <w:pPr>
        <w:spacing w:after="60" w:line="260"/>
      </w:pPr>
      <w:r>
        <w:rPr>
          <w:b/>
          <w:bCs/>
        </w:rPr>
        <w:t xml:space="preserve">Current maturity: </w:t>
      </w:r>
      <w:r>
        <w:t xml:space="preserve">Level 3 — Managed. career-copilot has six agent classes and a coordinator in production; careerGraph and the taxonomy are populated and consumed.</w:t>
      </w:r>
    </w:p>
    <w:p>
      <w:pPr>
        <w:spacing w:after="60" w:line="260"/>
      </w:pPr>
      <w:r>
        <w:rPr>
          <w:b/>
          <w:bCs/>
        </w:rPr>
        <w:t xml:space="preserve">Target maturity: </w:t>
      </w:r>
      <w:r>
        <w:t xml:space="preserve">Level 4 — Integrated, once recommendations are grounded in live (not mock) labor-market data and formal multi-agent planning replaces the current fixed run() execution model (EEP-01 Phase F Part 8).</w:t>
      </w:r>
    </w:p>
    <w:p>
      <w:pPr>
        <w:spacing w:after="60" w:line="260"/>
      </w:pPr>
      <w:r>
        <w:rPr>
          <w:b/>
          <w:bCs/>
        </w:rPr>
        <w:t xml:space="preserve">Evolution roadmap: </w:t>
      </w:r>
      <w:r>
        <w:t xml:space="preserve">Short-term: instrument recommendation acceptance as a first-class KPI. Medium-term: replace mock labor-market input with a live source (trigger: first signed data/partner feed). Long-term: agents plan their own multi-step recommendation workflow rather than executing a fixed sequence.</w:t>
      </w:r>
    </w:p>
    <w:p>
      <w:pPr>
        <w:spacing w:after="60" w:line="260"/>
      </w:pPr>
      <w:r>
        <w:rPr>
          <w:b/>
          <w:bCs/>
        </w:rPr>
        <w:t xml:space="preserve">Risks: </w:t>
      </w:r>
      <w:r>
        <w:t xml:space="preserve">Recommendation quality is currently bounded by mock market data — a business risk of low-confidence advice being presented with high-confidence framing (see Section 16).</w:t>
      </w:r>
    </w:p>
    <w:p>
      <w:pPr>
        <w:spacing w:after="60" w:line="260"/>
      </w:pPr>
      <w:r>
        <w:rPr>
          <w:b/>
          <w:bCs/>
        </w:rPr>
        <w:t xml:space="preserve">Constraints: </w:t>
      </w:r>
      <w:r>
        <w:t xml:space="preserve">Five-provider AI fallback chain introduces external vendor dependency and cost variability that this capability inherits rather than controls (owned at Phase E/F level).</w:t>
      </w:r>
    </w:p>
    <w:p>
      <w:pPr>
        <w:spacing w:after="60" w:line="260"/>
      </w:pPr>
      <w:r>
        <w:rPr>
          <w:b/>
          <w:bCs/>
        </w:rPr>
        <w:t xml:space="preserve">Future enhancements: </w:t>
      </w:r>
      <w:r>
        <w:t xml:space="preserve">Cross-capability grounding with Career Health Assessment so recommendations and health scoring share one explanation model rather than two.</w:t>
      </w:r>
    </w:p>
    <w:p>
      <w:pPr>
        <w:spacing w:after="200"/>
      </w:pPr>
    </w:p>
    <w:p>
      <w:pPr>
        <w:pStyle w:val="Heading2"/>
        <w:spacing w:after="140" w:before="280"/>
      </w:pPr>
      <w:r>
        <w:t xml:space="preserve">7.2 Career Digital Twin &amp; Simulation   [Strategic / Innovation]</w:t>
      </w:r>
    </w:p>
    <w:p>
      <w:pPr>
        <w:spacing w:after="60" w:line="260"/>
      </w:pPr>
      <w:r>
        <w:rPr>
          <w:b/>
          <w:bCs/>
        </w:rPr>
        <w:t xml:space="preserve">Purpose: </w:t>
      </w:r>
      <w:r>
        <w:t xml:space="preserve">Give a student a longitudinal, simulate-able model of their own career trajectory, so "what if" decisions (a different major, a certification, a gap year) can be explored before being made.</w:t>
      </w:r>
    </w:p>
    <w:p>
      <w:pPr>
        <w:spacing w:after="60" w:line="260"/>
      </w:pPr>
      <w:r>
        <w:rPr>
          <w:b/>
          <w:bCs/>
        </w:rPr>
        <w:t xml:space="preserve">Business value: </w:t>
      </w:r>
      <w:r>
        <w:t xml:space="preserve">Differentiates HireRise from point-in-time quiz-style career tools; turns career planning into an ongoing practice rather than a one-time event.</w:t>
      </w:r>
    </w:p>
    <w:p>
      <w:pPr>
        <w:spacing w:after="60" w:line="260"/>
      </w:pPr>
      <w:r>
        <w:rPr>
          <w:b/>
          <w:bCs/>
        </w:rPr>
        <w:t xml:space="preserve">Business owner (current / target): </w:t>
      </w:r>
      <w:r>
        <w:t xml:space="preserve">Current: held within the general product/engineering function. Target: shared ownership with Career Path Intelligence &amp; Recommendation owner, given tight coupling.</w:t>
      </w:r>
    </w:p>
    <w:p>
      <w:pPr>
        <w:spacing w:after="60" w:line="260"/>
      </w:pPr>
      <w:r>
        <w:rPr>
          <w:b/>
          <w:bCs/>
        </w:rPr>
        <w:t xml:space="preserve">Primary stakeholders: </w:t>
      </w:r>
      <w:r>
        <w:t xml:space="preserve">Students; Career Path Intelligence owner; AI Advisory capability owner.</w:t>
      </w:r>
    </w:p>
    <w:p>
      <w:pPr>
        <w:spacing w:after="60" w:line="260"/>
      </w:pPr>
      <w:r>
        <w:rPr>
          <w:b/>
          <w:bCs/>
        </w:rPr>
        <w:t xml:space="preserve">Consumers: </w:t>
      </w:r>
      <w:r>
        <w:t xml:space="preserve">Students, via dashboard visualizations; Career Health Assessment (as a data source for longitudinal scoring).</w:t>
      </w:r>
    </w:p>
    <w:p>
      <w:pPr>
        <w:spacing w:after="60" w:line="260"/>
      </w:pPr>
      <w:r>
        <w:rPr>
          <w:b/>
          <w:bCs/>
        </w:rPr>
        <w:t xml:space="preserve">Supporting domains / modules: </w:t>
      </w:r>
      <w:r>
        <w:t xml:space="preserve">Realized by core/src/modules/career-digital-twin, currently structured as a public module barrel (interface/export shell).</w:t>
      </w:r>
    </w:p>
    <w:p>
      <w:pPr>
        <w:spacing w:after="60" w:line="260"/>
      </w:pPr>
      <w:r>
        <w:rPr>
          <w:b/>
          <w:bCs/>
        </w:rPr>
        <w:t xml:space="preserve">Related technical architecture (EEP-01): </w:t>
      </w:r>
      <w:r>
        <w:t xml:space="preserve">EEP-01 Phase A (append-only academic history, purpose-built for ten-year trend data) is the direct enabling architecture for this capability's "longitudinal" promise.</w:t>
      </w:r>
    </w:p>
    <w:p>
      <w:pPr>
        <w:spacing w:after="60" w:line="260"/>
      </w:pPr>
      <w:r>
        <w:rPr>
          <w:b/>
          <w:bCs/>
        </w:rPr>
        <w:t xml:space="preserve">Dependencies: </w:t>
      </w:r>
      <w:r>
        <w:t xml:space="preserve">Academic Profile &amp; Context Intelligence; Career Path Intelligence &amp; Recommendation; Career Health Assessment.</w:t>
      </w:r>
    </w:p>
    <w:p>
      <w:pPr>
        <w:spacing w:after="60" w:line="260"/>
      </w:pPr>
      <w:r>
        <w:rPr>
          <w:b/>
          <w:bCs/>
        </w:rPr>
        <w:t xml:space="preserve">Inputs: </w:t>
      </w:r>
      <w:r>
        <w:t xml:space="preserve">Full academic and activity history; career path recommendations; hypothetical/simulated decision inputs from the student.</w:t>
      </w:r>
    </w:p>
    <w:p>
      <w:pPr>
        <w:spacing w:after="60" w:line="260"/>
      </w:pPr>
      <w:r>
        <w:rPr>
          <w:b/>
          <w:bCs/>
        </w:rPr>
        <w:t xml:space="preserve">Outputs: </w:t>
      </w:r>
      <w:r>
        <w:t xml:space="preserve">Simulated trajectory views; comparative "what if" outcomes.</w:t>
      </w:r>
    </w:p>
    <w:p>
      <w:pPr>
        <w:spacing w:after="60" w:line="260"/>
      </w:pPr>
      <w:r>
        <w:rPr>
          <w:b/>
          <w:bCs/>
        </w:rPr>
        <w:t xml:space="preserve">KPIs: </w:t>
      </w:r>
      <w:r>
        <w:t xml:space="preserve">Simulation usage rate; scenarios explored per active student; correlation between simulation use and later positive outcome signals.</w:t>
      </w:r>
    </w:p>
    <w:p>
      <w:pPr>
        <w:spacing w:after="60" w:line="260"/>
      </w:pPr>
      <w:r>
        <w:rPr>
          <w:b/>
          <w:bCs/>
        </w:rPr>
        <w:t xml:space="preserve">Current maturity: </w:t>
      </w:r>
      <w:r>
        <w:t xml:space="preserve">Level 1 — Initial. The module exists as a defined public interface/boundary, but the repository shows no evidence yet of a populated simulation engine behind it.</w:t>
      </w:r>
    </w:p>
    <w:p>
      <w:pPr>
        <w:spacing w:after="60" w:line="260"/>
      </w:pPr>
      <w:r>
        <w:rPr>
          <w:b/>
          <w:bCs/>
        </w:rPr>
        <w:t xml:space="preserve">Target maturity: </w:t>
      </w:r>
      <w:r>
        <w:t xml:space="preserve">Level 3 — Managed, once the module is populated behind its existing interface and connected to real historical data via the Phase A model.</w:t>
      </w:r>
    </w:p>
    <w:p>
      <w:pPr>
        <w:spacing w:after="60" w:line="260"/>
      </w:pPr>
      <w:r>
        <w:rPr>
          <w:b/>
          <w:bCs/>
        </w:rPr>
        <w:t xml:space="preserve">Evolution roadmap: </w:t>
      </w:r>
      <w:r>
        <w:t xml:space="preserve">Short-term: populate the module barrel with a first simulation model against real academic-history data. Medium-term: connect simulation outputs back into Career Health Assessment. Long-term: multi-scenario comparison UI.</w:t>
      </w:r>
    </w:p>
    <w:p>
      <w:pPr>
        <w:spacing w:after="60" w:line="260"/>
      </w:pPr>
      <w:r>
        <w:rPr>
          <w:b/>
          <w:bCs/>
        </w:rPr>
        <w:t xml:space="preserve">Risks: </w:t>
      </w:r>
      <w:r>
        <w:t xml:space="preserve">Presenting a simulation as prediction, rather than a scenario exploration, could create false certainty for a predominantly minor/young-adult user base (EEP-01 Phase B's stated security/privacy posture for this population applies here too).</w:t>
      </w:r>
    </w:p>
    <w:p>
      <w:pPr>
        <w:spacing w:after="60" w:line="260"/>
      </w:pPr>
      <w:r>
        <w:rPr>
          <w:b/>
          <w:bCs/>
        </w:rPr>
        <w:t xml:space="preserve">Constraints: </w:t>
      </w:r>
      <w:r>
        <w:t xml:space="preserve">Depends entirely on the maturity of the Academic Profile data it simulates over; cannot outrun that capability's own data completeness.</w:t>
      </w:r>
    </w:p>
    <w:p>
      <w:pPr>
        <w:spacing w:after="60" w:line="260"/>
      </w:pPr>
      <w:r>
        <w:rPr>
          <w:b/>
          <w:bCs/>
        </w:rPr>
        <w:t xml:space="preserve">Future enhancements: </w:t>
      </w:r>
      <w:r>
        <w:t xml:space="preserve">Employer-side "what if this role existed at your skill level" symmetric view, once Employer Integration reaches Level 2+.</w:t>
      </w:r>
    </w:p>
    <w:p>
      <w:pPr>
        <w:spacing w:after="200"/>
      </w:pPr>
    </w:p>
    <w:p>
      <w:pPr>
        <w:pStyle w:val="Heading2"/>
        <w:spacing w:after="140" w:before="280"/>
      </w:pPr>
      <w:r>
        <w:t xml:space="preserve">7.3 Career Health Assessment   [Business / Core]</w:t>
      </w:r>
    </w:p>
    <w:p>
      <w:pPr>
        <w:spacing w:after="60" w:line="260"/>
      </w:pPr>
      <w:r>
        <w:rPr>
          <w:b/>
          <w:bCs/>
        </w:rPr>
        <w:t xml:space="preserve">Purpose: </w:t>
      </w:r>
      <w:r>
        <w:t xml:space="preserve">Produce a single, explainable, ongoing measure of how career-ready and market-aligned a student currently is.</w:t>
      </w:r>
    </w:p>
    <w:p>
      <w:pPr>
        <w:spacing w:after="60" w:line="260"/>
      </w:pPr>
      <w:r>
        <w:rPr>
          <w:b/>
          <w:bCs/>
        </w:rPr>
        <w:t xml:space="preserve">Business value: </w:t>
      </w:r>
      <w:r>
        <w:t xml:space="preserve">Gives students and (target-state) institutional partners a simple, trackable signal of employability progress over time.</w:t>
      </w:r>
    </w:p>
    <w:p>
      <w:pPr>
        <w:spacing w:after="60" w:line="260"/>
      </w:pPr>
      <w:r>
        <w:rPr>
          <w:b/>
          <w:bCs/>
        </w:rPr>
        <w:t xml:space="preserve">Business owner (current / target): </w:t>
      </w:r>
      <w:r>
        <w:t xml:space="preserve">Current: general product/engineering ownership, actively transitioning between two implementations. Target: Career Intelligence product owner.</w:t>
      </w:r>
    </w:p>
    <w:p>
      <w:pPr>
        <w:spacing w:after="60" w:line="260"/>
      </w:pPr>
      <w:r>
        <w:rPr>
          <w:b/>
          <w:bCs/>
        </w:rPr>
        <w:t xml:space="preserve">Primary stakeholders: </w:t>
      </w:r>
      <w:r>
        <w:t xml:space="preserve">Students; academic partners (target-state); Growth &amp; Progress Tracking capability owner.</w:t>
      </w:r>
    </w:p>
    <w:p>
      <w:pPr>
        <w:spacing w:after="60" w:line="260"/>
      </w:pPr>
      <w:r>
        <w:rPr>
          <w:b/>
          <w:bCs/>
        </w:rPr>
        <w:t xml:space="preserve">Consumers: </w:t>
      </w:r>
      <w:r>
        <w:t xml:space="preserve">Students via dashboard; Career Digital Twin (as a longitudinal input); Daily Engagement &amp; Conversion (as a trigger signal).</w:t>
      </w:r>
    </w:p>
    <w:p>
      <w:pPr>
        <w:spacing w:after="60" w:line="260"/>
      </w:pPr>
      <w:r>
        <w:rPr>
          <w:b/>
          <w:bCs/>
        </w:rPr>
        <w:t xml:space="preserve">Supporting domains / modules: </w:t>
      </w:r>
      <w:r>
        <w:t xml:space="preserve">Realized by two parallel modules: core/src/modules/careerHealthIndex (current production implementation) and chiV2 (in-flight successor).</w:t>
      </w:r>
    </w:p>
    <w:p>
      <w:pPr>
        <w:spacing w:after="60" w:line="260"/>
      </w:pPr>
      <w:r>
        <w:rPr>
          <w:b/>
          <w:bCs/>
        </w:rPr>
        <w:t xml:space="preserve">Related technical architecture (EEP-01): </w:t>
      </w:r>
      <w:r>
        <w:t xml:space="preserve">EEP-01 Phase F AI governance principles apply to any model-driven scoring within this capability; Phase A supplies the underlying academic signal.</w:t>
      </w:r>
    </w:p>
    <w:p>
      <w:pPr>
        <w:spacing w:after="60" w:line="260"/>
      </w:pPr>
      <w:r>
        <w:rPr>
          <w:b/>
          <w:bCs/>
        </w:rPr>
        <w:t xml:space="preserve">Dependencies: </w:t>
      </w:r>
      <w:r>
        <w:t xml:space="preserve">Academic Profile &amp; Context Intelligence; Skill &amp; Knowledge Graph Management; (partially) Labor Market &amp; Salary Intelligence.</w:t>
      </w:r>
    </w:p>
    <w:p>
      <w:pPr>
        <w:spacing w:after="60" w:line="260"/>
      </w:pPr>
      <w:r>
        <w:rPr>
          <w:b/>
          <w:bCs/>
        </w:rPr>
        <w:t xml:space="preserve">Inputs: </w:t>
      </w:r>
      <w:r>
        <w:t xml:space="preserve">Academic performance and history; skill graph position; engagement history.</w:t>
      </w:r>
    </w:p>
    <w:p>
      <w:pPr>
        <w:spacing w:after="60" w:line="260"/>
      </w:pPr>
      <w:r>
        <w:rPr>
          <w:b/>
          <w:bCs/>
        </w:rPr>
        <w:t xml:space="preserve">Outputs: </w:t>
      </w:r>
      <w:r>
        <w:t xml:space="preserve">A composite career-health score and its contributing factors, exposed to the student and to downstream capabilities.</w:t>
      </w:r>
    </w:p>
    <w:p>
      <w:pPr>
        <w:spacing w:after="60" w:line="260"/>
      </w:pPr>
      <w:r>
        <w:rPr>
          <w:b/>
          <w:bCs/>
        </w:rPr>
        <w:t xml:space="preserve">KPIs: </w:t>
      </w:r>
      <w:r>
        <w:t xml:space="preserve">Score-to-outcome correlation (validation, not vanity); score stability/volatility; re-engagement rate after a score change.</w:t>
      </w:r>
    </w:p>
    <w:p>
      <w:pPr>
        <w:spacing w:after="60" w:line="260"/>
      </w:pPr>
      <w:r>
        <w:rPr>
          <w:b/>
          <w:bCs/>
        </w:rPr>
        <w:t xml:space="preserve">Current maturity: </w:t>
      </w:r>
      <w:r>
        <w:t xml:space="preserve">Level 3 — Managed for the v1 (careerHealthIndex) implementation; chiV2 is Level 2 — Emerging, evidenced by its existence as a distinct, not-yet-consolidated module.</w:t>
      </w:r>
    </w:p>
    <w:p>
      <w:pPr>
        <w:spacing w:after="60" w:line="260"/>
      </w:pPr>
      <w:r>
        <w:rPr>
          <w:b/>
          <w:bCs/>
        </w:rPr>
        <w:t xml:space="preserve">Target maturity: </w:t>
      </w:r>
      <w:r>
        <w:t xml:space="preserve">Level 4 — Integrated, once chiV2 fully supersedes v1 and the score is validated against real outcome data rather than only internal consistency.</w:t>
      </w:r>
    </w:p>
    <w:p>
      <w:pPr>
        <w:spacing w:after="60" w:line="260"/>
      </w:pPr>
      <w:r>
        <w:rPr>
          <w:b/>
          <w:bCs/>
        </w:rPr>
        <w:t xml:space="preserve">Evolution roadmap: </w:t>
      </w:r>
      <w:r>
        <w:t xml:space="preserve">Short-term: define and document the v1-to-chiV2 migration/cutover plan explicitly (not currently evidenced in the repository). Medium-term: outcome-validate the score. Long-term: expose the score (with consent) to academic/employer partners.</w:t>
      </w:r>
    </w:p>
    <w:p>
      <w:pPr>
        <w:spacing w:after="60" w:line="260"/>
      </w:pPr>
      <w:r>
        <w:rPr>
          <w:b/>
          <w:bCs/>
        </w:rPr>
        <w:t xml:space="preserve">Risks: </w:t>
      </w:r>
      <w:r>
        <w:t xml:space="preserve">Running two parallel scoring implementations risks score inconsistency being visible to students if both are ever exposed simultaneously; migration ambiguity is itself a risk (Section 16).</w:t>
      </w:r>
    </w:p>
    <w:p>
      <w:pPr>
        <w:spacing w:after="60" w:line="260"/>
      </w:pPr>
      <w:r>
        <w:rPr>
          <w:b/>
          <w:bCs/>
        </w:rPr>
        <w:t xml:space="preserve">Constraints: </w:t>
      </w:r>
      <w:r>
        <w:t xml:space="preserve">Any score presented to a predominantly-minor population must meet EEP-01 Phase B's protective-by-default posture for that population.</w:t>
      </w:r>
    </w:p>
    <w:p>
      <w:pPr>
        <w:spacing w:after="60" w:line="260"/>
      </w:pPr>
      <w:r>
        <w:rPr>
          <w:b/>
          <w:bCs/>
        </w:rPr>
        <w:t xml:space="preserve">Future enhancements: </w:t>
      </w:r>
      <w:r>
        <w:t xml:space="preserve">Cohort-level (school/university) aggregate health reporting once Academic Intelligence partner relationships exist.</w:t>
      </w:r>
    </w:p>
    <w:p>
      <w:pPr>
        <w:spacing w:after="200"/>
      </w:pPr>
    </w:p>
    <w:p>
      <w:pPr>
        <w:pStyle w:val="Heading2"/>
        <w:spacing w:after="140" w:before="280"/>
      </w:pPr>
      <w:r>
        <w:t xml:space="preserve">7.4 Career Opportunity Radar   [Business / Core]</w:t>
      </w:r>
    </w:p>
    <w:p>
      <w:pPr>
        <w:spacing w:after="60" w:line="260"/>
      </w:pPr>
      <w:r>
        <w:rPr>
          <w:b/>
          <w:bCs/>
        </w:rPr>
        <w:t xml:space="preserve">Purpose: </w:t>
      </w:r>
      <w:r>
        <w:t xml:space="preserve">Surface specific, timely job or opportunity matches to a student, ranked by fit.</w:t>
      </w:r>
    </w:p>
    <w:p>
      <w:pPr>
        <w:spacing w:after="60" w:line="260"/>
      </w:pPr>
      <w:r>
        <w:rPr>
          <w:b/>
          <w:bCs/>
        </w:rPr>
        <w:t xml:space="preserve">Business value: </w:t>
      </w:r>
      <w:r>
        <w:t xml:space="preserve">Moves the platform from advisory-only to action-enabling — the bridge between career intelligence and an actual application.</w:t>
      </w:r>
    </w:p>
    <w:p>
      <w:pPr>
        <w:spacing w:after="60" w:line="260"/>
      </w:pPr>
      <w:r>
        <w:rPr>
          <w:b/>
          <w:bCs/>
        </w:rPr>
        <w:t xml:space="preserve">Business owner (current / target): </w:t>
      </w:r>
      <w:r>
        <w:t xml:space="preserve">Current: general product/engineering ownership. Target: shared with Employer Integration owner once that capability matures.</w:t>
      </w:r>
    </w:p>
    <w:p>
      <w:pPr>
        <w:spacing w:after="60" w:line="260"/>
      </w:pPr>
      <w:r>
        <w:rPr>
          <w:b/>
          <w:bCs/>
        </w:rPr>
        <w:t xml:space="preserve">Primary stakeholders: </w:t>
      </w:r>
      <w:r>
        <w:t xml:space="preserve">Students; (target-state) employers and job-board partners.</w:t>
      </w:r>
    </w:p>
    <w:p>
      <w:pPr>
        <w:spacing w:after="60" w:line="260"/>
      </w:pPr>
      <w:r>
        <w:rPr>
          <w:b/>
          <w:bCs/>
        </w:rPr>
        <w:t xml:space="preserve">Consumers: </w:t>
      </w:r>
      <w:r>
        <w:t xml:space="preserve">Students via dashboard/notifications; Daily Engagement &amp; Conversion (as content driving return visits).</w:t>
      </w:r>
    </w:p>
    <w:p>
      <w:pPr>
        <w:spacing w:after="60" w:line="260"/>
      </w:pPr>
      <w:r>
        <w:rPr>
          <w:b/>
          <w:bCs/>
        </w:rPr>
        <w:t xml:space="preserve">Supporting domains / modules: </w:t>
      </w:r>
      <w:r>
        <w:t xml:space="preserve">Realized by core/src/modules/opportunityRadar and jobMatchPremium; named in code as an "AI Career Opportunity Radar."</w:t>
      </w:r>
    </w:p>
    <w:p>
      <w:pPr>
        <w:spacing w:after="60" w:line="260"/>
      </w:pPr>
      <w:r>
        <w:rPr>
          <w:b/>
          <w:bCs/>
        </w:rPr>
        <w:t xml:space="preserve">Related technical architecture (EEP-01): </w:t>
      </w:r>
      <w:r>
        <w:t xml:space="preserve">EEP-01 Phase E Part 0 directly evidences this capability's key constraint: its opportunity source is currently a mock collector, not a live partner feed.</w:t>
      </w:r>
    </w:p>
    <w:p>
      <w:pPr>
        <w:spacing w:after="60" w:line="260"/>
      </w:pPr>
      <w:r>
        <w:rPr>
          <w:b/>
          <w:bCs/>
        </w:rPr>
        <w:t xml:space="preserve">Dependencies: </w:t>
      </w:r>
      <w:r>
        <w:t xml:space="preserve">Career Path Intelligence &amp; Recommendation; Labor Market &amp; Salary Intelligence; Employer Integration &amp; Opportunity Ingestion (currently the limiting dependency).</w:t>
      </w:r>
    </w:p>
    <w:p>
      <w:pPr>
        <w:spacing w:after="60" w:line="260"/>
      </w:pPr>
      <w:r>
        <w:rPr>
          <w:b/>
          <w:bCs/>
        </w:rPr>
        <w:t xml:space="preserve">Inputs: </w:t>
      </w:r>
      <w:r>
        <w:t xml:space="preserve">Career recommendations; (target-state) live job/opportunity feed; student profile.</w:t>
      </w:r>
    </w:p>
    <w:p>
      <w:pPr>
        <w:spacing w:after="60" w:line="260"/>
      </w:pPr>
      <w:r>
        <w:rPr>
          <w:b/>
          <w:bCs/>
        </w:rPr>
        <w:t xml:space="preserve">Outputs: </w:t>
      </w:r>
      <w:r>
        <w:t xml:space="preserve">Ranked opportunity matches; premium/filtered match tiers (jobMatchPremium).</w:t>
      </w:r>
    </w:p>
    <w:p>
      <w:pPr>
        <w:spacing w:after="60" w:line="260"/>
      </w:pPr>
      <w:r>
        <w:rPr>
          <w:b/>
          <w:bCs/>
        </w:rPr>
        <w:t xml:space="preserve">KPIs: </w:t>
      </w:r>
      <w:r>
        <w:t xml:space="preserve">Match relevance (click-through, save, apply rate); feed freshness/coverage once live; premium-tier conversion.</w:t>
      </w:r>
    </w:p>
    <w:p>
      <w:pPr>
        <w:spacing w:after="60" w:line="260"/>
      </w:pPr>
      <w:r>
        <w:rPr>
          <w:b/>
          <w:bCs/>
        </w:rPr>
        <w:t xml:space="preserve">Current maturity: </w:t>
      </w:r>
      <w:r>
        <w:t xml:space="preserve">Level 2 — Emerging. The ranking and routing logic exists and is exercised, but its primary input is mock data, capping real-world maturity regardless of internal sophistication.</w:t>
      </w:r>
    </w:p>
    <w:p>
      <w:pPr>
        <w:spacing w:after="60" w:line="260"/>
      </w:pPr>
      <w:r>
        <w:rPr>
          <w:b/>
          <w:bCs/>
        </w:rPr>
        <w:t xml:space="preserve">Target maturity: </w:t>
      </w:r>
      <w:r>
        <w:t xml:space="preserve">Level 4 — Integrated, gated entirely on Employer Integration reaching a live-feed state (Section 13 trigger: first signed partner contract).</w:t>
      </w:r>
    </w:p>
    <w:p>
      <w:pPr>
        <w:spacing w:after="60" w:line="260"/>
      </w:pPr>
      <w:r>
        <w:rPr>
          <w:b/>
          <w:bCs/>
        </w:rPr>
        <w:t xml:space="preserve">Evolution roadmap: </w:t>
      </w:r>
      <w:r>
        <w:t xml:space="preserve">Short-term: make the mock-data limitation visible in-product rather than implicit, to avoid overstating readiness to students. Medium-term: first live feed integration. Long-term: multi-source aggregation across several employer/job-board partners.</w:t>
      </w:r>
    </w:p>
    <w:p>
      <w:pPr>
        <w:spacing w:after="60" w:line="260"/>
      </w:pPr>
      <w:r>
        <w:rPr>
          <w:b/>
          <w:bCs/>
        </w:rPr>
        <w:t xml:space="preserve">Risks: </w:t>
      </w:r>
      <w:r>
        <w:t xml:space="preserve">Presenting mock-derived matches as if live, even unintentionally, is a credibility and trust risk for a career-stakes product (Section 16).</w:t>
      </w:r>
    </w:p>
    <w:p>
      <w:pPr>
        <w:spacing w:after="60" w:line="260"/>
      </w:pPr>
      <w:r>
        <w:rPr>
          <w:b/>
          <w:bCs/>
        </w:rPr>
        <w:t xml:space="preserve">Constraints: </w:t>
      </w:r>
      <w:r>
        <w:t xml:space="preserve">Cannot exceed the maturity of Employer Integration &amp; Opportunity Ingestion; this is a structural, not effort-driven, ceiling today.</w:t>
      </w:r>
    </w:p>
    <w:p>
      <w:pPr>
        <w:spacing w:after="60" w:line="260"/>
      </w:pPr>
      <w:r>
        <w:rPr>
          <w:b/>
          <w:bCs/>
        </w:rPr>
        <w:t xml:space="preserve">Future enhancements: </w:t>
      </w:r>
      <w:r>
        <w:t xml:space="preserve">Premium tier (jobMatchPremium) expansion once live-match volume and quality justify monetization.</w:t>
      </w:r>
    </w:p>
    <w:p>
      <w:pPr>
        <w:spacing w:after="200"/>
      </w:pPr>
    </w:p>
    <w:p>
      <w:pPr>
        <w:pStyle w:val="Heading2"/>
        <w:spacing w:after="140" w:before="280"/>
      </w:pPr>
      <w:r>
        <w:t xml:space="preserve">7.5 Academic Profile &amp; Context Intelligence   [Core]</w:t>
      </w:r>
    </w:p>
    <w:p>
      <w:pPr>
        <w:spacing w:after="60" w:line="260"/>
      </w:pPr>
      <w:r>
        <w:rPr>
          <w:b/>
          <w:bCs/>
        </w:rPr>
        <w:t xml:space="preserve">Purpose: </w:t>
      </w:r>
      <w:r>
        <w:t xml:space="preserve">Maintain a single, trustworthy, longitudinal academic and demographic profile per student, across countries and education systems.</w:t>
      </w:r>
    </w:p>
    <w:p>
      <w:pPr>
        <w:spacing w:after="60" w:line="260"/>
      </w:pPr>
      <w:r>
        <w:rPr>
          <w:b/>
          <w:bCs/>
        </w:rPr>
        <w:t xml:space="preserve">Business value: </w:t>
      </w:r>
      <w:r>
        <w:t xml:space="preserve">The foundational data asset every other intelligence capability is built on; its trustworthiness is the platform's core dependency.</w:t>
      </w:r>
    </w:p>
    <w:p>
      <w:pPr>
        <w:spacing w:after="60" w:line="260"/>
      </w:pPr>
      <w:r>
        <w:rPr>
          <w:b/>
          <w:bCs/>
        </w:rPr>
        <w:t xml:space="preserve">Business owner (current / target): </w:t>
      </w:r>
      <w:r>
        <w:t xml:space="preserve">Current: general product/engineering ownership. Target: Academic Intelligence product owner, per EEP-01 Phase B's identification of nine downstream systems relying on this domain.</w:t>
      </w:r>
    </w:p>
    <w:p>
      <w:pPr>
        <w:spacing w:after="60" w:line="260"/>
      </w:pPr>
      <w:r>
        <w:rPr>
          <w:b/>
          <w:bCs/>
        </w:rPr>
        <w:t xml:space="preserve">Primary stakeholders: </w:t>
      </w:r>
      <w:r>
        <w:t xml:space="preserve">Students (and, for minors, their guardians, per Phase B's protective posture); schools/universities (target-state partners); every AI/runtime capability in this catalog.</w:t>
      </w:r>
    </w:p>
    <w:p>
      <w:pPr>
        <w:spacing w:after="60" w:line="260"/>
      </w:pPr>
      <w:r>
        <w:rPr>
          <w:b/>
          <w:bCs/>
        </w:rPr>
        <w:t xml:space="preserve">Consumers: </w:t>
      </w:r>
      <w:r>
        <w:t xml:space="preserve">Career Path Intelligence, Career Digital Twin, Career Health Assessment, Skill &amp; Knowledge Graph Management, and (per Phase B) at least ten named downstream AI/runtime systems.</w:t>
      </w:r>
    </w:p>
    <w:p>
      <w:pPr>
        <w:spacing w:after="60" w:line="260"/>
      </w:pPr>
      <w:r>
        <w:rPr>
          <w:b/>
          <w:bCs/>
        </w:rPr>
        <w:t xml:space="preserve">Supporting domains / modules: </w:t>
      </w:r>
      <w:r>
        <w:t xml:space="preserve">Realized by the 26-table Canonical Student Academic Domain (EEP-01 Phase A) and core/src/modules/education-intelligence, student-onboarding, school, university.</w:t>
      </w:r>
    </w:p>
    <w:p>
      <w:pPr>
        <w:spacing w:after="60" w:line="260"/>
      </w:pPr>
      <w:r>
        <w:rPr>
          <w:b/>
          <w:bCs/>
        </w:rPr>
        <w:t xml:space="preserve">Related technical architecture (EEP-01): </w:t>
      </w:r>
      <w:r>
        <w:t xml:space="preserve">Direct realization of EEP-01 Phase A (Physical Data Model) and Phase B (Security Architecture), which this document does not redesign.</w:t>
      </w:r>
    </w:p>
    <w:p>
      <w:pPr>
        <w:spacing w:after="60" w:line="260"/>
      </w:pPr>
      <w:r>
        <w:rPr>
          <w:b/>
          <w:bCs/>
        </w:rPr>
        <w:t xml:space="preserve">Dependencies: </w:t>
      </w:r>
      <w:r>
        <w:t xml:space="preserve">Student Onboarding &amp; Qualification Capture (as the primary intake path).</w:t>
      </w:r>
    </w:p>
    <w:p>
      <w:pPr>
        <w:spacing w:after="60" w:line="260"/>
      </w:pPr>
      <w:r>
        <w:rPr>
          <w:b/>
          <w:bCs/>
        </w:rPr>
        <w:t xml:space="preserve">Inputs: </w:t>
      </w:r>
      <w:r>
        <w:t xml:space="preserve">Onboarding uploads (documents, self-reported data); school/board/curriculum reference data; ongoing academic record updates.</w:t>
      </w:r>
    </w:p>
    <w:p>
      <w:pPr>
        <w:spacing w:after="60" w:line="260"/>
      </w:pPr>
      <w:r>
        <w:rPr>
          <w:b/>
          <w:bCs/>
        </w:rPr>
        <w:t xml:space="preserve">Outputs: </w:t>
      </w:r>
      <w:r>
        <w:t xml:space="preserve">A trustworthy academic context object consumed by every downstream intelligence capability.</w:t>
      </w:r>
    </w:p>
    <w:p>
      <w:pPr>
        <w:spacing w:after="60" w:line="260"/>
      </w:pPr>
      <w:r>
        <w:rPr>
          <w:b/>
          <w:bCs/>
        </w:rPr>
        <w:t xml:space="preserve">KPIs: </w:t>
      </w:r>
      <w:r>
        <w:t xml:space="preserve">Profile completeness rate; data freshness; downstream consumer error rate attributable to stale/incomplete profile data.</w:t>
      </w:r>
    </w:p>
    <w:p>
      <w:pPr>
        <w:spacing w:after="60" w:line="260"/>
      </w:pPr>
      <w:r>
        <w:rPr>
          <w:b/>
          <w:bCs/>
        </w:rPr>
        <w:t xml:space="preserve">Current maturity: </w:t>
      </w:r>
      <w:r>
        <w:t xml:space="preserve">Level 4 — Integrated. A fully specified, partitioned, PII-classified physical model already exists and is explicitly designed as the shared input to nine-plus downstream systems.</w:t>
      </w:r>
    </w:p>
    <w:p>
      <w:pPr>
        <w:spacing w:after="60" w:line="260"/>
      </w:pPr>
      <w:r>
        <w:rPr>
          <w:b/>
          <w:bCs/>
        </w:rPr>
        <w:t xml:space="preserve">Target maturity: </w:t>
      </w:r>
      <w:r>
        <w:t xml:space="preserve">Level 5 — Optimized, once live partner (school/university) data feeds replace self-reported-only intake for at least a meaningful subset of students.</w:t>
      </w:r>
    </w:p>
    <w:p>
      <w:pPr>
        <w:spacing w:after="60" w:line="260"/>
      </w:pPr>
      <w:r>
        <w:rPr>
          <w:b/>
          <w:bCs/>
        </w:rPr>
        <w:t xml:space="preserve">Evolution roadmap: </w:t>
      </w:r>
      <w:r>
        <w:t xml:space="preserve">Short-term: none required at the data-model level (already mature); focus is on downstream consumption quality. Medium-term: first academic-partner live data feed. Long-term: cross-institution academic context portability.</w:t>
      </w:r>
    </w:p>
    <w:p>
      <w:pPr>
        <w:spacing w:after="60" w:line="260"/>
      </w:pPr>
      <w:r>
        <w:rPr>
          <w:b/>
          <w:bCs/>
        </w:rPr>
        <w:t xml:space="preserve">Risks: </w:t>
      </w:r>
      <w:r>
        <w:t xml:space="preserve">As the single most-depended-on capability, any data-quality or availability issue here has the widest blast radius of any capability in this catalog (Section 16).</w:t>
      </w:r>
    </w:p>
    <w:p>
      <w:pPr>
        <w:spacing w:after="60" w:line="260"/>
      </w:pPr>
      <w:r>
        <w:rPr>
          <w:b/>
          <w:bCs/>
        </w:rPr>
        <w:t xml:space="preserve">Constraints: </w:t>
      </w:r>
      <w:r>
        <w:t xml:space="preserve">The predominantly-minor subject population imposes the strictest protective posture in the platform (EEP-01 Phase B) and constrains how this data may ever be shared, even internally.</w:t>
      </w:r>
    </w:p>
    <w:p>
      <w:pPr>
        <w:spacing w:after="60" w:line="260"/>
      </w:pPr>
      <w:r>
        <w:rPr>
          <w:b/>
          <w:bCs/>
        </w:rPr>
        <w:t xml:space="preserve">Future enhancements: </w:t>
      </w:r>
      <w:r>
        <w:t xml:space="preserve">Consented cross-institution profile portability if/when a student changes school or country.</w:t>
      </w:r>
    </w:p>
    <w:p>
      <w:pPr>
        <w:spacing w:after="200"/>
      </w:pPr>
    </w:p>
    <w:p>
      <w:pPr>
        <w:pStyle w:val="Heading2"/>
        <w:spacing w:after="140" w:before="280"/>
      </w:pPr>
      <w:r>
        <w:t xml:space="preserve">7.6 Skill &amp; Knowledge Graph Management   [AI-native / Shared]</w:t>
      </w:r>
    </w:p>
    <w:p>
      <w:pPr>
        <w:spacing w:after="60" w:line="260"/>
      </w:pPr>
      <w:r>
        <w:rPr>
          <w:b/>
          <w:bCs/>
        </w:rPr>
        <w:t xml:space="preserve">Purpose: </w:t>
      </w:r>
      <w:r>
        <w:t xml:space="preserve">Maintain a living, versioned graph of skills, roles, job families, and their relationships, and track how skill demand evolves over time.</w:t>
      </w:r>
    </w:p>
    <w:p>
      <w:pPr>
        <w:spacing w:after="60" w:line="260"/>
      </w:pPr>
      <w:r>
        <w:rPr>
          <w:b/>
          <w:bCs/>
        </w:rPr>
        <w:t xml:space="preserve">Business value: </w:t>
      </w:r>
      <w:r>
        <w:t xml:space="preserve">The shared vocabulary and structure every recommendation, matching, and scoring capability depends on to compare a student against the market.</w:t>
      </w:r>
    </w:p>
    <w:p>
      <w:pPr>
        <w:spacing w:after="60" w:line="260"/>
      </w:pPr>
      <w:r>
        <w:rPr>
          <w:b/>
          <w:bCs/>
        </w:rPr>
        <w:t xml:space="preserve">Business owner (current / target): </w:t>
      </w:r>
      <w:r>
        <w:t xml:space="preserve">Current: general product/engineering ownership. Target: Knowledge Intelligence product owner.</w:t>
      </w:r>
    </w:p>
    <w:p>
      <w:pPr>
        <w:spacing w:after="60" w:line="260"/>
      </w:pPr>
      <w:r>
        <w:rPr>
          <w:b/>
          <w:bCs/>
        </w:rPr>
        <w:t xml:space="preserve">Primary stakeholders: </w:t>
      </w:r>
      <w:r>
        <w:t xml:space="preserve">Career Intelligence capability owners; Labor Market &amp; Salary Intelligence owner; (target-state) academic and employer partners who might consume the taxonomy directly.</w:t>
      </w:r>
    </w:p>
    <w:p>
      <w:pPr>
        <w:spacing w:after="60" w:line="260"/>
      </w:pPr>
      <w:r>
        <w:rPr>
          <w:b/>
          <w:bCs/>
        </w:rPr>
        <w:t xml:space="preserve">Consumers: </w:t>
      </w:r>
      <w:r>
        <w:t xml:space="preserve">Career Path Intelligence, Career Opportunity Radar, Career Health Assessment, Candidate Document Generation.</w:t>
      </w:r>
    </w:p>
    <w:p>
      <w:pPr>
        <w:spacing w:after="60" w:line="260"/>
      </w:pPr>
      <w:r>
        <w:rPr>
          <w:b/>
          <w:bCs/>
        </w:rPr>
        <w:t xml:space="preserve">Supporting domains / modules: </w:t>
      </w:r>
      <w:r>
        <w:t xml:space="preserve">Realized by core/src/modules/skillGraph, skillDemand, skill-evolution, skill-prioritization, and the populated hirerise_taxonomy.json canonical dataset.</w:t>
      </w:r>
    </w:p>
    <w:p>
      <w:pPr>
        <w:spacing w:after="60" w:line="260"/>
      </w:pPr>
      <w:r>
        <w:rPr>
          <w:b/>
          <w:bCs/>
        </w:rPr>
        <w:t xml:space="preserve">Related technical architecture (EEP-01): </w:t>
      </w:r>
      <w:r>
        <w:t xml:space="preserve">EEP-01 Phase A's taxonomy-versioning convention (every code-reference column paired with a taxonomy_version_id) is the direct technical backbone for this capability's versioning guarantee.</w:t>
      </w:r>
    </w:p>
    <w:p>
      <w:pPr>
        <w:spacing w:after="60" w:line="260"/>
      </w:pPr>
      <w:r>
        <w:rPr>
          <w:b/>
          <w:bCs/>
        </w:rPr>
        <w:t xml:space="preserve">Dependencies: </w:t>
      </w:r>
      <w:r>
        <w:t xml:space="preserve">Source &amp; Market Intelligence Curation (as an evolving-demand input).</w:t>
      </w:r>
    </w:p>
    <w:p>
      <w:pPr>
        <w:spacing w:after="60" w:line="260"/>
      </w:pPr>
      <w:r>
        <w:rPr>
          <w:b/>
          <w:bCs/>
        </w:rPr>
        <w:t xml:space="preserve">Inputs: </w:t>
      </w:r>
      <w:r>
        <w:t xml:space="preserve">Canonical taxonomy seed data; ongoing market/skill-demand signal (currently partially mock, see 2.4).</w:t>
      </w:r>
    </w:p>
    <w:p>
      <w:pPr>
        <w:spacing w:after="60" w:line="260"/>
      </w:pPr>
      <w:r>
        <w:rPr>
          <w:b/>
          <w:bCs/>
        </w:rPr>
        <w:t xml:space="preserve">Outputs: </w:t>
      </w:r>
      <w:r>
        <w:t xml:space="preserve">A versioned skill/role/job-family graph; skill-demand trend signals.</w:t>
      </w:r>
    </w:p>
    <w:p>
      <w:pPr>
        <w:spacing w:after="60" w:line="260"/>
      </w:pPr>
      <w:r>
        <w:rPr>
          <w:b/>
          <w:bCs/>
        </w:rPr>
        <w:t xml:space="preserve">KPIs: </w:t>
      </w:r>
      <w:r>
        <w:t xml:space="preserve">Taxonomy coverage (roles/skills represented vs. real-world labor market); graph freshness; consuming-capability error rate from taxonomy gaps.</w:t>
      </w:r>
    </w:p>
    <w:p>
      <w:pPr>
        <w:spacing w:after="60" w:line="260"/>
      </w:pPr>
      <w:r>
        <w:rPr>
          <w:b/>
          <w:bCs/>
        </w:rPr>
        <w:t xml:space="preserve">Current maturity: </w:t>
      </w:r>
      <w:r>
        <w:t xml:space="preserve">Level 3 — Managed. The taxonomy is populated and versioned at the data-model level; skill-evolution and skill-prioritization exist as distinct, routed modules.</w:t>
      </w:r>
    </w:p>
    <w:p>
      <w:pPr>
        <w:spacing w:after="60" w:line="260"/>
      </w:pPr>
      <w:r>
        <w:rPr>
          <w:b/>
          <w:bCs/>
        </w:rPr>
        <w:t xml:space="preserve">Target maturity: </w:t>
      </w:r>
      <w:r>
        <w:t xml:space="preserve">Level 4 — Integrated, once skill-demand evolution is driven by live market signal rather than static/seed data plus mock collection.</w:t>
      </w:r>
    </w:p>
    <w:p>
      <w:pPr>
        <w:spacing w:after="60" w:line="260"/>
      </w:pPr>
      <w:r>
        <w:rPr>
          <w:b/>
          <w:bCs/>
        </w:rPr>
        <w:t xml:space="preserve">Evolution roadmap: </w:t>
      </w:r>
      <w:r>
        <w:t xml:space="preserve">Short-term: audit taxonomy coverage against current real-world job postings. Medium-term: connect skill-demand modules to a live market feed. Long-term: crowd- or partner-sourced taxonomy expansion.</w:t>
      </w:r>
    </w:p>
    <w:p>
      <w:pPr>
        <w:spacing w:after="60" w:line="260"/>
      </w:pPr>
      <w:r>
        <w:rPr>
          <w:b/>
          <w:bCs/>
        </w:rPr>
        <w:t xml:space="preserve">Risks: </w:t>
      </w:r>
      <w:r>
        <w:t xml:space="preserve">A stale or incomplete taxonomy silently degrades every consuming capability without an obvious symptom pointing back to this one.</w:t>
      </w:r>
    </w:p>
    <w:p>
      <w:pPr>
        <w:spacing w:after="60" w:line="260"/>
      </w:pPr>
      <w:r>
        <w:rPr>
          <w:b/>
          <w:bCs/>
        </w:rPr>
        <w:t xml:space="preserve">Constraints: </w:t>
      </w:r>
      <w:r>
        <w:t xml:space="preserve">Must remain backward-compatible via versioning (per Phase A) as it evolves, since historical student records reference specific taxonomy versions.</w:t>
      </w:r>
    </w:p>
    <w:p>
      <w:pPr>
        <w:spacing w:after="60" w:line="260"/>
      </w:pPr>
      <w:r>
        <w:rPr>
          <w:b/>
          <w:bCs/>
        </w:rPr>
        <w:t xml:space="preserve">Future enhancements: </w:t>
      </w:r>
      <w:r>
        <w:t xml:space="preserve">Public taxonomy API for academic/employer partners once external partnerships exist.</w:t>
      </w:r>
    </w:p>
    <w:p>
      <w:pPr>
        <w:spacing w:after="200"/>
      </w:pPr>
    </w:p>
    <w:p>
      <w:pPr>
        <w:pStyle w:val="Heading2"/>
        <w:spacing w:after="140" w:before="280"/>
      </w:pPr>
      <w:r>
        <w:t xml:space="preserve">7.7 Labor Market &amp; Salary Intelligence   [Platform / Shared]</w:t>
      </w:r>
    </w:p>
    <w:p>
      <w:pPr>
        <w:spacing w:after="60" w:line="260"/>
      </w:pPr>
      <w:r>
        <w:rPr>
          <w:b/>
          <w:bCs/>
        </w:rPr>
        <w:t xml:space="preserve">Purpose: </w:t>
      </w:r>
      <w:r>
        <w:t xml:space="preserve">Provide current salary benchmarks and labor-market demand data to ground recommendations, matches, and scores in real-world economics.</w:t>
      </w:r>
    </w:p>
    <w:p>
      <w:pPr>
        <w:spacing w:after="60" w:line="260"/>
      </w:pPr>
      <w:r>
        <w:rPr>
          <w:b/>
          <w:bCs/>
        </w:rPr>
        <w:t xml:space="preserve">Business value: </w:t>
      </w:r>
      <w:r>
        <w:t xml:space="preserve">The credibility layer behind every dollar/rupee figure and demand claim the platform makes to a student.</w:t>
      </w:r>
    </w:p>
    <w:p>
      <w:pPr>
        <w:spacing w:after="60" w:line="260"/>
      </w:pPr>
      <w:r>
        <w:rPr>
          <w:b/>
          <w:bCs/>
        </w:rPr>
        <w:t xml:space="preserve">Business owner (current / target): </w:t>
      </w:r>
      <w:r>
        <w:t xml:space="preserve">Current: general product/engineering ownership. Target: Knowledge Intelligence product owner, shared with Employer Integration owner for feed sourcing.</w:t>
      </w:r>
    </w:p>
    <w:p>
      <w:pPr>
        <w:spacing w:after="60" w:line="260"/>
      </w:pPr>
      <w:r>
        <w:rPr>
          <w:b/>
          <w:bCs/>
        </w:rPr>
        <w:t xml:space="preserve">Primary stakeholders: </w:t>
      </w:r>
      <w:r>
        <w:t xml:space="preserve">Every Career Intelligence capability owner; (target-state) employer and job-board partners as data sources.</w:t>
      </w:r>
    </w:p>
    <w:p>
      <w:pPr>
        <w:spacing w:after="60" w:line="260"/>
      </w:pPr>
      <w:r>
        <w:rPr>
          <w:b/>
          <w:bCs/>
        </w:rPr>
        <w:t xml:space="preserve">Consumers: </w:t>
      </w:r>
      <w:r>
        <w:t xml:space="preserve">Career Path Intelligence, Career Opportunity Radar, Career Health Assessment.</w:t>
      </w:r>
    </w:p>
    <w:p>
      <w:pPr>
        <w:spacing w:after="60" w:line="260"/>
      </w:pPr>
      <w:r>
        <w:rPr>
          <w:b/>
          <w:bCs/>
        </w:rPr>
        <w:t xml:space="preserve">Supporting domains / modules: </w:t>
      </w:r>
      <w:r>
        <w:t xml:space="preserve">Realized by core/src/modules/labor-market-intelligence, marketIntelligence, salary, salaryImport; seeded by Career data/salary-benchmarks.csv datasets in the repository.</w:t>
      </w:r>
    </w:p>
    <w:p>
      <w:pPr>
        <w:spacing w:after="60" w:line="260"/>
      </w:pPr>
      <w:r>
        <w:rPr>
          <w:b/>
          <w:bCs/>
        </w:rPr>
        <w:t xml:space="preserve">Related technical architecture (EEP-01): </w:t>
      </w:r>
      <w:r>
        <w:t xml:space="preserve">EEP-01 Phase E Part 0 is the authoritative statement of this capability's current-state ceiling: mock collection, not a live partner feed.</w:t>
      </w:r>
    </w:p>
    <w:p>
      <w:pPr>
        <w:spacing w:after="60" w:line="260"/>
      </w:pPr>
      <w:r>
        <w:rPr>
          <w:b/>
          <w:bCs/>
        </w:rPr>
        <w:t xml:space="preserve">Dependencies: </w:t>
      </w:r>
      <w:r>
        <w:t xml:space="preserve">Employer Integration &amp; Opportunity Ingestion (as the eventual live-feed source); Source &amp; Market Intelligence Curation.</w:t>
      </w:r>
    </w:p>
    <w:p>
      <w:pPr>
        <w:spacing w:after="60" w:line="260"/>
      </w:pPr>
      <w:r>
        <w:rPr>
          <w:b/>
          <w:bCs/>
        </w:rPr>
        <w:t xml:space="preserve">Inputs: </w:t>
      </w:r>
      <w:r>
        <w:t xml:space="preserve">Seed CSV salary/benchmark datasets; (target-state) live employer/job-board feeds.</w:t>
      </w:r>
    </w:p>
    <w:p>
      <w:pPr>
        <w:spacing w:after="60" w:line="260"/>
      </w:pPr>
      <w:r>
        <w:rPr>
          <w:b/>
          <w:bCs/>
        </w:rPr>
        <w:t xml:space="preserve">Outputs: </w:t>
      </w:r>
      <w:r>
        <w:t xml:space="preserve">Salary benchmarks; demand signals consumed by three other capabilities.</w:t>
      </w:r>
    </w:p>
    <w:p>
      <w:pPr>
        <w:spacing w:after="60" w:line="260"/>
      </w:pPr>
      <w:r>
        <w:rPr>
          <w:b/>
          <w:bCs/>
        </w:rPr>
        <w:t xml:space="preserve">KPIs: </w:t>
      </w:r>
      <w:r>
        <w:t xml:space="preserve">Feed freshness once live; benchmark accuracy vs. independent sources; downstream capability confidence scores attributable to this input.</w:t>
      </w:r>
    </w:p>
    <w:p>
      <w:pPr>
        <w:spacing w:after="60" w:line="260"/>
      </w:pPr>
      <w:r>
        <w:rPr>
          <w:b/>
          <w:bCs/>
        </w:rPr>
        <w:t xml:space="preserve">Current maturity: </w:t>
      </w:r>
      <w:r>
        <w:t xml:space="preserve">Level 2 — Emerging. Real seed datasets and a routed module structure exist, but the live-collection mechanism is explicitly mock per Phase E.</w:t>
      </w:r>
    </w:p>
    <w:p>
      <w:pPr>
        <w:spacing w:after="60" w:line="260"/>
      </w:pPr>
      <w:r>
        <w:rPr>
          <w:b/>
          <w:bCs/>
        </w:rPr>
        <w:t xml:space="preserve">Target maturity: </w:t>
      </w:r>
      <w:r>
        <w:t xml:space="preserve">Level 4 — Integrated, gated on the same first-signed-partner-contract trigger as Employer Integration and Career Opportunity Radar.</w:t>
      </w:r>
    </w:p>
    <w:p>
      <w:pPr>
        <w:spacing w:after="60" w:line="260"/>
      </w:pPr>
      <w:r>
        <w:rPr>
          <w:b/>
          <w:bCs/>
        </w:rPr>
        <w:t xml:space="preserve">Evolution roadmap: </w:t>
      </w:r>
      <w:r>
        <w:t xml:space="preserve">Short-term: make current data provenance (seed CSV vs. live) visible internally wherever this capability's output is consumed. Medium-term: first live feed. Long-term: multi-source cross-validation.</w:t>
      </w:r>
    </w:p>
    <w:p>
      <w:pPr>
        <w:spacing w:after="60" w:line="260"/>
      </w:pPr>
      <w:r>
        <w:rPr>
          <w:b/>
          <w:bCs/>
        </w:rPr>
        <w:t xml:space="preserve">Risks: </w:t>
      </w:r>
      <w:r>
        <w:t xml:space="preserve">This is the single highest-leverage gap in the current architecture — three strategic capabilities inherit its mock-data limitation (Section 16).</w:t>
      </w:r>
    </w:p>
    <w:p>
      <w:pPr>
        <w:spacing w:after="60" w:line="260"/>
      </w:pPr>
      <w:r>
        <w:rPr>
          <w:b/>
          <w:bCs/>
        </w:rPr>
        <w:t xml:space="preserve">Constraints: </w:t>
      </w:r>
      <w:r>
        <w:t xml:space="preserve">Salary data is jurisdiction- and currency-sensitive; the multi-country design goal already established at Phase A (data model) extends here.</w:t>
      </w:r>
    </w:p>
    <w:p>
      <w:pPr>
        <w:spacing w:after="60" w:line="260"/>
      </w:pPr>
      <w:r>
        <w:rPr>
          <w:b/>
          <w:bCs/>
        </w:rPr>
        <w:t xml:space="preserve">Future enhancements: </w:t>
      </w:r>
      <w:r>
        <w:t xml:space="preserve">Real-time salary trend alerts once a live feed exists.</w:t>
      </w:r>
    </w:p>
    <w:p>
      <w:pPr>
        <w:spacing w:after="200"/>
      </w:pPr>
    </w:p>
    <w:p>
      <w:pPr>
        <w:pStyle w:val="Heading2"/>
        <w:spacing w:after="140" w:before="280"/>
      </w:pPr>
      <w:r>
        <w:t xml:space="preserve">7.8 AI Career Advisory &amp; Agentic Orchestration   [AI-native / Strategic]</w:t>
      </w:r>
    </w:p>
    <w:p>
      <w:pPr>
        <w:spacing w:after="60" w:line="260"/>
      </w:pPr>
      <w:r>
        <w:rPr>
          <w:b/>
          <w:bCs/>
        </w:rPr>
        <w:t xml:space="preserve">Purpose: </w:t>
      </w:r>
      <w:r>
        <w:t xml:space="preserve">Deliver conversational, agentic career guidance that can reason across a student's profile, recommendations, and market data, coordinated across multiple specialized agents.</w:t>
      </w:r>
    </w:p>
    <w:p>
      <w:pPr>
        <w:spacing w:after="60" w:line="260"/>
      </w:pPr>
      <w:r>
        <w:rPr>
          <w:b/>
          <w:bCs/>
        </w:rPr>
        <w:t xml:space="preserve">Business value: </w:t>
      </w:r>
      <w:r>
        <w:t xml:space="preserve">The platform's primary AI-native differentiator — advisory depth and responsiveness a static recommendation list cannot match.</w:t>
      </w:r>
    </w:p>
    <w:p>
      <w:pPr>
        <w:spacing w:after="60" w:line="260"/>
      </w:pPr>
      <w:r>
        <w:rPr>
          <w:b/>
          <w:bCs/>
        </w:rPr>
        <w:t xml:space="preserve">Business owner (current / target): </w:t>
      </w:r>
      <w:r>
        <w:t xml:space="preserve">Current: general product/engineering ownership, with the most mature technical investment of any capability in this catalog. Target: dedicated AI Platform product owner.</w:t>
      </w:r>
    </w:p>
    <w:p>
      <w:pPr>
        <w:spacing w:after="60" w:line="260"/>
      </w:pPr>
      <w:r>
        <w:rPr>
          <w:b/>
          <w:bCs/>
        </w:rPr>
        <w:t xml:space="preserve">Primary stakeholders: </w:t>
      </w:r>
      <w:r>
        <w:t xml:space="preserve">Students; every Career Intelligence capability owner whose output the agents draw on; AI Quality &amp; Confidence Governance owner.</w:t>
      </w:r>
    </w:p>
    <w:p>
      <w:pPr>
        <w:spacing w:after="60" w:line="260"/>
      </w:pPr>
      <w:r>
        <w:rPr>
          <w:b/>
          <w:bCs/>
        </w:rPr>
        <w:t xml:space="preserve">Consumers: </w:t>
      </w:r>
      <w:r>
        <w:t xml:space="preserve">Students directly; Career Path Intelligence &amp; Recommendation (agent outputs feed recommendations).</w:t>
      </w:r>
    </w:p>
    <w:p>
      <w:pPr>
        <w:spacing w:after="60" w:line="260"/>
      </w:pPr>
      <w:r>
        <w:rPr>
          <w:b/>
          <w:bCs/>
        </w:rPr>
        <w:t xml:space="preserve">Supporting domains / modules: </w:t>
      </w:r>
      <w:r>
        <w:t xml:space="preserve">Realized by core/src/modules/ai-career-advisor, ava-memory, career-copilot's six agent classes, and careerAgentCoordinator.js.</w:t>
      </w:r>
    </w:p>
    <w:p>
      <w:pPr>
        <w:spacing w:after="60" w:line="260"/>
      </w:pPr>
      <w:r>
        <w:rPr>
          <w:b/>
          <w:bCs/>
        </w:rPr>
        <w:t xml:space="preserve">Related technical architecture (EEP-01): </w:t>
      </w:r>
      <w:r>
        <w:t xml:space="preserve">Direct realization of EEP-01 Phase F (AI &amp; Intelligent Automation Architecture), which records this capability as "materially more mature" than the rest of the codebase; also depends on Phase E's provider abstraction and circuit breaker.</w:t>
      </w:r>
    </w:p>
    <w:p>
      <w:pPr>
        <w:spacing w:after="60" w:line="260"/>
      </w:pPr>
      <w:r>
        <w:rPr>
          <w:b/>
          <w:bCs/>
        </w:rPr>
        <w:t xml:space="preserve">Dependencies: </w:t>
      </w:r>
      <w:r>
        <w:t xml:space="preserve">Skill &amp; Knowledge Graph Management; Academic Profile &amp; Context Intelligence; AI Quality &amp; Confidence Governance (for output trustworthiness).</w:t>
      </w:r>
    </w:p>
    <w:p>
      <w:pPr>
        <w:spacing w:after="60" w:line="260"/>
      </w:pPr>
      <w:r>
        <w:rPr>
          <w:b/>
          <w:bCs/>
        </w:rPr>
        <w:t xml:space="preserve">Inputs: </w:t>
      </w:r>
      <w:r>
        <w:t xml:space="preserve">Student conversation/queries; academic and career-recommendation context; memory (ava-memory) of prior interactions.</w:t>
      </w:r>
    </w:p>
    <w:p>
      <w:pPr>
        <w:spacing w:after="60" w:line="260"/>
      </w:pPr>
      <w:r>
        <w:rPr>
          <w:b/>
          <w:bCs/>
        </w:rPr>
        <w:t xml:space="preserve">Outputs: </w:t>
      </w:r>
      <w:r>
        <w:t xml:space="preserve">Conversational guidance; agent-driven task execution (e.g. opportunity search via a coordinated agent).</w:t>
      </w:r>
    </w:p>
    <w:p>
      <w:pPr>
        <w:spacing w:after="60" w:line="260"/>
      </w:pPr>
      <w:r>
        <w:rPr>
          <w:b/>
          <w:bCs/>
        </w:rPr>
        <w:t xml:space="preserve">KPIs: </w:t>
      </w:r>
      <w:r>
        <w:t xml:space="preserve">Advisory session completion rate; agent task success rate; provider fallback frequency (reliability proxy); user-reported trust/confidence.</w:t>
      </w:r>
    </w:p>
    <w:p>
      <w:pPr>
        <w:spacing w:after="60" w:line="260"/>
      </w:pPr>
      <w:r>
        <w:rPr>
          <w:b/>
          <w:bCs/>
        </w:rPr>
        <w:t xml:space="preserve">Current maturity: </w:t>
      </w:r>
      <w:r>
        <w:t xml:space="preserve">Level 4 — Integrated. Five-provider fallback already in production; six agent classes with a coordinator already run in parallel — the most advanced capability in the catalog by EEP-01 Phase F's own assessment.</w:t>
      </w:r>
    </w:p>
    <w:p>
      <w:pPr>
        <w:spacing w:after="60" w:line="260"/>
      </w:pPr>
      <w:r>
        <w:rPr>
          <w:b/>
          <w:bCs/>
        </w:rPr>
        <w:t xml:space="preserve">Target maturity: </w:t>
      </w:r>
      <w:r>
        <w:t xml:space="preserve">Level 5 — Optimized, reached when agents plan their own multi-step tool sequence (full agentic autonomy) rather than executing a fixed run(), per Phase F Part 8's explicit trigger.</w:t>
      </w:r>
    </w:p>
    <w:p>
      <w:pPr>
        <w:spacing w:after="60" w:line="260"/>
      </w:pPr>
      <w:r>
        <w:rPr>
          <w:b/>
          <w:bCs/>
        </w:rPr>
        <w:t xml:space="preserve">Evolution roadmap: </w:t>
      </w:r>
      <w:r>
        <w:t xml:space="preserve">Short-term: instrument agent task success/failure as a first-class metric. Medium-term: introduce a Supervisor/handoff pattern once more than two agents need to coordinate on a single task. Long-term: dedicated AI workflow orchestration layer once more than ten distinct multi-step workflows exist (Phase F Part 0 trigger).</w:t>
      </w:r>
    </w:p>
    <w:p>
      <w:pPr>
        <w:spacing w:after="60" w:line="260"/>
      </w:pPr>
      <w:r>
        <w:rPr>
          <w:b/>
          <w:bCs/>
        </w:rPr>
        <w:t xml:space="preserve">Risks: </w:t>
      </w:r>
      <w:r>
        <w:t xml:space="preserve">Highest AI-vendor concentration risk in the catalog by virtue of being the heaviest AI consumer; also carries the platform's primary responsible-AI/explainability burden given the minor-heavy user base.</w:t>
      </w:r>
    </w:p>
    <w:p>
      <w:pPr>
        <w:spacing w:after="60" w:line="260"/>
      </w:pPr>
      <w:r>
        <w:rPr>
          <w:b/>
          <w:bCs/>
        </w:rPr>
        <w:t xml:space="preserve">Constraints: </w:t>
      </w:r>
      <w:r>
        <w:t xml:space="preserve">Bound by Phase F's governance requirements for evaluation and responsible AI, and by Phase E's provider circuit-breaker behavior during upstream outages.</w:t>
      </w:r>
    </w:p>
    <w:p>
      <w:pPr>
        <w:spacing w:after="60" w:line="260"/>
      </w:pPr>
      <w:r>
        <w:rPr>
          <w:b/>
          <w:bCs/>
        </w:rPr>
        <w:t xml:space="preserve">Future enhancements: </w:t>
      </w:r>
      <w:r>
        <w:t xml:space="preserve">Full autonomous multi-agent planning; proactive (not only reactive) advisory triggers tied to Career Health Assessment score changes.</w:t>
      </w:r>
    </w:p>
    <w:p>
      <w:pPr>
        <w:spacing w:after="200"/>
      </w:pPr>
    </w:p>
    <w:p>
      <w:pPr>
        <w:pStyle w:val="Heading2"/>
        <w:spacing w:after="140" w:before="280"/>
      </w:pPr>
      <w:r>
        <w:t xml:space="preserve">7.9 Candidate Document Generation   [Operational / Core]</w:t>
      </w:r>
    </w:p>
    <w:p>
      <w:pPr>
        <w:spacing w:after="60" w:line="260"/>
      </w:pPr>
      <w:r>
        <w:rPr>
          <w:b/>
          <w:bCs/>
        </w:rPr>
        <w:t xml:space="preserve">Purpose: </w:t>
      </w:r>
      <w:r>
        <w:t xml:space="preserve">Generate and refine the concrete application artifacts (resumes, cover letters) a student needs to act on a recommendation or opportunity.</w:t>
      </w:r>
    </w:p>
    <w:p>
      <w:pPr>
        <w:spacing w:after="60" w:line="260"/>
      </w:pPr>
      <w:r>
        <w:rPr>
          <w:b/>
          <w:bCs/>
        </w:rPr>
        <w:t xml:space="preserve">Business value: </w:t>
      </w:r>
      <w:r>
        <w:t xml:space="preserve">Closes the loop from insight to action — the capability most directly tied to a student actually applying to something.</w:t>
      </w:r>
    </w:p>
    <w:p>
      <w:pPr>
        <w:spacing w:after="60" w:line="260"/>
      </w:pPr>
      <w:r>
        <w:rPr>
          <w:b/>
          <w:bCs/>
        </w:rPr>
        <w:t xml:space="preserve">Business owner (current / target): </w:t>
      </w:r>
      <w:r>
        <w:t xml:space="preserve">Current: general product/engineering ownership. Target: Candidate Experience product owner.</w:t>
      </w:r>
    </w:p>
    <w:p>
      <w:pPr>
        <w:spacing w:after="60" w:line="260"/>
      </w:pPr>
      <w:r>
        <w:rPr>
          <w:b/>
          <w:bCs/>
        </w:rPr>
        <w:t xml:space="preserve">Primary stakeholders: </w:t>
      </w:r>
      <w:r>
        <w:t xml:space="preserve">Students; Career Path Intelligence and Career Opportunity Radar owners (as upstream context providers).</w:t>
      </w:r>
    </w:p>
    <w:p>
      <w:pPr>
        <w:spacing w:after="60" w:line="260"/>
      </w:pPr>
      <w:r>
        <w:rPr>
          <w:b/>
          <w:bCs/>
        </w:rPr>
        <w:t xml:space="preserve">Consumers: </w:t>
      </w:r>
      <w:r>
        <w:t xml:space="preserve">Students directly, at the point of application.</w:t>
      </w:r>
    </w:p>
    <w:p>
      <w:pPr>
        <w:spacing w:after="60" w:line="260"/>
      </w:pPr>
      <w:r>
        <w:rPr>
          <w:b/>
          <w:bCs/>
        </w:rPr>
        <w:t xml:space="preserve">Supporting domains / modules: </w:t>
      </w:r>
      <w:r>
        <w:t xml:space="preserve">Realized by core/src/modules/resume, coverLetter, resumeGrowth, and core/src/services/resumeParser; front/src/components/resume and hooks/mutations/useUploadResume.ts on the client.</w:t>
      </w:r>
    </w:p>
    <w:p>
      <w:pPr>
        <w:spacing w:after="60" w:line="260"/>
      </w:pPr>
      <w:r>
        <w:rPr>
          <w:b/>
          <w:bCs/>
        </w:rPr>
        <w:t xml:space="preserve">Related technical architecture (EEP-01): </w:t>
      </w:r>
      <w:r>
        <w:t xml:space="preserve">Depends on EEP-01 Phase F's AI provider layer for generation quality and Phase E for the underlying API calls.</w:t>
      </w:r>
    </w:p>
    <w:p>
      <w:pPr>
        <w:spacing w:after="60" w:line="260"/>
      </w:pPr>
      <w:r>
        <w:rPr>
          <w:b/>
          <w:bCs/>
        </w:rPr>
        <w:t xml:space="preserve">Dependencies: </w:t>
      </w:r>
      <w:r>
        <w:t xml:space="preserve">Academic Profile &amp; Context Intelligence; Career Path Intelligence &amp; Recommendation (for role-targeted tailoring).</w:t>
      </w:r>
    </w:p>
    <w:p>
      <w:pPr>
        <w:spacing w:after="60" w:line="260"/>
      </w:pPr>
      <w:r>
        <w:rPr>
          <w:b/>
          <w:bCs/>
        </w:rPr>
        <w:t xml:space="preserve">Inputs: </w:t>
      </w:r>
      <w:r>
        <w:t xml:space="preserve">Uploaded/parsed resume content; academic and skill profile; target role or opportunity context.</w:t>
      </w:r>
    </w:p>
    <w:p>
      <w:pPr>
        <w:spacing w:after="60" w:line="260"/>
      </w:pPr>
      <w:r>
        <w:rPr>
          <w:b/>
          <w:bCs/>
        </w:rPr>
        <w:t xml:space="preserve">Outputs: </w:t>
      </w:r>
      <w:r>
        <w:t xml:space="preserve">Generated or refined resume and cover letter artifacts; growth suggestions (resumeGrowth).</w:t>
      </w:r>
    </w:p>
    <w:p>
      <w:pPr>
        <w:spacing w:after="60" w:line="260"/>
      </w:pPr>
      <w:r>
        <w:rPr>
          <w:b/>
          <w:bCs/>
        </w:rPr>
        <w:t xml:space="preserve">KPIs: </w:t>
      </w:r>
      <w:r>
        <w:t xml:space="preserve">Document generation completion rate; edit-and-export rate; downstream application rate after generation.</w:t>
      </w:r>
    </w:p>
    <w:p>
      <w:pPr>
        <w:spacing w:after="60" w:line="260"/>
      </w:pPr>
      <w:r>
        <w:rPr>
          <w:b/>
          <w:bCs/>
        </w:rPr>
        <w:t xml:space="preserve">Current maturity: </w:t>
      </w:r>
      <w:r>
        <w:t xml:space="preserve">Level 3 — Managed. Both intake (parsing) and generation (resume, coverLetter) sides are implemented with dedicated routing layers described in-code as "production-grade."</w:t>
      </w:r>
    </w:p>
    <w:p>
      <w:pPr>
        <w:spacing w:after="60" w:line="260"/>
      </w:pPr>
      <w:r>
        <w:rPr>
          <w:b/>
          <w:bCs/>
        </w:rPr>
        <w:t xml:space="preserve">Target maturity: </w:t>
      </w:r>
      <w:r>
        <w:t xml:space="preserve">Level 4 — Integrated, once document generation is explicitly grounded in live opportunity requirements (dependent on Career Opportunity Radar reaching Level 4).</w:t>
      </w:r>
    </w:p>
    <w:p>
      <w:pPr>
        <w:spacing w:after="60" w:line="260"/>
      </w:pPr>
      <w:r>
        <w:rPr>
          <w:b/>
          <w:bCs/>
        </w:rPr>
        <w:t xml:space="preserve">Evolution roadmap: </w:t>
      </w:r>
      <w:r>
        <w:t xml:space="preserve">Short-term: measure edit-and-export rate as a proxy for generation quality. Medium-term: role-specific tailoring once live opportunity data exists. Long-term: multi-format export (portfolio, LinkedIn-style profile) beyond resume/cover letter.</w:t>
      </w:r>
    </w:p>
    <w:p>
      <w:pPr>
        <w:spacing w:after="60" w:line="260"/>
      </w:pPr>
      <w:r>
        <w:rPr>
          <w:b/>
          <w:bCs/>
        </w:rPr>
        <w:t xml:space="preserve">Risks: </w:t>
      </w:r>
      <w:r>
        <w:t xml:space="preserve">Generated content quality is only as good as the AI provider currently serving the request; fallback-chain provider switches could produce visible quality variance.</w:t>
      </w:r>
    </w:p>
    <w:p>
      <w:pPr>
        <w:spacing w:after="60" w:line="260"/>
      </w:pPr>
      <w:r>
        <w:rPr>
          <w:b/>
          <w:bCs/>
        </w:rPr>
        <w:t xml:space="preserve">Constraints: </w:t>
      </w:r>
      <w:r>
        <w:t xml:space="preserve">Must respect the same minor-protective data-handling posture as the profile data it draws on.</w:t>
      </w:r>
    </w:p>
    <w:p>
      <w:pPr>
        <w:spacing w:after="60" w:line="260"/>
      </w:pPr>
      <w:r>
        <w:rPr>
          <w:b/>
          <w:bCs/>
        </w:rPr>
        <w:t xml:space="preserve">Future enhancements: </w:t>
      </w:r>
      <w:r>
        <w:t xml:space="preserve">Direct one-click apply once Employer Integration supports it.</w:t>
      </w:r>
    </w:p>
    <w:p>
      <w:pPr>
        <w:spacing w:after="200"/>
      </w:pPr>
    </w:p>
    <w:p>
      <w:pPr>
        <w:pStyle w:val="Heading2"/>
        <w:spacing w:after="140" w:before="280"/>
      </w:pPr>
      <w:r>
        <w:t xml:space="preserve">7.10 Employer Integration &amp; Opportunity Ingestion   [Future / Strategic (lowest current maturity)]</w:t>
      </w:r>
    </w:p>
    <w:p>
      <w:pPr>
        <w:spacing w:after="60" w:line="260"/>
      </w:pPr>
      <w:r>
        <w:rPr>
          <w:b/>
          <w:bCs/>
        </w:rPr>
        <w:t xml:space="preserve">Purpose: </w:t>
      </w:r>
      <w:r>
        <w:t xml:space="preserve">Bring real employers, job boards, and opportunity data into the platform as live, structured feeds, and eventually as a two-sided marketplace capability.</w:t>
      </w:r>
    </w:p>
    <w:p>
      <w:pPr>
        <w:spacing w:after="60" w:line="260"/>
      </w:pPr>
      <w:r>
        <w:rPr>
          <w:b/>
          <w:bCs/>
        </w:rPr>
        <w:t xml:space="preserve">Business value: </w:t>
      </w:r>
      <w:r>
        <w:t xml:space="preserve">Unlocks the monetizable, two-sided-market version of HireRise's strategy; currently the single largest gap between strategic ambition and implemented reality.</w:t>
      </w:r>
    </w:p>
    <w:p>
      <w:pPr>
        <w:spacing w:after="60" w:line="260"/>
      </w:pPr>
      <w:r>
        <w:rPr>
          <w:b/>
          <w:bCs/>
        </w:rPr>
        <w:t xml:space="preserve">Business owner (current / target): </w:t>
      </w:r>
      <w:r>
        <w:t xml:space="preserve">Current: general product/engineering ownership; no dedicated Employer product function exists yet. Target: dedicated Employer product owner once first partner is signed.</w:t>
      </w:r>
    </w:p>
    <w:p>
      <w:pPr>
        <w:spacing w:after="60" w:line="260"/>
      </w:pPr>
      <w:r>
        <w:rPr>
          <w:b/>
          <w:bCs/>
        </w:rPr>
        <w:t xml:space="preserve">Primary stakeholders: </w:t>
      </w:r>
      <w:r>
        <w:t xml:space="preserve">Employers (target-state); job boards (target-state); every Career Intelligence capability that consumes opportunity/market data.</w:t>
      </w:r>
    </w:p>
    <w:p>
      <w:pPr>
        <w:spacing w:after="60" w:line="260"/>
      </w:pPr>
      <w:r>
        <w:rPr>
          <w:b/>
          <w:bCs/>
        </w:rPr>
        <w:t xml:space="preserve">Consumers: </w:t>
      </w:r>
      <w:r>
        <w:t xml:space="preserve">Career Opportunity Radar; Labor Market &amp; Salary Intelligence; (target-state) employers themselves as direct users.</w:t>
      </w:r>
    </w:p>
    <w:p>
      <w:pPr>
        <w:spacing w:after="60" w:line="260"/>
      </w:pPr>
      <w:r>
        <w:rPr>
          <w:b/>
          <w:bCs/>
        </w:rPr>
        <w:t xml:space="preserve">Supporting domains / modules: </w:t>
      </w:r>
      <w:r>
        <w:t xml:space="preserve">Realized by core/src/modules/employer and opportunities, currently described in-code as an "Employer Integration Layer" ahead of any live integration existing.</w:t>
      </w:r>
    </w:p>
    <w:p>
      <w:pPr>
        <w:spacing w:after="60" w:line="260"/>
      </w:pPr>
      <w:r>
        <w:rPr>
          <w:b/>
          <w:bCs/>
        </w:rPr>
        <w:t xml:space="preserve">Related technical architecture (EEP-01): </w:t>
      </w:r>
      <w:r>
        <w:t xml:space="preserve">EEP-01 Phase E is explicit and authoritative here: "None exist yet — labor-market data collection is currently mock... First signed partner contract" is the named trigger for target state.</w:t>
      </w:r>
    </w:p>
    <w:p>
      <w:pPr>
        <w:spacing w:after="60" w:line="260"/>
      </w:pPr>
      <w:r>
        <w:rPr>
          <w:b/>
          <w:bCs/>
        </w:rPr>
        <w:t xml:space="preserve">Dependencies: </w:t>
      </w:r>
      <w:r>
        <w:t xml:space="preserve">None upstream (this is a source capability); everything in Section 7.4 and 7.7 depends on it.</w:t>
      </w:r>
    </w:p>
    <w:p>
      <w:pPr>
        <w:spacing w:after="60" w:line="260"/>
      </w:pPr>
      <w:r>
        <w:rPr>
          <w:b/>
          <w:bCs/>
        </w:rPr>
        <w:t xml:space="preserve">Inputs: </w:t>
      </w:r>
      <w:r>
        <w:t xml:space="preserve">(Target-state) employer/job-board partner feeds and self-service postings.</w:t>
      </w:r>
    </w:p>
    <w:p>
      <w:pPr>
        <w:spacing w:after="60" w:line="260"/>
      </w:pPr>
      <w:r>
        <w:rPr>
          <w:b/>
          <w:bCs/>
        </w:rPr>
        <w:t xml:space="preserve">Outputs: </w:t>
      </w:r>
      <w:r>
        <w:t xml:space="preserve">Structured opportunity data consumed by Career Opportunity Radar and Labor Market &amp; Salary Intelligence.</w:t>
      </w:r>
    </w:p>
    <w:p>
      <w:pPr>
        <w:spacing w:after="60" w:line="260"/>
      </w:pPr>
      <w:r>
        <w:rPr>
          <w:b/>
          <w:bCs/>
        </w:rPr>
        <w:t xml:space="preserve">KPIs: </w:t>
      </w:r>
      <w:r>
        <w:t xml:space="preserve">Number of live partner integrations; feed volume and freshness; opportunity-to-application conversion once live.</w:t>
      </w:r>
    </w:p>
    <w:p>
      <w:pPr>
        <w:spacing w:after="60" w:line="260"/>
      </w:pPr>
      <w:r>
        <w:rPr>
          <w:b/>
          <w:bCs/>
        </w:rPr>
        <w:t xml:space="preserve">Current maturity: </w:t>
      </w:r>
      <w:r>
        <w:t xml:space="preserve">Level 1 — Initial. A named module and routing layer exist, but no live external integration is evidenced anywhere in the repository.</w:t>
      </w:r>
    </w:p>
    <w:p>
      <w:pPr>
        <w:spacing w:after="60" w:line="260"/>
      </w:pPr>
      <w:r>
        <w:rPr>
          <w:b/>
          <w:bCs/>
        </w:rPr>
        <w:t xml:space="preserve">Target maturity: </w:t>
      </w:r>
      <w:r>
        <w:t xml:space="preserve">Level 3 — Managed, at first signed partner contract (explicit EEP-01 trigger); Level 4+ requires multiple concurrent live partners.</w:t>
      </w:r>
    </w:p>
    <w:p>
      <w:pPr>
        <w:spacing w:after="60" w:line="260"/>
      </w:pPr>
      <w:r>
        <w:rPr>
          <w:b/>
          <w:bCs/>
        </w:rPr>
        <w:t xml:space="preserve">Evolution roadmap: </w:t>
      </w:r>
      <w:r>
        <w:t xml:space="preserve">Short-term: define the minimum viable partner integration contract (data shape, SLA) ahead of the first real partner conversation. Medium-term: first live integration. Long-term: self-service employer posting and a two-sided marketplace.</w:t>
      </w:r>
    </w:p>
    <w:p>
      <w:pPr>
        <w:spacing w:after="60" w:line="260"/>
      </w:pPr>
      <w:r>
        <w:rPr>
          <w:b/>
          <w:bCs/>
        </w:rPr>
        <w:t xml:space="preserve">Risks: </w:t>
      </w:r>
      <w:r>
        <w:t xml:space="preserve">The single largest strategic-vs-actual gap in the platform; every downstream claim of "real labor market data" is currently unsupported until this capability activates (Section 16).</w:t>
      </w:r>
    </w:p>
    <w:p>
      <w:pPr>
        <w:spacing w:after="60" w:line="260"/>
      </w:pPr>
      <w:r>
        <w:rPr>
          <w:b/>
          <w:bCs/>
        </w:rPr>
        <w:t xml:space="preserve">Constraints: </w:t>
      </w:r>
      <w:r>
        <w:t xml:space="preserve">Entirely external-dependency-gated — no amount of internal engineering effort alone closes this gap without an actual signed partner.</w:t>
      </w:r>
    </w:p>
    <w:p>
      <w:pPr>
        <w:spacing w:after="60" w:line="260"/>
      </w:pPr>
      <w:r>
        <w:rPr>
          <w:b/>
          <w:bCs/>
        </w:rPr>
        <w:t xml:space="preserve">Future enhancements: </w:t>
      </w:r>
      <w:r>
        <w:t xml:space="preserve">Employer-side dashboards, applicant screening tools, and eventually a symmetric employer-facing Career Digital Twin-style feature once volume justifies it.</w:t>
      </w:r>
    </w:p>
    <w:p>
      <w:pPr>
        <w:spacing w:after="200"/>
      </w:pPr>
    </w:p>
    <w:p>
      <w:pPr>
        <w:pStyle w:val="Heading2"/>
        <w:spacing w:after="140" w:before="280"/>
      </w:pPr>
      <w:r>
        <w:t xml:space="preserve">7.11 Supporting, Shared, Platform &amp; Governance Capabilities (Summary Profiles)</w:t>
      </w:r>
    </w:p>
    <w:p>
      <w:pPr>
        <w:spacing w:after="160" w:line="276"/>
      </w:pPr>
      <w:r>
        <w:t xml:space="preserve">These capabilities support the Tier-1 catalog above rather than carrying primary strategic differentiation. Each is real and evidenced in the repository; profiles are condensed to the fields most decision-relevant at this tier.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650"/>
        <w:gridCol w:w="1300"/>
        <w:gridCol w:w="1650"/>
        <w:gridCol w:w="900"/>
        <w:gridCol w:w="900"/>
      </w:tblGrid>
      <w:tr>
        <w:trPr>
          <w:tblHeader/>
        </w:trPr>
        <w:tc>
          <w:tcPr>
            <w:tcW w:type="dxa" w:w="2350"/>
            <w:shd w:fill="1F3B57" w:val="clear"/>
            <w:tcMar>
              <w:top w:type="dxa" w:w="80"/>
              <w:left w:type="dxa" w:w="100"/>
              <w:bottom w:type="dxa" w:w="80"/>
              <w:right w:type="dxa" w:w="100"/>
            </w:tcMar>
            <w:vAlign w:val="center"/>
          </w:tcPr>
          <w:p>
            <w:r>
              <w:rPr>
                <w:b/>
                <w:bCs/>
                <w:color w:val="FFFFFF"/>
                <w:sz w:val="19"/>
                <w:szCs w:val="19"/>
              </w:rPr>
              <w:t xml:space="preserve">Capability</w:t>
            </w:r>
          </w:p>
        </w:tc>
        <w:tc>
          <w:tcPr>
            <w:tcW w:type="dxa" w:w="2650"/>
            <w:shd w:fill="1F3B57" w:val="clear"/>
            <w:tcMar>
              <w:top w:type="dxa" w:w="80"/>
              <w:left w:type="dxa" w:w="100"/>
              <w:bottom w:type="dxa" w:w="80"/>
              <w:right w:type="dxa" w:w="100"/>
            </w:tcMar>
            <w:vAlign w:val="center"/>
          </w:tcPr>
          <w:p>
            <w:r>
              <w:rPr>
                <w:b/>
                <w:bCs/>
                <w:color w:val="FFFFFF"/>
                <w:sz w:val="19"/>
                <w:szCs w:val="19"/>
              </w:rPr>
              <w:t xml:space="preserve">Purpose</w:t>
            </w:r>
          </w:p>
        </w:tc>
        <w:tc>
          <w:tcPr>
            <w:tcW w:type="dxa" w:w="1300"/>
            <w:shd w:fill="1F3B57" w:val="clear"/>
            <w:tcMar>
              <w:top w:type="dxa" w:w="80"/>
              <w:left w:type="dxa" w:w="100"/>
              <w:bottom w:type="dxa" w:w="80"/>
              <w:right w:type="dxa" w:w="100"/>
            </w:tcMar>
            <w:vAlign w:val="center"/>
          </w:tcPr>
          <w:p>
            <w:r>
              <w:rPr>
                <w:b/>
                <w:bCs/>
                <w:color w:val="FFFFFF"/>
                <w:sz w:val="19"/>
                <w:szCs w:val="19"/>
              </w:rPr>
              <w:t xml:space="preserve">Owner (current)</w:t>
            </w:r>
          </w:p>
        </w:tc>
        <w:tc>
          <w:tcPr>
            <w:tcW w:type="dxa" w:w="1650"/>
            <w:shd w:fill="1F3B57" w:val="clear"/>
            <w:tcMar>
              <w:top w:type="dxa" w:w="80"/>
              <w:left w:type="dxa" w:w="100"/>
              <w:bottom w:type="dxa" w:w="80"/>
              <w:right w:type="dxa" w:w="100"/>
            </w:tcMar>
            <w:vAlign w:val="center"/>
          </w:tcPr>
          <w:p>
            <w:r>
              <w:rPr>
                <w:b/>
                <w:bCs/>
                <w:color w:val="FFFFFF"/>
                <w:sz w:val="19"/>
                <w:szCs w:val="19"/>
              </w:rPr>
              <w:t xml:space="preserve">Key consumers</w:t>
            </w:r>
          </w:p>
        </w:tc>
        <w:tc>
          <w:tcPr>
            <w:tcW w:type="dxa" w:w="900"/>
            <w:shd w:fill="1F3B57" w:val="clear"/>
            <w:tcMar>
              <w:top w:type="dxa" w:w="80"/>
              <w:left w:type="dxa" w:w="100"/>
              <w:bottom w:type="dxa" w:w="80"/>
              <w:right w:type="dxa" w:w="100"/>
            </w:tcMar>
            <w:vAlign w:val="center"/>
          </w:tcPr>
          <w:p>
            <w:r>
              <w:rPr>
                <w:b/>
                <w:bCs/>
                <w:color w:val="FFFFFF"/>
                <w:sz w:val="19"/>
                <w:szCs w:val="19"/>
              </w:rPr>
              <w:t xml:space="preserve">Current maturity</w:t>
            </w:r>
          </w:p>
        </w:tc>
        <w:tc>
          <w:tcPr>
            <w:tcW w:type="dxa" w:w="900"/>
            <w:shd w:fill="1F3B57" w:val="clear"/>
            <w:tcMar>
              <w:top w:type="dxa" w:w="80"/>
              <w:left w:type="dxa" w:w="100"/>
              <w:bottom w:type="dxa" w:w="80"/>
              <w:right w:type="dxa" w:w="100"/>
            </w:tcMar>
            <w:vAlign w:val="center"/>
          </w:tcPr>
          <w:p>
            <w:r>
              <w:rPr>
                <w:b/>
                <w:bCs/>
                <w:color w:val="FFFFFF"/>
                <w:sz w:val="19"/>
                <w:szCs w:val="19"/>
              </w:rPr>
              <w:t xml:space="preserve">Target maturity</w:t>
            </w:r>
          </w:p>
        </w:tc>
      </w:tr>
      <w:tr>
        <w:tc>
          <w:tcPr>
            <w:tcW w:type="dxa" w:w="2350"/>
            <w:tcMar>
              <w:top w:type="dxa" w:w="80"/>
              <w:left w:type="dxa" w:w="100"/>
              <w:bottom w:type="dxa" w:w="80"/>
              <w:right w:type="dxa" w:w="100"/>
            </w:tcMar>
            <w:vAlign w:val="center"/>
          </w:tcPr>
          <w:p>
            <w:r>
              <w:rPr>
                <w:b w:val="false"/>
                <w:bCs w:val="false"/>
                <w:sz w:val="19"/>
                <w:szCs w:val="19"/>
              </w:rPr>
              <w:t xml:space="preserve">Student Onboarding &amp; Qualification Capture</w:t>
            </w:r>
          </w:p>
        </w:tc>
        <w:tc>
          <w:tcPr>
            <w:tcW w:type="dxa" w:w="2650"/>
            <w:tcMar>
              <w:top w:type="dxa" w:w="80"/>
              <w:left w:type="dxa" w:w="100"/>
              <w:bottom w:type="dxa" w:w="80"/>
              <w:right w:type="dxa" w:w="100"/>
            </w:tcMar>
            <w:vAlign w:val="center"/>
          </w:tcPr>
          <w:p>
            <w:r>
              <w:rPr>
                <w:b w:val="false"/>
                <w:bCs w:val="false"/>
                <w:sz w:val="19"/>
                <w:szCs w:val="19"/>
              </w:rPr>
              <w:t xml:space="preserve">Structured intake of documents, qualifications, and step-ordered onboarding.</w:t>
            </w:r>
          </w:p>
        </w:tc>
        <w:tc>
          <w:tcPr>
            <w:tcW w:type="dxa" w:w="1300"/>
            <w:tcMar>
              <w:top w:type="dxa" w:w="80"/>
              <w:left w:type="dxa" w:w="100"/>
              <w:bottom w:type="dxa" w:w="80"/>
              <w:right w:type="dxa" w:w="100"/>
            </w:tcMar>
            <w:vAlign w:val="center"/>
          </w:tcPr>
          <w:p>
            <w:r>
              <w:rPr>
                <w:b w:val="false"/>
                <w:bCs w:val="false"/>
                <w:sz w:val="19"/>
                <w:szCs w:val="19"/>
              </w:rPr>
              <w:t xml:space="preserve">Product/Eng (general)</w:t>
            </w:r>
          </w:p>
        </w:tc>
        <w:tc>
          <w:tcPr>
            <w:tcW w:type="dxa" w:w="1650"/>
            <w:tcMar>
              <w:top w:type="dxa" w:w="80"/>
              <w:left w:type="dxa" w:w="100"/>
              <w:bottom w:type="dxa" w:w="80"/>
              <w:right w:type="dxa" w:w="100"/>
            </w:tcMar>
            <w:vAlign w:val="center"/>
          </w:tcPr>
          <w:p>
            <w:r>
              <w:rPr>
                <w:b w:val="false"/>
                <w:bCs w:val="false"/>
                <w:sz w:val="19"/>
                <w:szCs w:val="19"/>
              </w:rPr>
              <w:t xml:space="preserve">Academic Profile &amp; Context Intelligence</w:t>
            </w:r>
          </w:p>
        </w:tc>
        <w:tc>
          <w:tcPr>
            <w:tcW w:type="dxa" w:w="900"/>
            <w:tcMar>
              <w:top w:type="dxa" w:w="80"/>
              <w:left w:type="dxa" w:w="100"/>
              <w:bottom w:type="dxa" w:w="80"/>
              <w:right w:type="dxa" w:w="100"/>
            </w:tcMar>
            <w:vAlign w:val="center"/>
          </w:tcPr>
          <w:p>
            <w:r>
              <w:rPr>
                <w:b w:val="false"/>
                <w:bCs w:val="false"/>
                <w:sz w:val="19"/>
                <w:szCs w:val="19"/>
              </w:rPr>
              <w:t xml:space="preserve">L3 Managed</w:t>
            </w:r>
          </w:p>
        </w:tc>
        <w:tc>
          <w:tcPr>
            <w:tcW w:type="dxa" w:w="900"/>
            <w:tcMar>
              <w:top w:type="dxa" w:w="80"/>
              <w:left w:type="dxa" w:w="100"/>
              <w:bottom w:type="dxa" w:w="80"/>
              <w:right w:type="dxa" w:w="100"/>
            </w:tcMar>
            <w:vAlign w:val="center"/>
          </w:tcPr>
          <w:p>
            <w:r>
              <w:rPr>
                <w:b w:val="false"/>
                <w:bCs w:val="false"/>
                <w:sz w:val="19"/>
                <w:szCs w:val="19"/>
              </w:rPr>
              <w:t xml:space="preserve">L4 Integrated</w:t>
            </w:r>
          </w:p>
        </w:tc>
      </w:tr>
      <w:tr>
        <w:tc>
          <w:tcPr>
            <w:tcW w:type="dxa" w:w="2350"/>
            <w:shd w:fill="EDF2F4" w:val="clear"/>
            <w:tcMar>
              <w:top w:type="dxa" w:w="80"/>
              <w:left w:type="dxa" w:w="100"/>
              <w:bottom w:type="dxa" w:w="80"/>
              <w:right w:type="dxa" w:w="100"/>
            </w:tcMar>
            <w:vAlign w:val="center"/>
          </w:tcPr>
          <w:p>
            <w:r>
              <w:rPr>
                <w:b w:val="false"/>
                <w:bCs w:val="false"/>
                <w:sz w:val="19"/>
                <w:szCs w:val="19"/>
              </w:rPr>
              <w:t xml:space="preserve">Knowledge Runtime &amp; Context Assembly</w:t>
            </w:r>
          </w:p>
        </w:tc>
        <w:tc>
          <w:tcPr>
            <w:tcW w:type="dxa" w:w="2650"/>
            <w:shd w:fill="EDF2F4" w:val="clear"/>
            <w:tcMar>
              <w:top w:type="dxa" w:w="80"/>
              <w:left w:type="dxa" w:w="100"/>
              <w:bottom w:type="dxa" w:w="80"/>
              <w:right w:type="dxa" w:w="100"/>
            </w:tcMar>
            <w:vAlign w:val="center"/>
          </w:tcPr>
          <w:p>
            <w:r>
              <w:rPr>
                <w:b w:val="false"/>
                <w:bCs w:val="false"/>
                <w:sz w:val="19"/>
                <w:szCs w:val="19"/>
              </w:rPr>
              <w:t xml:space="preserve">Assembles versioned knowledge/context objects for AI consumption at runtime.</w:t>
            </w:r>
          </w:p>
        </w:tc>
        <w:tc>
          <w:tcPr>
            <w:tcW w:type="dxa" w:w="1300"/>
            <w:shd w:fill="EDF2F4" w:val="clear"/>
            <w:tcMar>
              <w:top w:type="dxa" w:w="80"/>
              <w:left w:type="dxa" w:w="100"/>
              <w:bottom w:type="dxa" w:w="80"/>
              <w:right w:type="dxa" w:w="100"/>
            </w:tcMar>
            <w:vAlign w:val="center"/>
          </w:tcPr>
          <w:p>
            <w:r>
              <w:rPr>
                <w:b w:val="false"/>
                <w:bCs w:val="false"/>
                <w:sz w:val="19"/>
                <w:szCs w:val="19"/>
              </w:rPr>
              <w:t xml:space="preserve">Product/Eng (general)</w:t>
            </w:r>
          </w:p>
        </w:tc>
        <w:tc>
          <w:tcPr>
            <w:tcW w:type="dxa" w:w="1650"/>
            <w:shd w:fill="EDF2F4" w:val="clear"/>
            <w:tcMar>
              <w:top w:type="dxa" w:w="80"/>
              <w:left w:type="dxa" w:w="100"/>
              <w:bottom w:type="dxa" w:w="80"/>
              <w:right w:type="dxa" w:w="100"/>
            </w:tcMar>
            <w:vAlign w:val="center"/>
          </w:tcPr>
          <w:p>
            <w:r>
              <w:rPr>
                <w:b w:val="false"/>
                <w:bCs w:val="false"/>
                <w:sz w:val="19"/>
                <w:szCs w:val="19"/>
              </w:rPr>
              <w:t xml:space="preserve">AI Career Advisory; Career Path Intelligence</w:t>
            </w:r>
          </w:p>
        </w:tc>
        <w:tc>
          <w:tcPr>
            <w:tcW w:type="dxa" w:w="900"/>
            <w:shd w:fill="EDF2F4" w:val="clear"/>
            <w:tcMar>
              <w:top w:type="dxa" w:w="80"/>
              <w:left w:type="dxa" w:w="100"/>
              <w:bottom w:type="dxa" w:w="80"/>
              <w:right w:type="dxa" w:w="100"/>
            </w:tcMar>
            <w:vAlign w:val="center"/>
          </w:tcPr>
          <w:p>
            <w:r>
              <w:rPr>
                <w:b w:val="false"/>
                <w:bCs w:val="false"/>
                <w:sz w:val="19"/>
                <w:szCs w:val="19"/>
              </w:rPr>
              <w:t xml:space="preserve">L3 Managed</w:t>
            </w:r>
          </w:p>
        </w:tc>
        <w:tc>
          <w:tcPr>
            <w:tcW w:type="dxa" w:w="900"/>
            <w:shd w:fill="EDF2F4" w:val="clear"/>
            <w:tcMar>
              <w:top w:type="dxa" w:w="80"/>
              <w:left w:type="dxa" w:w="100"/>
              <w:bottom w:type="dxa" w:w="80"/>
              <w:right w:type="dxa" w:w="100"/>
            </w:tcMar>
            <w:vAlign w:val="center"/>
          </w:tcPr>
          <w:p>
            <w:r>
              <w:rPr>
                <w:b w:val="false"/>
                <w:bCs w:val="false"/>
                <w:sz w:val="19"/>
                <w:szCs w:val="19"/>
              </w:rPr>
              <w:t xml:space="preserve">L4 Integrated</w:t>
            </w:r>
          </w:p>
        </w:tc>
      </w:tr>
      <w:tr>
        <w:tc>
          <w:tcPr>
            <w:tcW w:type="dxa" w:w="2350"/>
            <w:tcMar>
              <w:top w:type="dxa" w:w="80"/>
              <w:left w:type="dxa" w:w="100"/>
              <w:bottom w:type="dxa" w:w="80"/>
              <w:right w:type="dxa" w:w="100"/>
            </w:tcMar>
            <w:vAlign w:val="center"/>
          </w:tcPr>
          <w:p>
            <w:r>
              <w:rPr>
                <w:b w:val="false"/>
                <w:bCs w:val="false"/>
                <w:sz w:val="19"/>
                <w:szCs w:val="19"/>
              </w:rPr>
              <w:t xml:space="preserve">Source &amp; Market Intelligence Curation</w:t>
            </w:r>
          </w:p>
        </w:tc>
        <w:tc>
          <w:tcPr>
            <w:tcW w:type="dxa" w:w="2650"/>
            <w:tcMar>
              <w:top w:type="dxa" w:w="80"/>
              <w:left w:type="dxa" w:w="100"/>
              <w:bottom w:type="dxa" w:w="80"/>
              <w:right w:type="dxa" w:w="100"/>
            </w:tcMar>
            <w:vAlign w:val="center"/>
          </w:tcPr>
          <w:p>
            <w:r>
              <w:rPr>
                <w:b w:val="false"/>
                <w:bCs w:val="false"/>
                <w:sz w:val="19"/>
                <w:szCs w:val="19"/>
              </w:rPr>
              <w:t xml:space="preserve">Curates and scores the provenance/quality of external data sources feeding market intelligence.</w:t>
            </w:r>
          </w:p>
        </w:tc>
        <w:tc>
          <w:tcPr>
            <w:tcW w:type="dxa" w:w="1300"/>
            <w:tcMar>
              <w:top w:type="dxa" w:w="80"/>
              <w:left w:type="dxa" w:w="100"/>
              <w:bottom w:type="dxa" w:w="80"/>
              <w:right w:type="dxa" w:w="100"/>
            </w:tcMar>
            <w:vAlign w:val="center"/>
          </w:tcPr>
          <w:p>
            <w:r>
              <w:rPr>
                <w:b w:val="false"/>
                <w:bCs w:val="false"/>
                <w:sz w:val="19"/>
                <w:szCs w:val="19"/>
              </w:rPr>
              <w:t xml:space="preserve">Product/Eng (general)</w:t>
            </w:r>
          </w:p>
        </w:tc>
        <w:tc>
          <w:tcPr>
            <w:tcW w:type="dxa" w:w="1650"/>
            <w:tcMar>
              <w:top w:type="dxa" w:w="80"/>
              <w:left w:type="dxa" w:w="100"/>
              <w:bottom w:type="dxa" w:w="80"/>
              <w:right w:type="dxa" w:w="100"/>
            </w:tcMar>
            <w:vAlign w:val="center"/>
          </w:tcPr>
          <w:p>
            <w:r>
              <w:rPr>
                <w:b w:val="false"/>
                <w:bCs w:val="false"/>
                <w:sz w:val="19"/>
                <w:szCs w:val="19"/>
              </w:rPr>
              <w:t xml:space="preserve">Labor Market &amp; Salary Intelligence</w:t>
            </w:r>
          </w:p>
        </w:tc>
        <w:tc>
          <w:tcPr>
            <w:tcW w:type="dxa" w:w="900"/>
            <w:tcMar>
              <w:top w:type="dxa" w:w="80"/>
              <w:left w:type="dxa" w:w="100"/>
              <w:bottom w:type="dxa" w:w="80"/>
              <w:right w:type="dxa" w:w="100"/>
            </w:tcMar>
            <w:vAlign w:val="center"/>
          </w:tcPr>
          <w:p>
            <w:r>
              <w:rPr>
                <w:b w:val="false"/>
                <w:bCs w:val="false"/>
                <w:sz w:val="19"/>
                <w:szCs w:val="19"/>
              </w:rPr>
              <w:t xml:space="preserve">L2 Emerging</w:t>
            </w:r>
          </w:p>
        </w:tc>
        <w:tc>
          <w:tcPr>
            <w:tcW w:type="dxa" w:w="900"/>
            <w:tcMar>
              <w:top w:type="dxa" w:w="80"/>
              <w:left w:type="dxa" w:w="100"/>
              <w:bottom w:type="dxa" w:w="80"/>
              <w:right w:type="dxa" w:w="100"/>
            </w:tcMar>
            <w:vAlign w:val="center"/>
          </w:tcPr>
          <w:p>
            <w:r>
              <w:rPr>
                <w:b w:val="false"/>
                <w:bCs w:val="false"/>
                <w:sz w:val="19"/>
                <w:szCs w:val="19"/>
              </w:rPr>
              <w:t xml:space="preserve">L3 Managed</w:t>
            </w:r>
          </w:p>
        </w:tc>
      </w:tr>
      <w:tr>
        <w:tc>
          <w:tcPr>
            <w:tcW w:type="dxa" w:w="2350"/>
            <w:shd w:fill="EDF2F4" w:val="clear"/>
            <w:tcMar>
              <w:top w:type="dxa" w:w="80"/>
              <w:left w:type="dxa" w:w="100"/>
              <w:bottom w:type="dxa" w:w="80"/>
              <w:right w:type="dxa" w:w="100"/>
            </w:tcMar>
            <w:vAlign w:val="center"/>
          </w:tcPr>
          <w:p>
            <w:r>
              <w:rPr>
                <w:b w:val="false"/>
                <w:bCs w:val="false"/>
                <w:sz w:val="19"/>
                <w:szCs w:val="19"/>
              </w:rPr>
              <w:t xml:space="preserve">AI Personalization &amp; Adaptive Weighting</w:t>
            </w:r>
          </w:p>
        </w:tc>
        <w:tc>
          <w:tcPr>
            <w:tcW w:type="dxa" w:w="2650"/>
            <w:shd w:fill="EDF2F4" w:val="clear"/>
            <w:tcMar>
              <w:top w:type="dxa" w:w="80"/>
              <w:left w:type="dxa" w:w="100"/>
              <w:bottom w:type="dxa" w:w="80"/>
              <w:right w:type="dxa" w:w="100"/>
            </w:tcMar>
            <w:vAlign w:val="center"/>
          </w:tcPr>
          <w:p>
            <w:r>
              <w:rPr>
                <w:b w:val="false"/>
                <w:bCs w:val="false"/>
                <w:sz w:val="19"/>
                <w:szCs w:val="19"/>
              </w:rPr>
              <w:t xml:space="preserve">Tunes recommendation and scoring weights per student behavior.</w:t>
            </w:r>
          </w:p>
        </w:tc>
        <w:tc>
          <w:tcPr>
            <w:tcW w:type="dxa" w:w="1300"/>
            <w:shd w:fill="EDF2F4" w:val="clear"/>
            <w:tcMar>
              <w:top w:type="dxa" w:w="80"/>
              <w:left w:type="dxa" w:w="100"/>
              <w:bottom w:type="dxa" w:w="80"/>
              <w:right w:type="dxa" w:w="100"/>
            </w:tcMar>
            <w:vAlign w:val="center"/>
          </w:tcPr>
          <w:p>
            <w:r>
              <w:rPr>
                <w:b w:val="false"/>
                <w:bCs w:val="false"/>
                <w:sz w:val="19"/>
                <w:szCs w:val="19"/>
              </w:rPr>
              <w:t xml:space="preserve">Product/Eng (general)</w:t>
            </w:r>
          </w:p>
        </w:tc>
        <w:tc>
          <w:tcPr>
            <w:tcW w:type="dxa" w:w="1650"/>
            <w:shd w:fill="EDF2F4" w:val="clear"/>
            <w:tcMar>
              <w:top w:type="dxa" w:w="80"/>
              <w:left w:type="dxa" w:w="100"/>
              <w:bottom w:type="dxa" w:w="80"/>
              <w:right w:type="dxa" w:w="100"/>
            </w:tcMar>
            <w:vAlign w:val="center"/>
          </w:tcPr>
          <w:p>
            <w:r>
              <w:rPr>
                <w:b w:val="false"/>
                <w:bCs w:val="false"/>
                <w:sz w:val="19"/>
                <w:szCs w:val="19"/>
              </w:rPr>
              <w:t xml:space="preserve">Career Path Intelligence; Career Health Assessment</w:t>
            </w:r>
          </w:p>
        </w:tc>
        <w:tc>
          <w:tcPr>
            <w:tcW w:type="dxa" w:w="900"/>
            <w:shd w:fill="EDF2F4" w:val="clear"/>
            <w:tcMar>
              <w:top w:type="dxa" w:w="80"/>
              <w:left w:type="dxa" w:w="100"/>
              <w:bottom w:type="dxa" w:w="80"/>
              <w:right w:type="dxa" w:w="100"/>
            </w:tcMar>
            <w:vAlign w:val="center"/>
          </w:tcPr>
          <w:p>
            <w:r>
              <w:rPr>
                <w:b w:val="false"/>
                <w:bCs w:val="false"/>
                <w:sz w:val="19"/>
                <w:szCs w:val="19"/>
              </w:rPr>
              <w:t xml:space="preserve">L2 Emerging</w:t>
            </w:r>
          </w:p>
        </w:tc>
        <w:tc>
          <w:tcPr>
            <w:tcW w:type="dxa" w:w="900"/>
            <w:shd w:fill="EDF2F4" w:val="clear"/>
            <w:tcMar>
              <w:top w:type="dxa" w:w="80"/>
              <w:left w:type="dxa" w:w="100"/>
              <w:bottom w:type="dxa" w:w="80"/>
              <w:right w:type="dxa" w:w="100"/>
            </w:tcMar>
            <w:vAlign w:val="center"/>
          </w:tcPr>
          <w:p>
            <w:r>
              <w:rPr>
                <w:b w:val="false"/>
                <w:bCs w:val="false"/>
                <w:sz w:val="19"/>
                <w:szCs w:val="19"/>
              </w:rPr>
              <w:t xml:space="preserve">L4 Integrated</w:t>
            </w:r>
          </w:p>
        </w:tc>
      </w:tr>
      <w:tr>
        <w:tc>
          <w:tcPr>
            <w:tcW w:type="dxa" w:w="2350"/>
            <w:tcMar>
              <w:top w:type="dxa" w:w="80"/>
              <w:left w:type="dxa" w:w="100"/>
              <w:bottom w:type="dxa" w:w="80"/>
              <w:right w:type="dxa" w:w="100"/>
            </w:tcMar>
            <w:vAlign w:val="center"/>
          </w:tcPr>
          <w:p>
            <w:r>
              <w:rPr>
                <w:b w:val="false"/>
                <w:bCs w:val="false"/>
                <w:sz w:val="19"/>
                <w:szCs w:val="19"/>
              </w:rPr>
              <w:t xml:space="preserve">AI Quality &amp; Confidence Governance</w:t>
            </w:r>
          </w:p>
        </w:tc>
        <w:tc>
          <w:tcPr>
            <w:tcW w:type="dxa" w:w="2650"/>
            <w:tcMar>
              <w:top w:type="dxa" w:w="80"/>
              <w:left w:type="dxa" w:w="100"/>
              <w:bottom w:type="dxa" w:w="80"/>
              <w:right w:type="dxa" w:w="100"/>
            </w:tcMar>
            <w:vAlign w:val="center"/>
          </w:tcPr>
          <w:p>
            <w:r>
              <w:rPr>
                <w:b w:val="false"/>
                <w:bCs w:val="false"/>
                <w:sz w:val="19"/>
                <w:szCs w:val="19"/>
              </w:rPr>
              <w:t xml:space="preserve">Manages confidence-language, shadow evaluation, and circuit-breaking for AI outputs.</w:t>
            </w:r>
          </w:p>
        </w:tc>
        <w:tc>
          <w:tcPr>
            <w:tcW w:type="dxa" w:w="1300"/>
            <w:tcMar>
              <w:top w:type="dxa" w:w="80"/>
              <w:left w:type="dxa" w:w="100"/>
              <w:bottom w:type="dxa" w:w="80"/>
              <w:right w:type="dxa" w:w="100"/>
            </w:tcMar>
            <w:vAlign w:val="center"/>
          </w:tcPr>
          <w:p>
            <w:r>
              <w:rPr>
                <w:b w:val="false"/>
                <w:bCs w:val="false"/>
                <w:sz w:val="19"/>
                <w:szCs w:val="19"/>
              </w:rPr>
              <w:t xml:space="preserve">Product/Eng (general)</w:t>
            </w:r>
          </w:p>
        </w:tc>
        <w:tc>
          <w:tcPr>
            <w:tcW w:type="dxa" w:w="1650"/>
            <w:tcMar>
              <w:top w:type="dxa" w:w="80"/>
              <w:left w:type="dxa" w:w="100"/>
              <w:bottom w:type="dxa" w:w="80"/>
              <w:right w:type="dxa" w:w="100"/>
            </w:tcMar>
            <w:vAlign w:val="center"/>
          </w:tcPr>
          <w:p>
            <w:r>
              <w:rPr>
                <w:b w:val="false"/>
                <w:bCs w:val="false"/>
                <w:sz w:val="19"/>
                <w:szCs w:val="19"/>
              </w:rPr>
              <w:t xml:space="preserve">AI Career Advisory; Candidate Document Generation</w:t>
            </w:r>
          </w:p>
        </w:tc>
        <w:tc>
          <w:tcPr>
            <w:tcW w:type="dxa" w:w="900"/>
            <w:tcMar>
              <w:top w:type="dxa" w:w="80"/>
              <w:left w:type="dxa" w:w="100"/>
              <w:bottom w:type="dxa" w:w="80"/>
              <w:right w:type="dxa" w:w="100"/>
            </w:tcMar>
            <w:vAlign w:val="center"/>
          </w:tcPr>
          <w:p>
            <w:r>
              <w:rPr>
                <w:b w:val="false"/>
                <w:bCs w:val="false"/>
                <w:sz w:val="19"/>
                <w:szCs w:val="19"/>
              </w:rPr>
              <w:t xml:space="preserve">L3 Managed</w:t>
            </w:r>
          </w:p>
        </w:tc>
        <w:tc>
          <w:tcPr>
            <w:tcW w:type="dxa" w:w="900"/>
            <w:tcMar>
              <w:top w:type="dxa" w:w="80"/>
              <w:left w:type="dxa" w:w="100"/>
              <w:bottom w:type="dxa" w:w="80"/>
              <w:right w:type="dxa" w:w="100"/>
            </w:tcMar>
            <w:vAlign w:val="center"/>
          </w:tcPr>
          <w:p>
            <w:r>
              <w:rPr>
                <w:b w:val="false"/>
                <w:bCs w:val="false"/>
                <w:sz w:val="19"/>
                <w:szCs w:val="19"/>
              </w:rPr>
              <w:t xml:space="preserve">L4 Integrated</w:t>
            </w:r>
          </w:p>
        </w:tc>
      </w:tr>
      <w:tr>
        <w:tc>
          <w:tcPr>
            <w:tcW w:type="dxa" w:w="2350"/>
            <w:shd w:fill="EDF2F4" w:val="clear"/>
            <w:tcMar>
              <w:top w:type="dxa" w:w="80"/>
              <w:left w:type="dxa" w:w="100"/>
              <w:bottom w:type="dxa" w:w="80"/>
              <w:right w:type="dxa" w:w="100"/>
            </w:tcMar>
            <w:vAlign w:val="center"/>
          </w:tcPr>
          <w:p>
            <w:r>
              <w:rPr>
                <w:b w:val="false"/>
                <w:bCs w:val="false"/>
                <w:sz w:val="19"/>
                <w:szCs w:val="19"/>
              </w:rPr>
              <w:t xml:space="preserve">Growth &amp; Progress Tracking</w:t>
            </w:r>
          </w:p>
        </w:tc>
        <w:tc>
          <w:tcPr>
            <w:tcW w:type="dxa" w:w="2650"/>
            <w:shd w:fill="EDF2F4" w:val="clear"/>
            <w:tcMar>
              <w:top w:type="dxa" w:w="80"/>
              <w:left w:type="dxa" w:w="100"/>
              <w:bottom w:type="dxa" w:w="80"/>
              <w:right w:type="dxa" w:w="100"/>
            </w:tcMar>
            <w:vAlign w:val="center"/>
          </w:tcPr>
          <w:p>
            <w:r>
              <w:rPr>
                <w:b w:val="false"/>
                <w:bCs w:val="false"/>
                <w:sz w:val="19"/>
                <w:szCs w:val="19"/>
              </w:rPr>
              <w:t xml:space="preserve">Tracks student progress signals over time and surfaces growth suggestions.</w:t>
            </w:r>
          </w:p>
        </w:tc>
        <w:tc>
          <w:tcPr>
            <w:tcW w:type="dxa" w:w="1300"/>
            <w:shd w:fill="EDF2F4" w:val="clear"/>
            <w:tcMar>
              <w:top w:type="dxa" w:w="80"/>
              <w:left w:type="dxa" w:w="100"/>
              <w:bottom w:type="dxa" w:w="80"/>
              <w:right w:type="dxa" w:w="100"/>
            </w:tcMar>
            <w:vAlign w:val="center"/>
          </w:tcPr>
          <w:p>
            <w:r>
              <w:rPr>
                <w:b w:val="false"/>
                <w:bCs w:val="false"/>
                <w:sz w:val="19"/>
                <w:szCs w:val="19"/>
              </w:rPr>
              <w:t xml:space="preserve">Product/Eng (general)</w:t>
            </w:r>
          </w:p>
        </w:tc>
        <w:tc>
          <w:tcPr>
            <w:tcW w:type="dxa" w:w="1650"/>
            <w:shd w:fill="EDF2F4" w:val="clear"/>
            <w:tcMar>
              <w:top w:type="dxa" w:w="80"/>
              <w:left w:type="dxa" w:w="100"/>
              <w:bottom w:type="dxa" w:w="80"/>
              <w:right w:type="dxa" w:w="100"/>
            </w:tcMar>
            <w:vAlign w:val="center"/>
          </w:tcPr>
          <w:p>
            <w:r>
              <w:rPr>
                <w:b w:val="false"/>
                <w:bCs w:val="false"/>
                <w:sz w:val="19"/>
                <w:szCs w:val="19"/>
              </w:rPr>
              <w:t xml:space="preserve">Career Health Assessment; Daily Engagement</w:t>
            </w:r>
          </w:p>
        </w:tc>
        <w:tc>
          <w:tcPr>
            <w:tcW w:type="dxa" w:w="900"/>
            <w:shd w:fill="EDF2F4" w:val="clear"/>
            <w:tcMar>
              <w:top w:type="dxa" w:w="80"/>
              <w:left w:type="dxa" w:w="100"/>
              <w:bottom w:type="dxa" w:w="80"/>
              <w:right w:type="dxa" w:w="100"/>
            </w:tcMar>
            <w:vAlign w:val="center"/>
          </w:tcPr>
          <w:p>
            <w:r>
              <w:rPr>
                <w:b w:val="false"/>
                <w:bCs w:val="false"/>
                <w:sz w:val="19"/>
                <w:szCs w:val="19"/>
              </w:rPr>
              <w:t xml:space="preserve">L2 Emerging</w:t>
            </w:r>
          </w:p>
        </w:tc>
        <w:tc>
          <w:tcPr>
            <w:tcW w:type="dxa" w:w="900"/>
            <w:shd w:fill="EDF2F4" w:val="clear"/>
            <w:tcMar>
              <w:top w:type="dxa" w:w="80"/>
              <w:left w:type="dxa" w:w="100"/>
              <w:bottom w:type="dxa" w:w="80"/>
              <w:right w:type="dxa" w:w="100"/>
            </w:tcMar>
            <w:vAlign w:val="center"/>
          </w:tcPr>
          <w:p>
            <w:r>
              <w:rPr>
                <w:b w:val="false"/>
                <w:bCs w:val="false"/>
                <w:sz w:val="19"/>
                <w:szCs w:val="19"/>
              </w:rPr>
              <w:t xml:space="preserve">L3 Managed</w:t>
            </w:r>
          </w:p>
        </w:tc>
      </w:tr>
      <w:tr>
        <w:tc>
          <w:tcPr>
            <w:tcW w:type="dxa" w:w="2350"/>
            <w:tcMar>
              <w:top w:type="dxa" w:w="80"/>
              <w:left w:type="dxa" w:w="100"/>
              <w:bottom w:type="dxa" w:w="80"/>
              <w:right w:type="dxa" w:w="100"/>
            </w:tcMar>
            <w:vAlign w:val="center"/>
          </w:tcPr>
          <w:p>
            <w:r>
              <w:rPr>
                <w:b w:val="false"/>
                <w:bCs w:val="false"/>
                <w:sz w:val="19"/>
                <w:szCs w:val="19"/>
              </w:rPr>
              <w:t xml:space="preserve">Daily Engagement &amp; Conversion</w:t>
            </w:r>
          </w:p>
        </w:tc>
        <w:tc>
          <w:tcPr>
            <w:tcW w:type="dxa" w:w="2650"/>
            <w:tcMar>
              <w:top w:type="dxa" w:w="80"/>
              <w:left w:type="dxa" w:w="100"/>
              <w:bottom w:type="dxa" w:w="80"/>
              <w:right w:type="dxa" w:w="100"/>
            </w:tcMar>
            <w:vAlign w:val="center"/>
          </w:tcPr>
          <w:p>
            <w:r>
              <w:rPr>
                <w:b w:val="false"/>
                <w:bCs w:val="false"/>
                <w:sz w:val="19"/>
                <w:szCs w:val="19"/>
              </w:rPr>
              <w:t xml:space="preserve">Drives return visits and conversion from free to paid/engaged usage.</w:t>
            </w:r>
          </w:p>
        </w:tc>
        <w:tc>
          <w:tcPr>
            <w:tcW w:type="dxa" w:w="1300"/>
            <w:tcMar>
              <w:top w:type="dxa" w:w="80"/>
              <w:left w:type="dxa" w:w="100"/>
              <w:bottom w:type="dxa" w:w="80"/>
              <w:right w:type="dxa" w:w="100"/>
            </w:tcMar>
            <w:vAlign w:val="center"/>
          </w:tcPr>
          <w:p>
            <w:r>
              <w:rPr>
                <w:b w:val="false"/>
                <w:bCs w:val="false"/>
                <w:sz w:val="19"/>
                <w:szCs w:val="19"/>
              </w:rPr>
              <w:t xml:space="preserve">Product/Eng (general)</w:t>
            </w:r>
          </w:p>
        </w:tc>
        <w:tc>
          <w:tcPr>
            <w:tcW w:type="dxa" w:w="1650"/>
            <w:tcMar>
              <w:top w:type="dxa" w:w="80"/>
              <w:left w:type="dxa" w:w="100"/>
              <w:bottom w:type="dxa" w:w="80"/>
              <w:right w:type="dxa" w:w="100"/>
            </w:tcMar>
            <w:vAlign w:val="center"/>
          </w:tcPr>
          <w:p>
            <w:r>
              <w:rPr>
                <w:b w:val="false"/>
                <w:bCs w:val="false"/>
                <w:sz w:val="19"/>
                <w:szCs w:val="19"/>
              </w:rPr>
              <w:t xml:space="preserve">Growth &amp; Progress Tracking</w:t>
            </w:r>
          </w:p>
        </w:tc>
        <w:tc>
          <w:tcPr>
            <w:tcW w:type="dxa" w:w="900"/>
            <w:tcMar>
              <w:top w:type="dxa" w:w="80"/>
              <w:left w:type="dxa" w:w="100"/>
              <w:bottom w:type="dxa" w:w="80"/>
              <w:right w:type="dxa" w:w="100"/>
            </w:tcMar>
            <w:vAlign w:val="center"/>
          </w:tcPr>
          <w:p>
            <w:r>
              <w:rPr>
                <w:b w:val="false"/>
                <w:bCs w:val="false"/>
                <w:sz w:val="19"/>
                <w:szCs w:val="19"/>
              </w:rPr>
              <w:t xml:space="preserve">L2 Emerging</w:t>
            </w:r>
          </w:p>
        </w:tc>
        <w:tc>
          <w:tcPr>
            <w:tcW w:type="dxa" w:w="900"/>
            <w:tcMar>
              <w:top w:type="dxa" w:w="80"/>
              <w:left w:type="dxa" w:w="100"/>
              <w:bottom w:type="dxa" w:w="80"/>
              <w:right w:type="dxa" w:w="100"/>
            </w:tcMar>
            <w:vAlign w:val="center"/>
          </w:tcPr>
          <w:p>
            <w:r>
              <w:rPr>
                <w:b w:val="false"/>
                <w:bCs w:val="false"/>
                <w:sz w:val="19"/>
                <w:szCs w:val="19"/>
              </w:rPr>
              <w:t xml:space="preserve">L3 Managed</w:t>
            </w:r>
          </w:p>
        </w:tc>
      </w:tr>
      <w:tr>
        <w:tc>
          <w:tcPr>
            <w:tcW w:type="dxa" w:w="2350"/>
            <w:shd w:fill="EDF2F4" w:val="clear"/>
            <w:tcMar>
              <w:top w:type="dxa" w:w="80"/>
              <w:left w:type="dxa" w:w="100"/>
              <w:bottom w:type="dxa" w:w="80"/>
              <w:right w:type="dxa" w:w="100"/>
            </w:tcMar>
            <w:vAlign w:val="center"/>
          </w:tcPr>
          <w:p>
            <w:r>
              <w:rPr>
                <w:b w:val="false"/>
                <w:bCs w:val="false"/>
                <w:sz w:val="19"/>
                <w:szCs w:val="19"/>
              </w:rPr>
              <w:t xml:space="preserve">Identity, Roles &amp; Access Administration</w:t>
            </w:r>
          </w:p>
        </w:tc>
        <w:tc>
          <w:tcPr>
            <w:tcW w:type="dxa" w:w="2650"/>
            <w:shd w:fill="EDF2F4" w:val="clear"/>
            <w:tcMar>
              <w:top w:type="dxa" w:w="80"/>
              <w:left w:type="dxa" w:w="100"/>
              <w:bottom w:type="dxa" w:w="80"/>
              <w:right w:type="dxa" w:w="100"/>
            </w:tcMar>
            <w:vAlign w:val="center"/>
          </w:tcPr>
          <w:p>
            <w:r>
              <w:rPr>
                <w:b w:val="false"/>
                <w:bCs w:val="false"/>
                <w:sz w:val="19"/>
                <w:szCs w:val="19"/>
              </w:rPr>
              <w:t xml:space="preserve">Manages user identity, role assignment, and administrative access across the platform.</w:t>
            </w:r>
          </w:p>
        </w:tc>
        <w:tc>
          <w:tcPr>
            <w:tcW w:type="dxa" w:w="1300"/>
            <w:shd w:fill="EDF2F4" w:val="clear"/>
            <w:tcMar>
              <w:top w:type="dxa" w:w="80"/>
              <w:left w:type="dxa" w:w="100"/>
              <w:bottom w:type="dxa" w:w="80"/>
              <w:right w:type="dxa" w:w="100"/>
            </w:tcMar>
            <w:vAlign w:val="center"/>
          </w:tcPr>
          <w:p>
            <w:r>
              <w:rPr>
                <w:b w:val="false"/>
                <w:bCs w:val="false"/>
                <w:sz w:val="19"/>
                <w:szCs w:val="19"/>
              </w:rPr>
              <w:t xml:space="preserve">Product/Eng (general)</w:t>
            </w:r>
          </w:p>
        </w:tc>
        <w:tc>
          <w:tcPr>
            <w:tcW w:type="dxa" w:w="1650"/>
            <w:shd w:fill="EDF2F4" w:val="clear"/>
            <w:tcMar>
              <w:top w:type="dxa" w:w="80"/>
              <w:left w:type="dxa" w:w="100"/>
              <w:bottom w:type="dxa" w:w="80"/>
              <w:right w:type="dxa" w:w="100"/>
            </w:tcMar>
            <w:vAlign w:val="center"/>
          </w:tcPr>
          <w:p>
            <w:r>
              <w:rPr>
                <w:b w:val="false"/>
                <w:bCs w:val="false"/>
                <w:sz w:val="19"/>
                <w:szCs w:val="19"/>
              </w:rPr>
              <w:t xml:space="preserve">All capabilities (cross-cutting)</w:t>
            </w:r>
          </w:p>
        </w:tc>
        <w:tc>
          <w:tcPr>
            <w:tcW w:type="dxa" w:w="900"/>
            <w:shd w:fill="EDF2F4" w:val="clear"/>
            <w:tcMar>
              <w:top w:type="dxa" w:w="80"/>
              <w:left w:type="dxa" w:w="100"/>
              <w:bottom w:type="dxa" w:w="80"/>
              <w:right w:type="dxa" w:w="100"/>
            </w:tcMar>
            <w:vAlign w:val="center"/>
          </w:tcPr>
          <w:p>
            <w:r>
              <w:rPr>
                <w:b w:val="false"/>
                <w:bCs w:val="false"/>
                <w:sz w:val="19"/>
                <w:szCs w:val="19"/>
              </w:rPr>
              <w:t xml:space="preserve">L3 Managed</w:t>
            </w:r>
          </w:p>
        </w:tc>
        <w:tc>
          <w:tcPr>
            <w:tcW w:type="dxa" w:w="900"/>
            <w:shd w:fill="EDF2F4" w:val="clear"/>
            <w:tcMar>
              <w:top w:type="dxa" w:w="80"/>
              <w:left w:type="dxa" w:w="100"/>
              <w:bottom w:type="dxa" w:w="80"/>
              <w:right w:type="dxa" w:w="100"/>
            </w:tcMar>
            <w:vAlign w:val="center"/>
          </w:tcPr>
          <w:p>
            <w:r>
              <w:rPr>
                <w:b w:val="false"/>
                <w:bCs w:val="false"/>
                <w:sz w:val="19"/>
                <w:szCs w:val="19"/>
              </w:rPr>
              <w:t xml:space="preserve">L3 Managed (sufficient at current scale)</w:t>
            </w:r>
          </w:p>
        </w:tc>
      </w:tr>
      <w:tr>
        <w:tc>
          <w:tcPr>
            <w:tcW w:type="dxa" w:w="2350"/>
            <w:tcMar>
              <w:top w:type="dxa" w:w="80"/>
              <w:left w:type="dxa" w:w="100"/>
              <w:bottom w:type="dxa" w:w="80"/>
              <w:right w:type="dxa" w:w="100"/>
            </w:tcMar>
            <w:vAlign w:val="center"/>
          </w:tcPr>
          <w:p>
            <w:r>
              <w:rPr>
                <w:b w:val="false"/>
                <w:bCs w:val="false"/>
                <w:sz w:val="19"/>
                <w:szCs w:val="19"/>
              </w:rPr>
              <w:t xml:space="preserve">Platform Configuration &amp; Secrets Stewardship</w:t>
            </w:r>
          </w:p>
        </w:tc>
        <w:tc>
          <w:tcPr>
            <w:tcW w:type="dxa" w:w="2650"/>
            <w:tcMar>
              <w:top w:type="dxa" w:w="80"/>
              <w:left w:type="dxa" w:w="100"/>
              <w:bottom w:type="dxa" w:w="80"/>
              <w:right w:type="dxa" w:w="100"/>
            </w:tcMar>
            <w:vAlign w:val="center"/>
          </w:tcPr>
          <w:p>
            <w:r>
              <w:rPr>
                <w:b w:val="false"/>
                <w:bCs w:val="false"/>
                <w:sz w:val="19"/>
                <w:szCs w:val="19"/>
              </w:rPr>
              <w:t xml:space="preserve">Manages runtime configuration and secret material lifecycle for the platform.</w:t>
            </w:r>
          </w:p>
        </w:tc>
        <w:tc>
          <w:tcPr>
            <w:tcW w:type="dxa" w:w="1300"/>
            <w:tcMar>
              <w:top w:type="dxa" w:w="80"/>
              <w:left w:type="dxa" w:w="100"/>
              <w:bottom w:type="dxa" w:w="80"/>
              <w:right w:type="dxa" w:w="100"/>
            </w:tcMar>
            <w:vAlign w:val="center"/>
          </w:tcPr>
          <w:p>
            <w:r>
              <w:rPr>
                <w:b w:val="false"/>
                <w:bCs w:val="false"/>
                <w:sz w:val="19"/>
                <w:szCs w:val="19"/>
              </w:rPr>
              <w:t xml:space="preserve">Product/Eng (general)</w:t>
            </w:r>
          </w:p>
        </w:tc>
        <w:tc>
          <w:tcPr>
            <w:tcW w:type="dxa" w:w="1650"/>
            <w:tcMar>
              <w:top w:type="dxa" w:w="80"/>
              <w:left w:type="dxa" w:w="100"/>
              <w:bottom w:type="dxa" w:w="80"/>
              <w:right w:type="dxa" w:w="100"/>
            </w:tcMar>
            <w:vAlign w:val="center"/>
          </w:tcPr>
          <w:p>
            <w:r>
              <w:rPr>
                <w:b w:val="false"/>
                <w:bCs w:val="false"/>
                <w:sz w:val="19"/>
                <w:szCs w:val="19"/>
              </w:rPr>
              <w:t xml:space="preserve">All capabilities (cross-cutting)</w:t>
            </w:r>
          </w:p>
        </w:tc>
        <w:tc>
          <w:tcPr>
            <w:tcW w:type="dxa" w:w="900"/>
            <w:tcMar>
              <w:top w:type="dxa" w:w="80"/>
              <w:left w:type="dxa" w:w="100"/>
              <w:bottom w:type="dxa" w:w="80"/>
              <w:right w:type="dxa" w:w="100"/>
            </w:tcMar>
            <w:vAlign w:val="center"/>
          </w:tcPr>
          <w:p>
            <w:r>
              <w:rPr>
                <w:b w:val="false"/>
                <w:bCs w:val="false"/>
                <w:sz w:val="19"/>
                <w:szCs w:val="19"/>
              </w:rPr>
              <w:t xml:space="preserve">L2 Emerging</w:t>
            </w:r>
          </w:p>
        </w:tc>
        <w:tc>
          <w:tcPr>
            <w:tcW w:type="dxa" w:w="900"/>
            <w:tcMar>
              <w:top w:type="dxa" w:w="80"/>
              <w:left w:type="dxa" w:w="100"/>
              <w:bottom w:type="dxa" w:w="80"/>
              <w:right w:type="dxa" w:w="100"/>
            </w:tcMar>
            <w:vAlign w:val="center"/>
          </w:tcPr>
          <w:p>
            <w:r>
              <w:rPr>
                <w:b w:val="false"/>
                <w:bCs w:val="false"/>
                <w:sz w:val="19"/>
                <w:szCs w:val="19"/>
              </w:rPr>
              <w:t xml:space="preserve">L4 Integrated — see Section 16 risk note</w:t>
            </w:r>
          </w:p>
        </w:tc>
      </w:tr>
      <w:tr>
        <w:tc>
          <w:tcPr>
            <w:tcW w:type="dxa" w:w="2350"/>
            <w:shd w:fill="EDF2F4" w:val="clear"/>
            <w:tcMar>
              <w:top w:type="dxa" w:w="80"/>
              <w:left w:type="dxa" w:w="100"/>
              <w:bottom w:type="dxa" w:w="80"/>
              <w:right w:type="dxa" w:w="100"/>
            </w:tcMar>
            <w:vAlign w:val="center"/>
          </w:tcPr>
          <w:p>
            <w:r>
              <w:rPr>
                <w:b w:val="false"/>
                <w:bCs w:val="false"/>
                <w:sz w:val="19"/>
                <w:szCs w:val="19"/>
              </w:rPr>
              <w:t xml:space="preserve">User Activity &amp; Behavioral Analytics</w:t>
            </w:r>
          </w:p>
        </w:tc>
        <w:tc>
          <w:tcPr>
            <w:tcW w:type="dxa" w:w="2650"/>
            <w:shd w:fill="EDF2F4" w:val="clear"/>
            <w:tcMar>
              <w:top w:type="dxa" w:w="80"/>
              <w:left w:type="dxa" w:w="100"/>
              <w:bottom w:type="dxa" w:w="80"/>
              <w:right w:type="dxa" w:w="100"/>
            </w:tcMar>
            <w:vAlign w:val="center"/>
          </w:tcPr>
          <w:p>
            <w:r>
              <w:rPr>
                <w:b w:val="false"/>
                <w:bCs w:val="false"/>
                <w:sz w:val="19"/>
                <w:szCs w:val="19"/>
              </w:rPr>
              <w:t xml:space="preserve">Captures and reports on user behavior across the student and admin experience.</w:t>
            </w:r>
          </w:p>
        </w:tc>
        <w:tc>
          <w:tcPr>
            <w:tcW w:type="dxa" w:w="1300"/>
            <w:shd w:fill="EDF2F4" w:val="clear"/>
            <w:tcMar>
              <w:top w:type="dxa" w:w="80"/>
              <w:left w:type="dxa" w:w="100"/>
              <w:bottom w:type="dxa" w:w="80"/>
              <w:right w:type="dxa" w:w="100"/>
            </w:tcMar>
            <w:vAlign w:val="center"/>
          </w:tcPr>
          <w:p>
            <w:r>
              <w:rPr>
                <w:b w:val="false"/>
                <w:bCs w:val="false"/>
                <w:sz w:val="19"/>
                <w:szCs w:val="19"/>
              </w:rPr>
              <w:t xml:space="preserve">Product/Eng (general)</w:t>
            </w:r>
          </w:p>
        </w:tc>
        <w:tc>
          <w:tcPr>
            <w:tcW w:type="dxa" w:w="1650"/>
            <w:shd w:fill="EDF2F4" w:val="clear"/>
            <w:tcMar>
              <w:top w:type="dxa" w:w="80"/>
              <w:left w:type="dxa" w:w="100"/>
              <w:bottom w:type="dxa" w:w="80"/>
              <w:right w:type="dxa" w:w="100"/>
            </w:tcMar>
            <w:vAlign w:val="center"/>
          </w:tcPr>
          <w:p>
            <w:r>
              <w:rPr>
                <w:b w:val="false"/>
                <w:bCs w:val="false"/>
                <w:sz w:val="19"/>
                <w:szCs w:val="19"/>
              </w:rPr>
              <w:t xml:space="preserve">Daily Engagement; Growth &amp; Progress Tracking</w:t>
            </w:r>
          </w:p>
        </w:tc>
        <w:tc>
          <w:tcPr>
            <w:tcW w:type="dxa" w:w="900"/>
            <w:shd w:fill="EDF2F4" w:val="clear"/>
            <w:tcMar>
              <w:top w:type="dxa" w:w="80"/>
              <w:left w:type="dxa" w:w="100"/>
              <w:bottom w:type="dxa" w:w="80"/>
              <w:right w:type="dxa" w:w="100"/>
            </w:tcMar>
            <w:vAlign w:val="center"/>
          </w:tcPr>
          <w:p>
            <w:r>
              <w:rPr>
                <w:b w:val="false"/>
                <w:bCs w:val="false"/>
                <w:sz w:val="19"/>
                <w:szCs w:val="19"/>
              </w:rPr>
              <w:t xml:space="preserve">L3 Managed</w:t>
            </w:r>
          </w:p>
        </w:tc>
        <w:tc>
          <w:tcPr>
            <w:tcW w:type="dxa" w:w="900"/>
            <w:shd w:fill="EDF2F4" w:val="clear"/>
            <w:tcMar>
              <w:top w:type="dxa" w:w="80"/>
              <w:left w:type="dxa" w:w="100"/>
              <w:bottom w:type="dxa" w:w="80"/>
              <w:right w:type="dxa" w:w="100"/>
            </w:tcMar>
            <w:vAlign w:val="center"/>
          </w:tcPr>
          <w:p>
            <w:r>
              <w:rPr>
                <w:b w:val="false"/>
                <w:bCs w:val="false"/>
                <w:sz w:val="19"/>
                <w:szCs w:val="19"/>
              </w:rPr>
              <w:t xml:space="preserve">L3 Managed</w:t>
            </w:r>
          </w:p>
        </w:tc>
      </w:tr>
      <w:tr>
        <w:tc>
          <w:tcPr>
            <w:tcW w:type="dxa" w:w="2350"/>
            <w:tcMar>
              <w:top w:type="dxa" w:w="80"/>
              <w:left w:type="dxa" w:w="100"/>
              <w:bottom w:type="dxa" w:w="80"/>
              <w:right w:type="dxa" w:w="100"/>
            </w:tcMar>
            <w:vAlign w:val="center"/>
          </w:tcPr>
          <w:p>
            <w:r>
              <w:rPr>
                <w:b w:val="false"/>
                <w:bCs w:val="false"/>
                <w:sz w:val="19"/>
                <w:szCs w:val="19"/>
              </w:rPr>
              <w:t xml:space="preserve">Architecture &amp; Engineering Standards Conformance</w:t>
            </w:r>
          </w:p>
        </w:tc>
        <w:tc>
          <w:tcPr>
            <w:tcW w:type="dxa" w:w="2650"/>
            <w:tcMar>
              <w:top w:type="dxa" w:w="80"/>
              <w:left w:type="dxa" w:w="100"/>
              <w:bottom w:type="dxa" w:w="80"/>
              <w:right w:type="dxa" w:w="100"/>
            </w:tcMar>
            <w:vAlign w:val="center"/>
          </w:tcPr>
          <w:p>
            <w:r>
              <w:rPr>
                <w:b w:val="false"/>
                <w:bCs w:val="false"/>
                <w:sz w:val="19"/>
                <w:szCs w:val="19"/>
              </w:rPr>
              <w:t xml:space="preserve">Enforces architectural boundaries and coding standards via automated tooling.</w:t>
            </w:r>
          </w:p>
        </w:tc>
        <w:tc>
          <w:tcPr>
            <w:tcW w:type="dxa" w:w="1300"/>
            <w:tcMar>
              <w:top w:type="dxa" w:w="80"/>
              <w:left w:type="dxa" w:w="100"/>
              <w:bottom w:type="dxa" w:w="80"/>
              <w:right w:type="dxa" w:w="100"/>
            </w:tcMar>
            <w:vAlign w:val="center"/>
          </w:tcPr>
          <w:p>
            <w:r>
              <w:rPr>
                <w:b w:val="false"/>
                <w:bCs w:val="false"/>
                <w:sz w:val="19"/>
                <w:szCs w:val="19"/>
              </w:rPr>
              <w:t xml:space="preserve">Product/Eng (general)</w:t>
            </w:r>
          </w:p>
        </w:tc>
        <w:tc>
          <w:tcPr>
            <w:tcW w:type="dxa" w:w="1650"/>
            <w:tcMar>
              <w:top w:type="dxa" w:w="80"/>
              <w:left w:type="dxa" w:w="100"/>
              <w:bottom w:type="dxa" w:w="80"/>
              <w:right w:type="dxa" w:w="100"/>
            </w:tcMar>
            <w:vAlign w:val="center"/>
          </w:tcPr>
          <w:p>
            <w:r>
              <w:rPr>
                <w:b w:val="false"/>
                <w:bCs w:val="false"/>
                <w:sz w:val="19"/>
                <w:szCs w:val="19"/>
              </w:rPr>
              <w:t xml:space="preserve">All technical capability owners</w:t>
            </w:r>
          </w:p>
        </w:tc>
        <w:tc>
          <w:tcPr>
            <w:tcW w:type="dxa" w:w="900"/>
            <w:tcMar>
              <w:top w:type="dxa" w:w="80"/>
              <w:left w:type="dxa" w:w="100"/>
              <w:bottom w:type="dxa" w:w="80"/>
              <w:right w:type="dxa" w:w="100"/>
            </w:tcMar>
            <w:vAlign w:val="center"/>
          </w:tcPr>
          <w:p>
            <w:r>
              <w:rPr>
                <w:b w:val="false"/>
                <w:bCs w:val="false"/>
                <w:sz w:val="19"/>
                <w:szCs w:val="19"/>
              </w:rPr>
              <w:t xml:space="preserve">L3 Managed, with documented drift (EEP-01 Phase J)</w:t>
            </w:r>
          </w:p>
        </w:tc>
        <w:tc>
          <w:tcPr>
            <w:tcW w:type="dxa" w:w="900"/>
            <w:tcMar>
              <w:top w:type="dxa" w:w="80"/>
              <w:left w:type="dxa" w:w="100"/>
              <w:bottom w:type="dxa" w:w="80"/>
              <w:right w:type="dxa" w:w="100"/>
            </w:tcMar>
            <w:vAlign w:val="center"/>
          </w:tcPr>
          <w:p>
            <w:r>
              <w:rPr>
                <w:b w:val="false"/>
                <w:bCs w:val="false"/>
                <w:sz w:val="19"/>
                <w:szCs w:val="19"/>
              </w:rPr>
              <w:t xml:space="preserve">L4 Integrated once drift items are closed</w:t>
            </w:r>
          </w:p>
        </w:tc>
      </w:tr>
      <w:tr>
        <w:tc>
          <w:tcPr>
            <w:tcW w:type="dxa" w:w="2350"/>
            <w:shd w:fill="EDF2F4" w:val="clear"/>
            <w:tcMar>
              <w:top w:type="dxa" w:w="80"/>
              <w:left w:type="dxa" w:w="100"/>
              <w:bottom w:type="dxa" w:w="80"/>
              <w:right w:type="dxa" w:w="100"/>
            </w:tcMar>
            <w:vAlign w:val="center"/>
          </w:tcPr>
          <w:p>
            <w:r>
              <w:rPr>
                <w:b w:val="false"/>
                <w:bCs w:val="false"/>
                <w:sz w:val="19"/>
                <w:szCs w:val="19"/>
              </w:rPr>
              <w:t xml:space="preserve">Intelligence Quality &amp; Drift Monitoring</w:t>
            </w:r>
          </w:p>
        </w:tc>
        <w:tc>
          <w:tcPr>
            <w:tcW w:type="dxa" w:w="2650"/>
            <w:shd w:fill="EDF2F4" w:val="clear"/>
            <w:tcMar>
              <w:top w:type="dxa" w:w="80"/>
              <w:left w:type="dxa" w:w="100"/>
              <w:bottom w:type="dxa" w:w="80"/>
              <w:right w:type="dxa" w:w="100"/>
            </w:tcMar>
            <w:vAlign w:val="center"/>
          </w:tcPr>
          <w:p>
            <w:r>
              <w:rPr>
                <w:b w:val="false"/>
                <w:bCs w:val="false"/>
                <w:sz w:val="19"/>
                <w:szCs w:val="19"/>
              </w:rPr>
              <w:t xml:space="preserve">Monitors AI/data intelligence outputs for quality degradation and drift over time.</w:t>
            </w:r>
          </w:p>
        </w:tc>
        <w:tc>
          <w:tcPr>
            <w:tcW w:type="dxa" w:w="1300"/>
            <w:shd w:fill="EDF2F4" w:val="clear"/>
            <w:tcMar>
              <w:top w:type="dxa" w:w="80"/>
              <w:left w:type="dxa" w:w="100"/>
              <w:bottom w:type="dxa" w:w="80"/>
              <w:right w:type="dxa" w:w="100"/>
            </w:tcMar>
            <w:vAlign w:val="center"/>
          </w:tcPr>
          <w:p>
            <w:r>
              <w:rPr>
                <w:b w:val="false"/>
                <w:bCs w:val="false"/>
                <w:sz w:val="19"/>
                <w:szCs w:val="19"/>
              </w:rPr>
              <w:t xml:space="preserve">Product/Eng (general)</w:t>
            </w:r>
          </w:p>
        </w:tc>
        <w:tc>
          <w:tcPr>
            <w:tcW w:type="dxa" w:w="1650"/>
            <w:shd w:fill="EDF2F4" w:val="clear"/>
            <w:tcMar>
              <w:top w:type="dxa" w:w="80"/>
              <w:left w:type="dxa" w:w="100"/>
              <w:bottom w:type="dxa" w:w="80"/>
              <w:right w:type="dxa" w:w="100"/>
            </w:tcMar>
            <w:vAlign w:val="center"/>
          </w:tcPr>
          <w:p>
            <w:r>
              <w:rPr>
                <w:b w:val="false"/>
                <w:bCs w:val="false"/>
                <w:sz w:val="19"/>
                <w:szCs w:val="19"/>
              </w:rPr>
              <w:t xml:space="preserve">AI Quality &amp; Confidence Governance</w:t>
            </w:r>
          </w:p>
        </w:tc>
        <w:tc>
          <w:tcPr>
            <w:tcW w:type="dxa" w:w="900"/>
            <w:shd w:fill="EDF2F4" w:val="clear"/>
            <w:tcMar>
              <w:top w:type="dxa" w:w="80"/>
              <w:left w:type="dxa" w:w="100"/>
              <w:bottom w:type="dxa" w:w="80"/>
              <w:right w:type="dxa" w:w="100"/>
            </w:tcMar>
            <w:vAlign w:val="center"/>
          </w:tcPr>
          <w:p>
            <w:r>
              <w:rPr>
                <w:b w:val="false"/>
                <w:bCs w:val="false"/>
                <w:sz w:val="19"/>
                <w:szCs w:val="19"/>
              </w:rPr>
              <w:t xml:space="preserve">L2 Emerging</w:t>
            </w:r>
          </w:p>
        </w:tc>
        <w:tc>
          <w:tcPr>
            <w:tcW w:type="dxa" w:w="900"/>
            <w:shd w:fill="EDF2F4" w:val="clear"/>
            <w:tcMar>
              <w:top w:type="dxa" w:w="80"/>
              <w:left w:type="dxa" w:w="100"/>
              <w:bottom w:type="dxa" w:w="80"/>
              <w:right w:type="dxa" w:w="100"/>
            </w:tcMar>
            <w:vAlign w:val="center"/>
          </w:tcPr>
          <w:p>
            <w:r>
              <w:rPr>
                <w:b w:val="false"/>
                <w:bCs w:val="false"/>
                <w:sz w:val="19"/>
                <w:szCs w:val="19"/>
              </w:rPr>
              <w:t xml:space="preserve">L4 Integrated</w:t>
            </w:r>
          </w:p>
        </w:tc>
      </w:tr>
    </w:tbl>
    <w:p>
      <w:r>
        <w:br w:type="page"/>
      </w:r>
    </w:p>
    <w:p>
      <w:pPr>
        <w:pStyle w:val="Heading1"/>
        <w:spacing w:after="200" w:before="400"/>
      </w:pPr>
      <w:r>
        <w:t xml:space="preserve">8. Capability Relationships</w:t>
      </w:r>
    </w:p>
    <w:p>
      <w:pPr>
        <w:pStyle w:val="Heading2"/>
        <w:spacing w:after="140" w:before="280"/>
      </w:pPr>
      <w:r>
        <w:t xml:space="preserve">8.1 Parent-Child Hierarchy</w:t>
      </w:r>
    </w:p>
    <w:p>
      <w:pPr>
        <w:spacing w:after="160" w:line="276"/>
      </w:pPr>
      <w:r>
        <w:t xml:space="preserve">Formal Level-2 decomposition is applied only where evidenced (Section 4.6). Two domains currently warrant it:</w:t>
      </w:r>
    </w:p>
    <w:p>
      <w:pPr>
        <w:pStyle w:val="ListParagraph"/>
        <w:numPr>
          <w:ilvl w:val="0"/>
          <w:numId w:val="1"/>
        </w:numPr>
        <w:spacing w:after="80" w:line="276"/>
      </w:pPr>
      <w:r>
        <w:t xml:space="preserve">Career Intelligence (L0) → Career Path Intelligence &amp; Recommendation (L1) → [Role Matching, Explanation Generation] (L2, embedded within jobMatchPremium and career-copilot respectively, not yet independently owned).</w:t>
      </w:r>
    </w:p>
    <w:p>
      <w:pPr>
        <w:pStyle w:val="ListParagraph"/>
        <w:numPr>
          <w:ilvl w:val="0"/>
          <w:numId w:val="1"/>
        </w:numPr>
        <w:spacing w:after="80" w:line="276"/>
      </w:pPr>
      <w:r>
        <w:t xml:space="preserve">AI-Native Capabilities (L0) → AI Career Advisory &amp; Agentic Orchestration (L1) → [Conversational Advisory, Agent Coordination, Advisory Memory] (L2, realized by ai-career-advisor, careerAgentCoordinator.js, and ava-memory respectively).</w:t>
      </w:r>
    </w:p>
    <w:p>
      <w:pPr>
        <w:pStyle w:val="Heading2"/>
        <w:spacing w:after="140" w:before="280"/>
      </w:pPr>
      <w:r>
        <w:t xml:space="preserve">8.2 Cross-Capability Dependencies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1F3B57" w:val="clear"/>
            <w:tcMar>
              <w:top w:type="dxa" w:w="80"/>
              <w:left w:type="dxa" w:w="100"/>
              <w:bottom w:type="dxa" w:w="80"/>
              <w:right w:type="dxa" w:w="100"/>
            </w:tcMar>
            <w:vAlign w:val="center"/>
          </w:tcPr>
          <w:p>
            <w:r>
              <w:rPr>
                <w:b/>
                <w:bCs/>
                <w:color w:val="FFFFFF"/>
                <w:sz w:val="19"/>
                <w:szCs w:val="19"/>
              </w:rPr>
              <w:t xml:space="preserve">Capability</w:t>
            </w:r>
          </w:p>
        </w:tc>
        <w:tc>
          <w:tcPr>
            <w:tcW w:type="dxa" w:w="5750"/>
            <w:shd w:fill="1F3B57" w:val="clear"/>
            <w:tcMar>
              <w:top w:type="dxa" w:w="80"/>
              <w:left w:type="dxa" w:w="100"/>
              <w:bottom w:type="dxa" w:w="80"/>
              <w:right w:type="dxa" w:w="100"/>
            </w:tcMar>
            <w:vAlign w:val="center"/>
          </w:tcPr>
          <w:p>
            <w:r>
              <w:rPr>
                <w:b/>
                <w:bCs/>
                <w:color w:val="FFFFFF"/>
                <w:sz w:val="19"/>
                <w:szCs w:val="19"/>
              </w:rPr>
              <w:t xml:space="preserve">Depends on</w:t>
            </w:r>
          </w:p>
        </w:tc>
      </w:tr>
      <w:tr>
        <w:tc>
          <w:tcPr>
            <w:tcW w:type="dxa" w:w="3600"/>
            <w:tcMar>
              <w:top w:type="dxa" w:w="80"/>
              <w:left w:type="dxa" w:w="100"/>
              <w:bottom w:type="dxa" w:w="80"/>
              <w:right w:type="dxa" w:w="100"/>
            </w:tcMar>
            <w:vAlign w:val="center"/>
          </w:tcPr>
          <w:p>
            <w:r>
              <w:rPr>
                <w:b w:val="false"/>
                <w:bCs w:val="false"/>
                <w:sz w:val="19"/>
                <w:szCs w:val="19"/>
              </w:rPr>
              <w:t xml:space="preserve">Career Path Intelligence &amp; Recommendation</w:t>
            </w:r>
          </w:p>
        </w:tc>
        <w:tc>
          <w:tcPr>
            <w:tcW w:type="dxa" w:w="5750"/>
            <w:tcMar>
              <w:top w:type="dxa" w:w="80"/>
              <w:left w:type="dxa" w:w="100"/>
              <w:bottom w:type="dxa" w:w="80"/>
              <w:right w:type="dxa" w:w="100"/>
            </w:tcMar>
            <w:vAlign w:val="center"/>
          </w:tcPr>
          <w:p>
            <w:r>
              <w:rPr>
                <w:b w:val="false"/>
                <w:bCs w:val="false"/>
                <w:sz w:val="19"/>
                <w:szCs w:val="19"/>
              </w:rPr>
              <w:t xml:space="preserve">Academic Profile &amp; Context Intelligence; Skill &amp; Knowledge Graph Management; Labor Market &amp; Salary Intelligence</w:t>
            </w:r>
          </w:p>
        </w:tc>
      </w:tr>
      <w:tr>
        <w:tc>
          <w:tcPr>
            <w:tcW w:type="dxa" w:w="3600"/>
            <w:shd w:fill="EDF2F4" w:val="clear"/>
            <w:tcMar>
              <w:top w:type="dxa" w:w="80"/>
              <w:left w:type="dxa" w:w="100"/>
              <w:bottom w:type="dxa" w:w="80"/>
              <w:right w:type="dxa" w:w="100"/>
            </w:tcMar>
            <w:vAlign w:val="center"/>
          </w:tcPr>
          <w:p>
            <w:r>
              <w:rPr>
                <w:b w:val="false"/>
                <w:bCs w:val="false"/>
                <w:sz w:val="19"/>
                <w:szCs w:val="19"/>
              </w:rPr>
              <w:t xml:space="preserve">Career Digital Twin &amp; Simulation</w:t>
            </w:r>
          </w:p>
        </w:tc>
        <w:tc>
          <w:tcPr>
            <w:tcW w:type="dxa" w:w="5750"/>
            <w:shd w:fill="EDF2F4" w:val="clear"/>
            <w:tcMar>
              <w:top w:type="dxa" w:w="80"/>
              <w:left w:type="dxa" w:w="100"/>
              <w:bottom w:type="dxa" w:w="80"/>
              <w:right w:type="dxa" w:w="100"/>
            </w:tcMar>
            <w:vAlign w:val="center"/>
          </w:tcPr>
          <w:p>
            <w:r>
              <w:rPr>
                <w:b w:val="false"/>
                <w:bCs w:val="false"/>
                <w:sz w:val="19"/>
                <w:szCs w:val="19"/>
              </w:rPr>
              <w:t xml:space="preserve">Career Path Intelligence &amp; Recommendation; Career Health Assessment; Academic Profile &amp; Context Intelligence</w:t>
            </w:r>
          </w:p>
        </w:tc>
      </w:tr>
      <w:tr>
        <w:tc>
          <w:tcPr>
            <w:tcW w:type="dxa" w:w="3600"/>
            <w:tcMar>
              <w:top w:type="dxa" w:w="80"/>
              <w:left w:type="dxa" w:w="100"/>
              <w:bottom w:type="dxa" w:w="80"/>
              <w:right w:type="dxa" w:w="100"/>
            </w:tcMar>
            <w:vAlign w:val="center"/>
          </w:tcPr>
          <w:p>
            <w:r>
              <w:rPr>
                <w:b w:val="false"/>
                <w:bCs w:val="false"/>
                <w:sz w:val="19"/>
                <w:szCs w:val="19"/>
              </w:rPr>
              <w:t xml:space="preserve">Career Health Assessment</w:t>
            </w:r>
          </w:p>
        </w:tc>
        <w:tc>
          <w:tcPr>
            <w:tcW w:type="dxa" w:w="5750"/>
            <w:tcMar>
              <w:top w:type="dxa" w:w="80"/>
              <w:left w:type="dxa" w:w="100"/>
              <w:bottom w:type="dxa" w:w="80"/>
              <w:right w:type="dxa" w:w="100"/>
            </w:tcMar>
            <w:vAlign w:val="center"/>
          </w:tcPr>
          <w:p>
            <w:r>
              <w:rPr>
                <w:b w:val="false"/>
                <w:bCs w:val="false"/>
                <w:sz w:val="19"/>
                <w:szCs w:val="19"/>
              </w:rPr>
              <w:t xml:space="preserve">Academic Profile &amp; Context Intelligence; Skill &amp; Knowledge Graph Management</w:t>
            </w:r>
          </w:p>
        </w:tc>
      </w:tr>
      <w:tr>
        <w:tc>
          <w:tcPr>
            <w:tcW w:type="dxa" w:w="3600"/>
            <w:shd w:fill="EDF2F4" w:val="clear"/>
            <w:tcMar>
              <w:top w:type="dxa" w:w="80"/>
              <w:left w:type="dxa" w:w="100"/>
              <w:bottom w:type="dxa" w:w="80"/>
              <w:right w:type="dxa" w:w="100"/>
            </w:tcMar>
            <w:vAlign w:val="center"/>
          </w:tcPr>
          <w:p>
            <w:r>
              <w:rPr>
                <w:b w:val="false"/>
                <w:bCs w:val="false"/>
                <w:sz w:val="19"/>
                <w:szCs w:val="19"/>
              </w:rPr>
              <w:t xml:space="preserve">Career Opportunity Radar</w:t>
            </w:r>
          </w:p>
        </w:tc>
        <w:tc>
          <w:tcPr>
            <w:tcW w:type="dxa" w:w="5750"/>
            <w:shd w:fill="EDF2F4" w:val="clear"/>
            <w:tcMar>
              <w:top w:type="dxa" w:w="80"/>
              <w:left w:type="dxa" w:w="100"/>
              <w:bottom w:type="dxa" w:w="80"/>
              <w:right w:type="dxa" w:w="100"/>
            </w:tcMar>
            <w:vAlign w:val="center"/>
          </w:tcPr>
          <w:p>
            <w:r>
              <w:rPr>
                <w:b w:val="false"/>
                <w:bCs w:val="false"/>
                <w:sz w:val="19"/>
                <w:szCs w:val="19"/>
              </w:rPr>
              <w:t xml:space="preserve">Career Path Intelligence &amp; Recommendation; Labor Market &amp; Salary Intelligence; Employer Integration &amp; Opportunity Ingestion</w:t>
            </w:r>
          </w:p>
        </w:tc>
      </w:tr>
      <w:tr>
        <w:tc>
          <w:tcPr>
            <w:tcW w:type="dxa" w:w="3600"/>
            <w:tcMar>
              <w:top w:type="dxa" w:w="80"/>
              <w:left w:type="dxa" w:w="100"/>
              <w:bottom w:type="dxa" w:w="80"/>
              <w:right w:type="dxa" w:w="100"/>
            </w:tcMar>
            <w:vAlign w:val="center"/>
          </w:tcPr>
          <w:p>
            <w:r>
              <w:rPr>
                <w:b w:val="false"/>
                <w:bCs w:val="false"/>
                <w:sz w:val="19"/>
                <w:szCs w:val="19"/>
              </w:rPr>
              <w:t xml:space="preserve">Candidate Document Generation</w:t>
            </w:r>
          </w:p>
        </w:tc>
        <w:tc>
          <w:tcPr>
            <w:tcW w:type="dxa" w:w="5750"/>
            <w:tcMar>
              <w:top w:type="dxa" w:w="80"/>
              <w:left w:type="dxa" w:w="100"/>
              <w:bottom w:type="dxa" w:w="80"/>
              <w:right w:type="dxa" w:w="100"/>
            </w:tcMar>
            <w:vAlign w:val="center"/>
          </w:tcPr>
          <w:p>
            <w:r>
              <w:rPr>
                <w:b w:val="false"/>
                <w:bCs w:val="false"/>
                <w:sz w:val="19"/>
                <w:szCs w:val="19"/>
              </w:rPr>
              <w:t xml:space="preserve">Academic Profile &amp; Context Intelligence; Career Path Intelligence &amp; Recommendation</w:t>
            </w:r>
          </w:p>
        </w:tc>
      </w:tr>
      <w:tr>
        <w:tc>
          <w:tcPr>
            <w:tcW w:type="dxa" w:w="3600"/>
            <w:shd w:fill="EDF2F4" w:val="clear"/>
            <w:tcMar>
              <w:top w:type="dxa" w:w="80"/>
              <w:left w:type="dxa" w:w="100"/>
              <w:bottom w:type="dxa" w:w="80"/>
              <w:right w:type="dxa" w:w="100"/>
            </w:tcMar>
            <w:vAlign w:val="center"/>
          </w:tcPr>
          <w:p>
            <w:r>
              <w:rPr>
                <w:b w:val="false"/>
                <w:bCs w:val="false"/>
                <w:sz w:val="19"/>
                <w:szCs w:val="19"/>
              </w:rPr>
              <w:t xml:space="preserve">AI Career Advisory &amp; Agentic Orchestration</w:t>
            </w:r>
          </w:p>
        </w:tc>
        <w:tc>
          <w:tcPr>
            <w:tcW w:type="dxa" w:w="5750"/>
            <w:shd w:fill="EDF2F4" w:val="clear"/>
            <w:tcMar>
              <w:top w:type="dxa" w:w="80"/>
              <w:left w:type="dxa" w:w="100"/>
              <w:bottom w:type="dxa" w:w="80"/>
              <w:right w:type="dxa" w:w="100"/>
            </w:tcMar>
            <w:vAlign w:val="center"/>
          </w:tcPr>
          <w:p>
            <w:r>
              <w:rPr>
                <w:b w:val="false"/>
                <w:bCs w:val="false"/>
                <w:sz w:val="19"/>
                <w:szCs w:val="19"/>
              </w:rPr>
              <w:t xml:space="preserve">Skill &amp; Knowledge Graph Management; Academic Profile &amp; Context Intelligence; AI Quality &amp; Confidence Governance</w:t>
            </w:r>
          </w:p>
        </w:tc>
      </w:tr>
      <w:tr>
        <w:tc>
          <w:tcPr>
            <w:tcW w:type="dxa" w:w="3600"/>
            <w:tcMar>
              <w:top w:type="dxa" w:w="80"/>
              <w:left w:type="dxa" w:w="100"/>
              <w:bottom w:type="dxa" w:w="80"/>
              <w:right w:type="dxa" w:w="100"/>
            </w:tcMar>
            <w:vAlign w:val="center"/>
          </w:tcPr>
          <w:p>
            <w:r>
              <w:rPr>
                <w:b w:val="false"/>
                <w:bCs w:val="false"/>
                <w:sz w:val="19"/>
                <w:szCs w:val="19"/>
              </w:rPr>
              <w:t xml:space="preserve">Labor Market &amp; Salary Intelligence</w:t>
            </w:r>
          </w:p>
        </w:tc>
        <w:tc>
          <w:tcPr>
            <w:tcW w:type="dxa" w:w="5750"/>
            <w:tcMar>
              <w:top w:type="dxa" w:w="80"/>
              <w:left w:type="dxa" w:w="100"/>
              <w:bottom w:type="dxa" w:w="80"/>
              <w:right w:type="dxa" w:w="100"/>
            </w:tcMar>
            <w:vAlign w:val="center"/>
          </w:tcPr>
          <w:p>
            <w:r>
              <w:rPr>
                <w:b w:val="false"/>
                <w:bCs w:val="false"/>
                <w:sz w:val="19"/>
                <w:szCs w:val="19"/>
              </w:rPr>
              <w:t xml:space="preserve">Employer Integration &amp; Opportunity Ingestion (for live data); Source &amp; Market Intelligence Curation</w:t>
            </w:r>
          </w:p>
        </w:tc>
      </w:tr>
    </w:tbl>
    <w:p>
      <w:pPr>
        <w:pStyle w:val="Heading2"/>
        <w:spacing w:after="140" w:before="280"/>
      </w:pPr>
      <w:r>
        <w:t xml:space="preserve">8.3 Shared Capabilities</w:t>
      </w:r>
    </w:p>
    <w:p>
      <w:pPr>
        <w:pStyle w:val="ListParagraph"/>
        <w:numPr>
          <w:ilvl w:val="0"/>
          <w:numId w:val="1"/>
        </w:numPr>
        <w:spacing w:after="80" w:line="276"/>
      </w:pPr>
      <w:r>
        <w:t xml:space="preserve">Academic Profile &amp; Context Intelligence is the most widely shared capability in the platform — EEP-01 Phase B names at least ten downstream AI/runtime systems consuming it, more than any other single capability.</w:t>
      </w:r>
    </w:p>
    <w:p>
      <w:pPr>
        <w:pStyle w:val="ListParagraph"/>
        <w:numPr>
          <w:ilvl w:val="0"/>
          <w:numId w:val="1"/>
        </w:numPr>
        <w:spacing w:after="80" w:line="276"/>
      </w:pPr>
      <w:r>
        <w:t xml:space="preserve">Identity, Roles &amp; Access Administration and Platform Configuration &amp; Secrets Stewardship are cross-cutting shared enterprise capabilities consumed by every other capability, current and future.</w:t>
      </w:r>
    </w:p>
    <w:p>
      <w:pPr>
        <w:pStyle w:val="Heading2"/>
        <w:spacing w:after="140" w:before="280"/>
      </w:pPr>
      <w:r>
        <w:t xml:space="preserve">8.4 Capability Collaboration &amp; Business Interactions</w:t>
      </w:r>
    </w:p>
    <w:p>
      <w:pPr>
        <w:spacing w:after="160" w:line="276"/>
      </w:pPr>
      <w:r>
        <w:t xml:space="preserve">A typical student journey exercises capabilities in this order, illustrating collaboration rather than isolated operation: Student Onboarding &amp; Qualification Capture → Academic Profile &amp; Context Intelligence → Skill &amp; Knowledge Graph Management (context assembly) → Career Path Intelligence &amp; Recommendation → AI Career Advisory &amp; Agentic Orchestration (conversational refinement) → Career Opportunity Radar → Candidate Document Generation. Career Health Assessment and Career Digital Twin &amp; Simulation run alongside this flow continuously, rather than at a single step, consistent with their longitudinal purpose.</w:t>
      </w:r>
    </w:p>
    <w:p>
      <w:r>
        <w:br w:type="page"/>
      </w:r>
    </w:p>
    <w:p>
      <w:pPr>
        <w:pStyle w:val="Heading1"/>
        <w:spacing w:after="200" w:before="400"/>
      </w:pPr>
      <w:r>
        <w:t xml:space="preserve">9. Capability Maturity Assessment</w:t>
      </w:r>
    </w:p>
    <w:p>
      <w:pPr>
        <w:spacing w:after="160" w:line="276"/>
      </w:pPr>
      <w:r>
        <w:t xml:space="preserve">Maturity model: Level 1 Initial (exists as an idea or a structural placeholder only) · Level 2 Emerging (implemented but data- or dependency-limited) · Level 3 Managed (implemented, in active use, evidenced as production-oriented) · Level 4 Integrated (implemented, in use, and consumed reliably by multiple other capabilities) · Level 5 Optimized (integrated and validated against real outcome data, with continuous improvement evidenced).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50"/>
      </w:tblGrid>
      <w:tr>
        <w:trPr>
          <w:tblHeader/>
        </w:trPr>
        <w:tc>
          <w:tcPr>
            <w:tcW w:type="dxa" w:w="3200"/>
            <w:shd w:fill="1F3B57" w:val="clear"/>
            <w:tcMar>
              <w:top w:type="dxa" w:w="80"/>
              <w:left w:type="dxa" w:w="100"/>
              <w:bottom w:type="dxa" w:w="80"/>
              <w:right w:type="dxa" w:w="100"/>
            </w:tcMar>
            <w:vAlign w:val="center"/>
          </w:tcPr>
          <w:p>
            <w:r>
              <w:rPr>
                <w:b/>
                <w:bCs/>
                <w:color w:val="FFFFFF"/>
                <w:sz w:val="19"/>
                <w:szCs w:val="19"/>
              </w:rPr>
              <w:t xml:space="preserve">Capability</w:t>
            </w:r>
          </w:p>
        </w:tc>
        <w:tc>
          <w:tcPr>
            <w:tcW w:type="dxa" w:w="1700"/>
            <w:shd w:fill="1F3B57" w:val="clear"/>
            <w:tcMar>
              <w:top w:type="dxa" w:w="80"/>
              <w:left w:type="dxa" w:w="100"/>
              <w:bottom w:type="dxa" w:w="80"/>
              <w:right w:type="dxa" w:w="100"/>
            </w:tcMar>
            <w:vAlign w:val="center"/>
          </w:tcPr>
          <w:p>
            <w:r>
              <w:rPr>
                <w:b/>
                <w:bCs/>
                <w:color w:val="FFFFFF"/>
                <w:sz w:val="19"/>
                <w:szCs w:val="19"/>
              </w:rPr>
              <w:t xml:space="preserve">Level</w:t>
            </w:r>
          </w:p>
        </w:tc>
        <w:tc>
          <w:tcPr>
            <w:tcW w:type="dxa" w:w="4450"/>
            <w:shd w:fill="1F3B57" w:val="clear"/>
            <w:tcMar>
              <w:top w:type="dxa" w:w="80"/>
              <w:left w:type="dxa" w:w="100"/>
              <w:bottom w:type="dxa" w:w="80"/>
              <w:right w:type="dxa" w:w="100"/>
            </w:tcMar>
            <w:vAlign w:val="center"/>
          </w:tcPr>
          <w:p>
            <w:r>
              <w:rPr>
                <w:b/>
                <w:bCs/>
                <w:color w:val="FFFFFF"/>
                <w:sz w:val="19"/>
                <w:szCs w:val="19"/>
              </w:rPr>
              <w:t xml:space="preserve">Evidence</w:t>
            </w:r>
          </w:p>
        </w:tc>
      </w:tr>
      <w:tr>
        <w:tc>
          <w:tcPr>
            <w:tcW w:type="dxa" w:w="3200"/>
            <w:tcMar>
              <w:top w:type="dxa" w:w="80"/>
              <w:left w:type="dxa" w:w="100"/>
              <w:bottom w:type="dxa" w:w="80"/>
              <w:right w:type="dxa" w:w="100"/>
            </w:tcMar>
            <w:vAlign w:val="center"/>
          </w:tcPr>
          <w:p>
            <w:r>
              <w:rPr>
                <w:b w:val="false"/>
                <w:bCs w:val="false"/>
                <w:sz w:val="19"/>
                <w:szCs w:val="19"/>
              </w:rPr>
              <w:t xml:space="preserve">Academic Profile &amp; Context Intelligence</w:t>
            </w:r>
          </w:p>
        </w:tc>
        <w:tc>
          <w:tcPr>
            <w:tcW w:type="dxa" w:w="1700"/>
            <w:tcMar>
              <w:top w:type="dxa" w:w="80"/>
              <w:left w:type="dxa" w:w="100"/>
              <w:bottom w:type="dxa" w:w="80"/>
              <w:right w:type="dxa" w:w="100"/>
            </w:tcMar>
            <w:vAlign w:val="center"/>
          </w:tcPr>
          <w:p>
            <w:r>
              <w:rPr>
                <w:b w:val="false"/>
                <w:bCs w:val="false"/>
                <w:sz w:val="19"/>
                <w:szCs w:val="19"/>
              </w:rPr>
              <w:t xml:space="preserve">4 — Integrated</w:t>
            </w:r>
          </w:p>
        </w:tc>
        <w:tc>
          <w:tcPr>
            <w:tcW w:type="dxa" w:w="4450"/>
            <w:tcMar>
              <w:top w:type="dxa" w:w="80"/>
              <w:left w:type="dxa" w:w="100"/>
              <w:bottom w:type="dxa" w:w="80"/>
              <w:right w:type="dxa" w:w="100"/>
            </w:tcMar>
            <w:vAlign w:val="center"/>
          </w:tcPr>
          <w:p>
            <w:r>
              <w:rPr>
                <w:b w:val="false"/>
                <w:bCs w:val="false"/>
                <w:sz w:val="19"/>
                <w:szCs w:val="19"/>
              </w:rPr>
              <w:t xml:space="preserve">Full 26-table physical model; named as input to 10+ downstream systems (Phase B).</w:t>
            </w:r>
          </w:p>
        </w:tc>
      </w:tr>
      <w:tr>
        <w:tc>
          <w:tcPr>
            <w:tcW w:type="dxa" w:w="3200"/>
            <w:shd w:fill="EDF2F4" w:val="clear"/>
            <w:tcMar>
              <w:top w:type="dxa" w:w="80"/>
              <w:left w:type="dxa" w:w="100"/>
              <w:bottom w:type="dxa" w:w="80"/>
              <w:right w:type="dxa" w:w="100"/>
            </w:tcMar>
            <w:vAlign w:val="center"/>
          </w:tcPr>
          <w:p>
            <w:r>
              <w:rPr>
                <w:b w:val="false"/>
                <w:bCs w:val="false"/>
                <w:sz w:val="19"/>
                <w:szCs w:val="19"/>
              </w:rPr>
              <w:t xml:space="preserve">AI Career Advisory &amp; Agentic Orchestration</w:t>
            </w:r>
          </w:p>
        </w:tc>
        <w:tc>
          <w:tcPr>
            <w:tcW w:type="dxa" w:w="1700"/>
            <w:shd w:fill="EDF2F4" w:val="clear"/>
            <w:tcMar>
              <w:top w:type="dxa" w:w="80"/>
              <w:left w:type="dxa" w:w="100"/>
              <w:bottom w:type="dxa" w:w="80"/>
              <w:right w:type="dxa" w:w="100"/>
            </w:tcMar>
            <w:vAlign w:val="center"/>
          </w:tcPr>
          <w:p>
            <w:r>
              <w:rPr>
                <w:b w:val="false"/>
                <w:bCs w:val="false"/>
                <w:sz w:val="19"/>
                <w:szCs w:val="19"/>
              </w:rPr>
              <w:t xml:space="preserve">4 — Integrated</w:t>
            </w:r>
          </w:p>
        </w:tc>
        <w:tc>
          <w:tcPr>
            <w:tcW w:type="dxa" w:w="4450"/>
            <w:shd w:fill="EDF2F4" w:val="clear"/>
            <w:tcMar>
              <w:top w:type="dxa" w:w="80"/>
              <w:left w:type="dxa" w:w="100"/>
              <w:bottom w:type="dxa" w:w="80"/>
              <w:right w:type="dxa" w:w="100"/>
            </w:tcMar>
            <w:vAlign w:val="center"/>
          </w:tcPr>
          <w:p>
            <w:r>
              <w:rPr>
                <w:b w:val="false"/>
                <w:bCs w:val="false"/>
                <w:sz w:val="19"/>
                <w:szCs w:val="19"/>
              </w:rPr>
              <w:t xml:space="preserve">5-provider fallback and 6-agent coordinator in production (Phase F).</w:t>
            </w:r>
          </w:p>
        </w:tc>
      </w:tr>
      <w:tr>
        <w:tc>
          <w:tcPr>
            <w:tcW w:type="dxa" w:w="3200"/>
            <w:tcMar>
              <w:top w:type="dxa" w:w="80"/>
              <w:left w:type="dxa" w:w="100"/>
              <w:bottom w:type="dxa" w:w="80"/>
              <w:right w:type="dxa" w:w="100"/>
            </w:tcMar>
            <w:vAlign w:val="center"/>
          </w:tcPr>
          <w:p>
            <w:r>
              <w:rPr>
                <w:b w:val="false"/>
                <w:bCs w:val="false"/>
                <w:sz w:val="19"/>
                <w:szCs w:val="19"/>
              </w:rPr>
              <w:t xml:space="preserve">Career Path Intelligence &amp; Recommendation</w:t>
            </w:r>
          </w:p>
        </w:tc>
        <w:tc>
          <w:tcPr>
            <w:tcW w:type="dxa" w:w="1700"/>
            <w:tcMar>
              <w:top w:type="dxa" w:w="80"/>
              <w:left w:type="dxa" w:w="100"/>
              <w:bottom w:type="dxa" w:w="80"/>
              <w:right w:type="dxa" w:w="100"/>
            </w:tcMar>
            <w:vAlign w:val="center"/>
          </w:tcPr>
          <w:p>
            <w:r>
              <w:rPr>
                <w:b w:val="false"/>
                <w:bCs w:val="false"/>
                <w:sz w:val="19"/>
                <w:szCs w:val="19"/>
              </w:rPr>
              <w:t xml:space="preserve">3 — Managed</w:t>
            </w:r>
          </w:p>
        </w:tc>
        <w:tc>
          <w:tcPr>
            <w:tcW w:type="dxa" w:w="4450"/>
            <w:tcMar>
              <w:top w:type="dxa" w:w="80"/>
              <w:left w:type="dxa" w:w="100"/>
              <w:bottom w:type="dxa" w:w="80"/>
              <w:right w:type="dxa" w:w="100"/>
            </w:tcMar>
            <w:vAlign w:val="center"/>
          </w:tcPr>
          <w:p>
            <w:r>
              <w:rPr>
                <w:b w:val="false"/>
                <w:bCs w:val="false"/>
                <w:sz w:val="19"/>
                <w:szCs w:val="19"/>
              </w:rPr>
              <w:t xml:space="preserve">career-copilot and careerGraph populated and routed.</w:t>
            </w:r>
          </w:p>
        </w:tc>
      </w:tr>
      <w:tr>
        <w:tc>
          <w:tcPr>
            <w:tcW w:type="dxa" w:w="3200"/>
            <w:shd w:fill="EDF2F4" w:val="clear"/>
            <w:tcMar>
              <w:top w:type="dxa" w:w="80"/>
              <w:left w:type="dxa" w:w="100"/>
              <w:bottom w:type="dxa" w:w="80"/>
              <w:right w:type="dxa" w:w="100"/>
            </w:tcMar>
            <w:vAlign w:val="center"/>
          </w:tcPr>
          <w:p>
            <w:r>
              <w:rPr>
                <w:b w:val="false"/>
                <w:bCs w:val="false"/>
                <w:sz w:val="19"/>
                <w:szCs w:val="19"/>
              </w:rPr>
              <w:t xml:space="preserve">Career Health Assessment</w:t>
            </w:r>
          </w:p>
        </w:tc>
        <w:tc>
          <w:tcPr>
            <w:tcW w:type="dxa" w:w="1700"/>
            <w:shd w:fill="EDF2F4" w:val="clear"/>
            <w:tcMar>
              <w:top w:type="dxa" w:w="80"/>
              <w:left w:type="dxa" w:w="100"/>
              <w:bottom w:type="dxa" w:w="80"/>
              <w:right w:type="dxa" w:w="100"/>
            </w:tcMar>
            <w:vAlign w:val="center"/>
          </w:tcPr>
          <w:p>
            <w:r>
              <w:rPr>
                <w:b w:val="false"/>
                <w:bCs w:val="false"/>
                <w:sz w:val="19"/>
                <w:szCs w:val="19"/>
              </w:rPr>
              <w:t xml:space="preserve">3 — Managed (v1) / 2 — Emerging (chiV2)</w:t>
            </w:r>
          </w:p>
        </w:tc>
        <w:tc>
          <w:tcPr>
            <w:tcW w:type="dxa" w:w="4450"/>
            <w:shd w:fill="EDF2F4" w:val="clear"/>
            <w:tcMar>
              <w:top w:type="dxa" w:w="80"/>
              <w:left w:type="dxa" w:w="100"/>
              <w:bottom w:type="dxa" w:w="80"/>
              <w:right w:type="dxa" w:w="100"/>
            </w:tcMar>
            <w:vAlign w:val="center"/>
          </w:tcPr>
          <w:p>
            <w:r>
              <w:rPr>
                <w:b w:val="false"/>
                <w:bCs w:val="false"/>
                <w:sz w:val="19"/>
                <w:szCs w:val="19"/>
              </w:rPr>
              <w:t xml:space="preserve">Two parallel modules; v1 production, v2 in-flight.</w:t>
            </w:r>
          </w:p>
        </w:tc>
      </w:tr>
      <w:tr>
        <w:tc>
          <w:tcPr>
            <w:tcW w:type="dxa" w:w="3200"/>
            <w:tcMar>
              <w:top w:type="dxa" w:w="80"/>
              <w:left w:type="dxa" w:w="100"/>
              <w:bottom w:type="dxa" w:w="80"/>
              <w:right w:type="dxa" w:w="100"/>
            </w:tcMar>
            <w:vAlign w:val="center"/>
          </w:tcPr>
          <w:p>
            <w:r>
              <w:rPr>
                <w:b w:val="false"/>
                <w:bCs w:val="false"/>
                <w:sz w:val="19"/>
                <w:szCs w:val="19"/>
              </w:rPr>
              <w:t xml:space="preserve">Candidate Document Generation</w:t>
            </w:r>
          </w:p>
        </w:tc>
        <w:tc>
          <w:tcPr>
            <w:tcW w:type="dxa" w:w="1700"/>
            <w:tcMar>
              <w:top w:type="dxa" w:w="80"/>
              <w:left w:type="dxa" w:w="100"/>
              <w:bottom w:type="dxa" w:w="80"/>
              <w:right w:type="dxa" w:w="100"/>
            </w:tcMar>
            <w:vAlign w:val="center"/>
          </w:tcPr>
          <w:p>
            <w:r>
              <w:rPr>
                <w:b w:val="false"/>
                <w:bCs w:val="false"/>
                <w:sz w:val="19"/>
                <w:szCs w:val="19"/>
              </w:rPr>
              <w:t xml:space="preserve">3 — Managed</w:t>
            </w:r>
          </w:p>
        </w:tc>
        <w:tc>
          <w:tcPr>
            <w:tcW w:type="dxa" w:w="4450"/>
            <w:tcMar>
              <w:top w:type="dxa" w:w="80"/>
              <w:left w:type="dxa" w:w="100"/>
              <w:bottom w:type="dxa" w:w="80"/>
              <w:right w:type="dxa" w:w="100"/>
            </w:tcMar>
            <w:vAlign w:val="center"/>
          </w:tcPr>
          <w:p>
            <w:r>
              <w:rPr>
                <w:b w:val="false"/>
                <w:bCs w:val="false"/>
                <w:sz w:val="19"/>
                <w:szCs w:val="19"/>
              </w:rPr>
              <w:t xml:space="preserve">Resume and cover-letter generation/parsing both routed and described as production-grade.</w:t>
            </w:r>
          </w:p>
        </w:tc>
      </w:tr>
      <w:tr>
        <w:tc>
          <w:tcPr>
            <w:tcW w:type="dxa" w:w="3200"/>
            <w:shd w:fill="EDF2F4" w:val="clear"/>
            <w:tcMar>
              <w:top w:type="dxa" w:w="80"/>
              <w:left w:type="dxa" w:w="100"/>
              <w:bottom w:type="dxa" w:w="80"/>
              <w:right w:type="dxa" w:w="100"/>
            </w:tcMar>
            <w:vAlign w:val="center"/>
          </w:tcPr>
          <w:p>
            <w:r>
              <w:rPr>
                <w:b w:val="false"/>
                <w:bCs w:val="false"/>
                <w:sz w:val="19"/>
                <w:szCs w:val="19"/>
              </w:rPr>
              <w:t xml:space="preserve">Skill &amp; Knowledge Graph Management</w:t>
            </w:r>
          </w:p>
        </w:tc>
        <w:tc>
          <w:tcPr>
            <w:tcW w:type="dxa" w:w="1700"/>
            <w:shd w:fill="EDF2F4" w:val="clear"/>
            <w:tcMar>
              <w:top w:type="dxa" w:w="80"/>
              <w:left w:type="dxa" w:w="100"/>
              <w:bottom w:type="dxa" w:w="80"/>
              <w:right w:type="dxa" w:w="100"/>
            </w:tcMar>
            <w:vAlign w:val="center"/>
          </w:tcPr>
          <w:p>
            <w:r>
              <w:rPr>
                <w:b w:val="false"/>
                <w:bCs w:val="false"/>
                <w:sz w:val="19"/>
                <w:szCs w:val="19"/>
              </w:rPr>
              <w:t xml:space="preserve">3 — Managed</w:t>
            </w:r>
          </w:p>
        </w:tc>
        <w:tc>
          <w:tcPr>
            <w:tcW w:type="dxa" w:w="4450"/>
            <w:shd w:fill="EDF2F4" w:val="clear"/>
            <w:tcMar>
              <w:top w:type="dxa" w:w="80"/>
              <w:left w:type="dxa" w:w="100"/>
              <w:bottom w:type="dxa" w:w="80"/>
              <w:right w:type="dxa" w:w="100"/>
            </w:tcMar>
            <w:vAlign w:val="center"/>
          </w:tcPr>
          <w:p>
            <w:r>
              <w:rPr>
                <w:b w:val="false"/>
                <w:bCs w:val="false"/>
                <w:sz w:val="19"/>
                <w:szCs w:val="19"/>
              </w:rPr>
              <w:t xml:space="preserve">Populated, versioned taxonomy; multiple consuming modules.</w:t>
            </w:r>
          </w:p>
        </w:tc>
      </w:tr>
      <w:tr>
        <w:tc>
          <w:tcPr>
            <w:tcW w:type="dxa" w:w="3200"/>
            <w:tcMar>
              <w:top w:type="dxa" w:w="80"/>
              <w:left w:type="dxa" w:w="100"/>
              <w:bottom w:type="dxa" w:w="80"/>
              <w:right w:type="dxa" w:w="100"/>
            </w:tcMar>
            <w:vAlign w:val="center"/>
          </w:tcPr>
          <w:p>
            <w:r>
              <w:rPr>
                <w:b w:val="false"/>
                <w:bCs w:val="false"/>
                <w:sz w:val="19"/>
                <w:szCs w:val="19"/>
              </w:rPr>
              <w:t xml:space="preserve">AI Quality &amp; Confidence Governance</w:t>
            </w:r>
          </w:p>
        </w:tc>
        <w:tc>
          <w:tcPr>
            <w:tcW w:type="dxa" w:w="1700"/>
            <w:tcMar>
              <w:top w:type="dxa" w:w="80"/>
              <w:left w:type="dxa" w:w="100"/>
              <w:bottom w:type="dxa" w:w="80"/>
              <w:right w:type="dxa" w:w="100"/>
            </w:tcMar>
            <w:vAlign w:val="center"/>
          </w:tcPr>
          <w:p>
            <w:r>
              <w:rPr>
                <w:b w:val="false"/>
                <w:bCs w:val="false"/>
                <w:sz w:val="19"/>
                <w:szCs w:val="19"/>
              </w:rPr>
              <w:t xml:space="preserve">3 — Managed</w:t>
            </w:r>
          </w:p>
        </w:tc>
        <w:tc>
          <w:tcPr>
            <w:tcW w:type="dxa" w:w="4450"/>
            <w:tcMar>
              <w:top w:type="dxa" w:w="80"/>
              <w:left w:type="dxa" w:w="100"/>
              <w:bottom w:type="dxa" w:w="80"/>
              <w:right w:type="dxa" w:w="100"/>
            </w:tcMar>
            <w:vAlign w:val="center"/>
          </w:tcPr>
          <w:p>
            <w:r>
              <w:rPr>
                <w:b w:val="false"/>
                <w:bCs w:val="false"/>
                <w:sz w:val="19"/>
                <w:szCs w:val="19"/>
              </w:rPr>
              <w:t xml:space="preserve">Dedicated circuit-breaker, confidence-language, and shadow-evaluation modules exist.</w:t>
            </w:r>
          </w:p>
        </w:tc>
      </w:tr>
      <w:tr>
        <w:tc>
          <w:tcPr>
            <w:tcW w:type="dxa" w:w="3200"/>
            <w:shd w:fill="EDF2F4" w:val="clear"/>
            <w:tcMar>
              <w:top w:type="dxa" w:w="80"/>
              <w:left w:type="dxa" w:w="100"/>
              <w:bottom w:type="dxa" w:w="80"/>
              <w:right w:type="dxa" w:w="100"/>
            </w:tcMar>
            <w:vAlign w:val="center"/>
          </w:tcPr>
          <w:p>
            <w:r>
              <w:rPr>
                <w:b w:val="false"/>
                <w:bCs w:val="false"/>
                <w:sz w:val="19"/>
                <w:szCs w:val="19"/>
              </w:rPr>
              <w:t xml:space="preserve">Identity, Roles &amp; Access Administration</w:t>
            </w:r>
          </w:p>
        </w:tc>
        <w:tc>
          <w:tcPr>
            <w:tcW w:type="dxa" w:w="1700"/>
            <w:shd w:fill="EDF2F4" w:val="clear"/>
            <w:tcMar>
              <w:top w:type="dxa" w:w="80"/>
              <w:left w:type="dxa" w:w="100"/>
              <w:bottom w:type="dxa" w:w="80"/>
              <w:right w:type="dxa" w:w="100"/>
            </w:tcMar>
            <w:vAlign w:val="center"/>
          </w:tcPr>
          <w:p>
            <w:r>
              <w:rPr>
                <w:b w:val="false"/>
                <w:bCs w:val="false"/>
                <w:sz w:val="19"/>
                <w:szCs w:val="19"/>
              </w:rPr>
              <w:t xml:space="preserve">3 — Managed</w:t>
            </w:r>
          </w:p>
        </w:tc>
        <w:tc>
          <w:tcPr>
            <w:tcW w:type="dxa" w:w="4450"/>
            <w:shd w:fill="EDF2F4" w:val="clear"/>
            <w:tcMar>
              <w:top w:type="dxa" w:w="80"/>
              <w:left w:type="dxa" w:w="100"/>
              <w:bottom w:type="dxa" w:w="80"/>
              <w:right w:type="dxa" w:w="100"/>
            </w:tcMar>
            <w:vAlign w:val="center"/>
          </w:tcPr>
          <w:p>
            <w:r>
              <w:rPr>
                <w:b w:val="false"/>
                <w:bCs w:val="false"/>
                <w:sz w:val="19"/>
                <w:szCs w:val="19"/>
              </w:rPr>
              <w:t xml:space="preserve">Dedicated user/roles/roleAliases modules with auth middleware applied platform-wide.</w:t>
            </w:r>
          </w:p>
        </w:tc>
      </w:tr>
      <w:tr>
        <w:tc>
          <w:tcPr>
            <w:tcW w:type="dxa" w:w="3200"/>
            <w:tcMar>
              <w:top w:type="dxa" w:w="80"/>
              <w:left w:type="dxa" w:w="100"/>
              <w:bottom w:type="dxa" w:w="80"/>
              <w:right w:type="dxa" w:w="100"/>
            </w:tcMar>
            <w:vAlign w:val="center"/>
          </w:tcPr>
          <w:p>
            <w:r>
              <w:rPr>
                <w:b w:val="false"/>
                <w:bCs w:val="false"/>
                <w:sz w:val="19"/>
                <w:szCs w:val="19"/>
              </w:rPr>
              <w:t xml:space="preserve">User Activity &amp; Behavioral Analytics</w:t>
            </w:r>
          </w:p>
        </w:tc>
        <w:tc>
          <w:tcPr>
            <w:tcW w:type="dxa" w:w="1700"/>
            <w:tcMar>
              <w:top w:type="dxa" w:w="80"/>
              <w:left w:type="dxa" w:w="100"/>
              <w:bottom w:type="dxa" w:w="80"/>
              <w:right w:type="dxa" w:w="100"/>
            </w:tcMar>
            <w:vAlign w:val="center"/>
          </w:tcPr>
          <w:p>
            <w:r>
              <w:rPr>
                <w:b w:val="false"/>
                <w:bCs w:val="false"/>
                <w:sz w:val="19"/>
                <w:szCs w:val="19"/>
              </w:rPr>
              <w:t xml:space="preserve">3 — Managed</w:t>
            </w:r>
          </w:p>
        </w:tc>
        <w:tc>
          <w:tcPr>
            <w:tcW w:type="dxa" w:w="4450"/>
            <w:tcMar>
              <w:top w:type="dxa" w:w="80"/>
              <w:left w:type="dxa" w:w="100"/>
              <w:bottom w:type="dxa" w:w="80"/>
              <w:right w:type="dxa" w:w="100"/>
            </w:tcMar>
            <w:vAlign w:val="center"/>
          </w:tcPr>
          <w:p>
            <w:r>
              <w:rPr>
                <w:b w:val="false"/>
                <w:bCs w:val="false"/>
                <w:sz w:val="19"/>
                <w:szCs w:val="19"/>
              </w:rPr>
              <w:t xml:space="preserve">Dedicated userActivity and analytics modules with authenticated JWT context.</w:t>
            </w:r>
          </w:p>
        </w:tc>
      </w:tr>
      <w:tr>
        <w:tc>
          <w:tcPr>
            <w:tcW w:type="dxa" w:w="3200"/>
            <w:shd w:fill="EDF2F4" w:val="clear"/>
            <w:tcMar>
              <w:top w:type="dxa" w:w="80"/>
              <w:left w:type="dxa" w:w="100"/>
              <w:bottom w:type="dxa" w:w="80"/>
              <w:right w:type="dxa" w:w="100"/>
            </w:tcMar>
            <w:vAlign w:val="center"/>
          </w:tcPr>
          <w:p>
            <w:r>
              <w:rPr>
                <w:b w:val="false"/>
                <w:bCs w:val="false"/>
                <w:sz w:val="19"/>
                <w:szCs w:val="19"/>
              </w:rPr>
              <w:t xml:space="preserve">Architecture &amp; Engineering Standards Conformance</w:t>
            </w:r>
          </w:p>
        </w:tc>
        <w:tc>
          <w:tcPr>
            <w:tcW w:type="dxa" w:w="1700"/>
            <w:shd w:fill="EDF2F4" w:val="clear"/>
            <w:tcMar>
              <w:top w:type="dxa" w:w="80"/>
              <w:left w:type="dxa" w:w="100"/>
              <w:bottom w:type="dxa" w:w="80"/>
              <w:right w:type="dxa" w:w="100"/>
            </w:tcMar>
            <w:vAlign w:val="center"/>
          </w:tcPr>
          <w:p>
            <w:r>
              <w:rPr>
                <w:b w:val="false"/>
                <w:bCs w:val="false"/>
                <w:sz w:val="19"/>
                <w:szCs w:val="19"/>
              </w:rPr>
              <w:t xml:space="preserve">3 — Managed, with documented drift</w:t>
            </w:r>
          </w:p>
        </w:tc>
        <w:tc>
          <w:tcPr>
            <w:tcW w:type="dxa" w:w="4450"/>
            <w:shd w:fill="EDF2F4" w:val="clear"/>
            <w:tcMar>
              <w:top w:type="dxa" w:w="80"/>
              <w:left w:type="dxa" w:w="100"/>
              <w:bottom w:type="dxa" w:w="80"/>
              <w:right w:type="dxa" w:w="100"/>
            </w:tcMar>
            <w:vAlign w:val="center"/>
          </w:tcPr>
          <w:p>
            <w:r>
              <w:rPr>
                <w:b w:val="false"/>
                <w:bCs w:val="false"/>
                <w:sz w:val="19"/>
                <w:szCs w:val="19"/>
              </w:rPr>
              <w:t xml:space="preserve">Custom lint rules and CI exist, but Phase J documents four concrete drift instances.</w:t>
            </w:r>
          </w:p>
        </w:tc>
      </w:tr>
      <w:tr>
        <w:tc>
          <w:tcPr>
            <w:tcW w:type="dxa" w:w="3200"/>
            <w:tcMar>
              <w:top w:type="dxa" w:w="80"/>
              <w:left w:type="dxa" w:w="100"/>
              <w:bottom w:type="dxa" w:w="80"/>
              <w:right w:type="dxa" w:w="100"/>
            </w:tcMar>
            <w:vAlign w:val="center"/>
          </w:tcPr>
          <w:p>
            <w:r>
              <w:rPr>
                <w:b w:val="false"/>
                <w:bCs w:val="false"/>
                <w:sz w:val="19"/>
                <w:szCs w:val="19"/>
              </w:rPr>
              <w:t xml:space="preserve">Knowledge Runtime &amp; Context Assembly</w:t>
            </w:r>
          </w:p>
        </w:tc>
        <w:tc>
          <w:tcPr>
            <w:tcW w:type="dxa" w:w="1700"/>
            <w:tcMar>
              <w:top w:type="dxa" w:w="80"/>
              <w:left w:type="dxa" w:w="100"/>
              <w:bottom w:type="dxa" w:w="80"/>
              <w:right w:type="dxa" w:w="100"/>
            </w:tcMar>
            <w:vAlign w:val="center"/>
          </w:tcPr>
          <w:p>
            <w:r>
              <w:rPr>
                <w:b w:val="false"/>
                <w:bCs w:val="false"/>
                <w:sz w:val="19"/>
                <w:szCs w:val="19"/>
              </w:rPr>
              <w:t xml:space="preserve">3 — Managed</w:t>
            </w:r>
          </w:p>
        </w:tc>
        <w:tc>
          <w:tcPr>
            <w:tcW w:type="dxa" w:w="4450"/>
            <w:tcMar>
              <w:top w:type="dxa" w:w="80"/>
              <w:left w:type="dxa" w:w="100"/>
              <w:bottom w:type="dxa" w:w="80"/>
              <w:right w:type="dxa" w:w="100"/>
            </w:tcMar>
            <w:vAlign w:val="center"/>
          </w:tcPr>
          <w:p>
            <w:r>
              <w:rPr>
                <w:b w:val="false"/>
                <w:bCs w:val="false"/>
                <w:sz w:val="19"/>
                <w:szCs w:val="19"/>
              </w:rPr>
              <w:t xml:space="preserve">Dedicated knowledge-runtime module consumed by AI advisory capability.</w:t>
            </w:r>
          </w:p>
        </w:tc>
      </w:tr>
      <w:tr>
        <w:tc>
          <w:tcPr>
            <w:tcW w:type="dxa" w:w="3200"/>
            <w:shd w:fill="EDF2F4" w:val="clear"/>
            <w:tcMar>
              <w:top w:type="dxa" w:w="80"/>
              <w:left w:type="dxa" w:w="100"/>
              <w:bottom w:type="dxa" w:w="80"/>
              <w:right w:type="dxa" w:w="100"/>
            </w:tcMar>
            <w:vAlign w:val="center"/>
          </w:tcPr>
          <w:p>
            <w:r>
              <w:rPr>
                <w:b w:val="false"/>
                <w:bCs w:val="false"/>
                <w:sz w:val="19"/>
                <w:szCs w:val="19"/>
              </w:rPr>
              <w:t xml:space="preserve">Career Opportunity Radar</w:t>
            </w:r>
          </w:p>
        </w:tc>
        <w:tc>
          <w:tcPr>
            <w:tcW w:type="dxa" w:w="1700"/>
            <w:shd w:fill="EDF2F4" w:val="clear"/>
            <w:tcMar>
              <w:top w:type="dxa" w:w="80"/>
              <w:left w:type="dxa" w:w="100"/>
              <w:bottom w:type="dxa" w:w="80"/>
              <w:right w:type="dxa" w:w="100"/>
            </w:tcMar>
            <w:vAlign w:val="center"/>
          </w:tcPr>
          <w:p>
            <w:r>
              <w:rPr>
                <w:b w:val="false"/>
                <w:bCs w:val="false"/>
                <w:sz w:val="19"/>
                <w:szCs w:val="19"/>
              </w:rPr>
              <w:t xml:space="preserve">2 — Emerging</w:t>
            </w:r>
          </w:p>
        </w:tc>
        <w:tc>
          <w:tcPr>
            <w:tcW w:type="dxa" w:w="4450"/>
            <w:shd w:fill="EDF2F4" w:val="clear"/>
            <w:tcMar>
              <w:top w:type="dxa" w:w="80"/>
              <w:left w:type="dxa" w:w="100"/>
              <w:bottom w:type="dxa" w:w="80"/>
              <w:right w:type="dxa" w:w="100"/>
            </w:tcMar>
            <w:vAlign w:val="center"/>
          </w:tcPr>
          <w:p>
            <w:r>
              <w:rPr>
                <w:b w:val="false"/>
                <w:bCs w:val="false"/>
                <w:sz w:val="19"/>
                <w:szCs w:val="19"/>
              </w:rPr>
              <w:t xml:space="preserve">Routed and functional, but primary input is mock (Phase E).</w:t>
            </w:r>
          </w:p>
        </w:tc>
      </w:tr>
      <w:tr>
        <w:tc>
          <w:tcPr>
            <w:tcW w:type="dxa" w:w="3200"/>
            <w:tcMar>
              <w:top w:type="dxa" w:w="80"/>
              <w:left w:type="dxa" w:w="100"/>
              <w:bottom w:type="dxa" w:w="80"/>
              <w:right w:type="dxa" w:w="100"/>
            </w:tcMar>
            <w:vAlign w:val="center"/>
          </w:tcPr>
          <w:p>
            <w:r>
              <w:rPr>
                <w:b w:val="false"/>
                <w:bCs w:val="false"/>
                <w:sz w:val="19"/>
                <w:szCs w:val="19"/>
              </w:rPr>
              <w:t xml:space="preserve">Labor Market &amp; Salary Intelligence</w:t>
            </w:r>
          </w:p>
        </w:tc>
        <w:tc>
          <w:tcPr>
            <w:tcW w:type="dxa" w:w="1700"/>
            <w:tcMar>
              <w:top w:type="dxa" w:w="80"/>
              <w:left w:type="dxa" w:w="100"/>
              <w:bottom w:type="dxa" w:w="80"/>
              <w:right w:type="dxa" w:w="100"/>
            </w:tcMar>
            <w:vAlign w:val="center"/>
          </w:tcPr>
          <w:p>
            <w:r>
              <w:rPr>
                <w:b w:val="false"/>
                <w:bCs w:val="false"/>
                <w:sz w:val="19"/>
                <w:szCs w:val="19"/>
              </w:rPr>
              <w:t xml:space="preserve">2 — Emerging</w:t>
            </w:r>
          </w:p>
        </w:tc>
        <w:tc>
          <w:tcPr>
            <w:tcW w:type="dxa" w:w="4450"/>
            <w:tcMar>
              <w:top w:type="dxa" w:w="80"/>
              <w:left w:type="dxa" w:w="100"/>
              <w:bottom w:type="dxa" w:w="80"/>
              <w:right w:type="dxa" w:w="100"/>
            </w:tcMar>
            <w:vAlign w:val="center"/>
          </w:tcPr>
          <w:p>
            <w:r>
              <w:rPr>
                <w:b w:val="false"/>
                <w:bCs w:val="false"/>
                <w:sz w:val="19"/>
                <w:szCs w:val="19"/>
              </w:rPr>
              <w:t xml:space="preserve">Real seed data and routed modules; live collection is explicitly mock (Phase E).</w:t>
            </w:r>
          </w:p>
        </w:tc>
      </w:tr>
      <w:tr>
        <w:tc>
          <w:tcPr>
            <w:tcW w:type="dxa" w:w="3200"/>
            <w:shd w:fill="EDF2F4" w:val="clear"/>
            <w:tcMar>
              <w:top w:type="dxa" w:w="80"/>
              <w:left w:type="dxa" w:w="100"/>
              <w:bottom w:type="dxa" w:w="80"/>
              <w:right w:type="dxa" w:w="100"/>
            </w:tcMar>
            <w:vAlign w:val="center"/>
          </w:tcPr>
          <w:p>
            <w:r>
              <w:rPr>
                <w:b w:val="false"/>
                <w:bCs w:val="false"/>
                <w:sz w:val="19"/>
                <w:szCs w:val="19"/>
              </w:rPr>
              <w:t xml:space="preserve">Source &amp; Market Intelligence Curation</w:t>
            </w:r>
          </w:p>
        </w:tc>
        <w:tc>
          <w:tcPr>
            <w:tcW w:type="dxa" w:w="1700"/>
            <w:shd w:fill="EDF2F4" w:val="clear"/>
            <w:tcMar>
              <w:top w:type="dxa" w:w="80"/>
              <w:left w:type="dxa" w:w="100"/>
              <w:bottom w:type="dxa" w:w="80"/>
              <w:right w:type="dxa" w:w="100"/>
            </w:tcMar>
            <w:vAlign w:val="center"/>
          </w:tcPr>
          <w:p>
            <w:r>
              <w:rPr>
                <w:b w:val="false"/>
                <w:bCs w:val="false"/>
                <w:sz w:val="19"/>
                <w:szCs w:val="19"/>
              </w:rPr>
              <w:t xml:space="preserve">2 — Emerging</w:t>
            </w:r>
          </w:p>
        </w:tc>
        <w:tc>
          <w:tcPr>
            <w:tcW w:type="dxa" w:w="4450"/>
            <w:shd w:fill="EDF2F4" w:val="clear"/>
            <w:tcMar>
              <w:top w:type="dxa" w:w="80"/>
              <w:left w:type="dxa" w:w="100"/>
              <w:bottom w:type="dxa" w:w="80"/>
              <w:right w:type="dxa" w:w="100"/>
            </w:tcMar>
            <w:vAlign w:val="center"/>
          </w:tcPr>
          <w:p>
            <w:r>
              <w:rPr>
                <w:b w:val="false"/>
                <w:bCs w:val="false"/>
                <w:sz w:val="19"/>
                <w:szCs w:val="19"/>
              </w:rPr>
              <w:t xml:space="preserve">Named module exists; maturity bounded by the same mock-data constraint.</w:t>
            </w:r>
          </w:p>
        </w:tc>
      </w:tr>
      <w:tr>
        <w:tc>
          <w:tcPr>
            <w:tcW w:type="dxa" w:w="3200"/>
            <w:tcMar>
              <w:top w:type="dxa" w:w="80"/>
              <w:left w:type="dxa" w:w="100"/>
              <w:bottom w:type="dxa" w:w="80"/>
              <w:right w:type="dxa" w:w="100"/>
            </w:tcMar>
            <w:vAlign w:val="center"/>
          </w:tcPr>
          <w:p>
            <w:r>
              <w:rPr>
                <w:b w:val="false"/>
                <w:bCs w:val="false"/>
                <w:sz w:val="19"/>
                <w:szCs w:val="19"/>
              </w:rPr>
              <w:t xml:space="preserve">AI Personalization &amp; Adaptive Weighting</w:t>
            </w:r>
          </w:p>
        </w:tc>
        <w:tc>
          <w:tcPr>
            <w:tcW w:type="dxa" w:w="1700"/>
            <w:tcMar>
              <w:top w:type="dxa" w:w="80"/>
              <w:left w:type="dxa" w:w="100"/>
              <w:bottom w:type="dxa" w:w="80"/>
              <w:right w:type="dxa" w:w="100"/>
            </w:tcMar>
            <w:vAlign w:val="center"/>
          </w:tcPr>
          <w:p>
            <w:r>
              <w:rPr>
                <w:b w:val="false"/>
                <w:bCs w:val="false"/>
                <w:sz w:val="19"/>
                <w:szCs w:val="19"/>
              </w:rPr>
              <w:t xml:space="preserve">2 — Emerging</w:t>
            </w:r>
          </w:p>
        </w:tc>
        <w:tc>
          <w:tcPr>
            <w:tcW w:type="dxa" w:w="4450"/>
            <w:tcMar>
              <w:top w:type="dxa" w:w="80"/>
              <w:left w:type="dxa" w:w="100"/>
              <w:bottom w:type="dxa" w:w="80"/>
              <w:right w:type="dxa" w:w="100"/>
            </w:tcMar>
            <w:vAlign w:val="center"/>
          </w:tcPr>
          <w:p>
            <w:r>
              <w:rPr>
                <w:b w:val="false"/>
                <w:bCs w:val="false"/>
                <w:sz w:val="19"/>
                <w:szCs w:val="19"/>
              </w:rPr>
              <w:t xml:space="preserve">adaptiveWeight module exists and is consumed, but not yet evidenced as outcome-validated.</w:t>
            </w:r>
          </w:p>
        </w:tc>
      </w:tr>
      <w:tr>
        <w:tc>
          <w:tcPr>
            <w:tcW w:type="dxa" w:w="3200"/>
            <w:shd w:fill="EDF2F4" w:val="clear"/>
            <w:tcMar>
              <w:top w:type="dxa" w:w="80"/>
              <w:left w:type="dxa" w:w="100"/>
              <w:bottom w:type="dxa" w:w="80"/>
              <w:right w:type="dxa" w:w="100"/>
            </w:tcMar>
            <w:vAlign w:val="center"/>
          </w:tcPr>
          <w:p>
            <w:r>
              <w:rPr>
                <w:b w:val="false"/>
                <w:bCs w:val="false"/>
                <w:sz w:val="19"/>
                <w:szCs w:val="19"/>
              </w:rPr>
              <w:t xml:space="preserve">Growth &amp; Progress Tracking</w:t>
            </w:r>
          </w:p>
        </w:tc>
        <w:tc>
          <w:tcPr>
            <w:tcW w:type="dxa" w:w="1700"/>
            <w:shd w:fill="EDF2F4" w:val="clear"/>
            <w:tcMar>
              <w:top w:type="dxa" w:w="80"/>
              <w:left w:type="dxa" w:w="100"/>
              <w:bottom w:type="dxa" w:w="80"/>
              <w:right w:type="dxa" w:w="100"/>
            </w:tcMar>
            <w:vAlign w:val="center"/>
          </w:tcPr>
          <w:p>
            <w:r>
              <w:rPr>
                <w:b w:val="false"/>
                <w:bCs w:val="false"/>
                <w:sz w:val="19"/>
                <w:szCs w:val="19"/>
              </w:rPr>
              <w:t xml:space="preserve">2 — Emerging</w:t>
            </w:r>
          </w:p>
        </w:tc>
        <w:tc>
          <w:tcPr>
            <w:tcW w:type="dxa" w:w="4450"/>
            <w:shd w:fill="EDF2F4" w:val="clear"/>
            <w:tcMar>
              <w:top w:type="dxa" w:w="80"/>
              <w:left w:type="dxa" w:w="100"/>
              <w:bottom w:type="dxa" w:w="80"/>
              <w:right w:type="dxa" w:w="100"/>
            </w:tcMar>
            <w:vAlign w:val="center"/>
          </w:tcPr>
          <w:p>
            <w:r>
              <w:rPr>
                <w:b w:val="false"/>
                <w:bCs w:val="false"/>
                <w:sz w:val="19"/>
                <w:szCs w:val="19"/>
              </w:rPr>
              <w:t xml:space="preserve">growth and resumeGrowth modules exist; outcome-linkage not yet evidenced.</w:t>
            </w:r>
          </w:p>
        </w:tc>
      </w:tr>
      <w:tr>
        <w:tc>
          <w:tcPr>
            <w:tcW w:type="dxa" w:w="3200"/>
            <w:tcMar>
              <w:top w:type="dxa" w:w="80"/>
              <w:left w:type="dxa" w:w="100"/>
              <w:bottom w:type="dxa" w:w="80"/>
              <w:right w:type="dxa" w:w="100"/>
            </w:tcMar>
            <w:vAlign w:val="center"/>
          </w:tcPr>
          <w:p>
            <w:r>
              <w:rPr>
                <w:b w:val="false"/>
                <w:bCs w:val="false"/>
                <w:sz w:val="19"/>
                <w:szCs w:val="19"/>
              </w:rPr>
              <w:t xml:space="preserve">Daily Engagement &amp; Conversion</w:t>
            </w:r>
          </w:p>
        </w:tc>
        <w:tc>
          <w:tcPr>
            <w:tcW w:type="dxa" w:w="1700"/>
            <w:tcMar>
              <w:top w:type="dxa" w:w="80"/>
              <w:left w:type="dxa" w:w="100"/>
              <w:bottom w:type="dxa" w:w="80"/>
              <w:right w:type="dxa" w:w="100"/>
            </w:tcMar>
            <w:vAlign w:val="center"/>
          </w:tcPr>
          <w:p>
            <w:r>
              <w:rPr>
                <w:b w:val="false"/>
                <w:bCs w:val="false"/>
                <w:sz w:val="19"/>
                <w:szCs w:val="19"/>
              </w:rPr>
              <w:t xml:space="preserve">2 — Emerging</w:t>
            </w:r>
          </w:p>
        </w:tc>
        <w:tc>
          <w:tcPr>
            <w:tcW w:type="dxa" w:w="4450"/>
            <w:tcMar>
              <w:top w:type="dxa" w:w="80"/>
              <w:left w:type="dxa" w:w="100"/>
              <w:bottom w:type="dxa" w:w="80"/>
              <w:right w:type="dxa" w:w="100"/>
            </w:tcMar>
            <w:vAlign w:val="center"/>
          </w:tcPr>
          <w:p>
            <w:r>
              <w:rPr>
                <w:b w:val="false"/>
                <w:bCs w:val="false"/>
                <w:sz w:val="19"/>
                <w:szCs w:val="19"/>
              </w:rPr>
              <w:t xml:space="preserve">Dedicated modules exist; engagement-outcome correlation not yet evidenced.</w:t>
            </w:r>
          </w:p>
        </w:tc>
      </w:tr>
      <w:tr>
        <w:tc>
          <w:tcPr>
            <w:tcW w:type="dxa" w:w="3200"/>
            <w:shd w:fill="EDF2F4" w:val="clear"/>
            <w:tcMar>
              <w:top w:type="dxa" w:w="80"/>
              <w:left w:type="dxa" w:w="100"/>
              <w:bottom w:type="dxa" w:w="80"/>
              <w:right w:type="dxa" w:w="100"/>
            </w:tcMar>
            <w:vAlign w:val="center"/>
          </w:tcPr>
          <w:p>
            <w:r>
              <w:rPr>
                <w:b w:val="false"/>
                <w:bCs w:val="false"/>
                <w:sz w:val="19"/>
                <w:szCs w:val="19"/>
              </w:rPr>
              <w:t xml:space="preserve">Platform Configuration &amp; Secrets Stewardship</w:t>
            </w:r>
          </w:p>
        </w:tc>
        <w:tc>
          <w:tcPr>
            <w:tcW w:type="dxa" w:w="1700"/>
            <w:shd w:fill="EDF2F4" w:val="clear"/>
            <w:tcMar>
              <w:top w:type="dxa" w:w="80"/>
              <w:left w:type="dxa" w:w="100"/>
              <w:bottom w:type="dxa" w:w="80"/>
              <w:right w:type="dxa" w:w="100"/>
            </w:tcMar>
            <w:vAlign w:val="center"/>
          </w:tcPr>
          <w:p>
            <w:r>
              <w:rPr>
                <w:b w:val="false"/>
                <w:bCs w:val="false"/>
                <w:sz w:val="19"/>
                <w:szCs w:val="19"/>
              </w:rPr>
              <w:t xml:space="preserve">2 — Emerging</w:t>
            </w:r>
          </w:p>
        </w:tc>
        <w:tc>
          <w:tcPr>
            <w:tcW w:type="dxa" w:w="4450"/>
            <w:shd w:fill="EDF2F4" w:val="clear"/>
            <w:tcMar>
              <w:top w:type="dxa" w:w="80"/>
              <w:left w:type="dxa" w:w="100"/>
              <w:bottom w:type="dxa" w:w="80"/>
              <w:right w:type="dxa" w:w="100"/>
            </w:tcMar>
            <w:vAlign w:val="center"/>
          </w:tcPr>
          <w:p>
            <w:r>
              <w:rPr>
                <w:b w:val="false"/>
                <w:bCs w:val="false"/>
                <w:sz w:val="19"/>
                <w:szCs w:val="19"/>
              </w:rPr>
              <w:t xml:space="preserve">Dedicated secrets module exists; see Section 16 for a specific hygiene risk identified during this review.</w:t>
            </w:r>
          </w:p>
        </w:tc>
      </w:tr>
      <w:tr>
        <w:tc>
          <w:tcPr>
            <w:tcW w:type="dxa" w:w="3200"/>
            <w:tcMar>
              <w:top w:type="dxa" w:w="80"/>
              <w:left w:type="dxa" w:w="100"/>
              <w:bottom w:type="dxa" w:w="80"/>
              <w:right w:type="dxa" w:w="100"/>
            </w:tcMar>
            <w:vAlign w:val="center"/>
          </w:tcPr>
          <w:p>
            <w:r>
              <w:rPr>
                <w:b w:val="false"/>
                <w:bCs w:val="false"/>
                <w:sz w:val="19"/>
                <w:szCs w:val="19"/>
              </w:rPr>
              <w:t xml:space="preserve">Intelligence Quality &amp; Drift Monitoring</w:t>
            </w:r>
          </w:p>
        </w:tc>
        <w:tc>
          <w:tcPr>
            <w:tcW w:type="dxa" w:w="1700"/>
            <w:tcMar>
              <w:top w:type="dxa" w:w="80"/>
              <w:left w:type="dxa" w:w="100"/>
              <w:bottom w:type="dxa" w:w="80"/>
              <w:right w:type="dxa" w:w="100"/>
            </w:tcMar>
            <w:vAlign w:val="center"/>
          </w:tcPr>
          <w:p>
            <w:r>
              <w:rPr>
                <w:b w:val="false"/>
                <w:bCs w:val="false"/>
                <w:sz w:val="19"/>
                <w:szCs w:val="19"/>
              </w:rPr>
              <w:t xml:space="preserve">2 — Emerging</w:t>
            </w:r>
          </w:p>
        </w:tc>
        <w:tc>
          <w:tcPr>
            <w:tcW w:type="dxa" w:w="4450"/>
            <w:tcMar>
              <w:top w:type="dxa" w:w="80"/>
              <w:left w:type="dxa" w:w="100"/>
              <w:bottom w:type="dxa" w:w="80"/>
              <w:right w:type="dxa" w:w="100"/>
            </w:tcMar>
            <w:vAlign w:val="center"/>
          </w:tcPr>
          <w:p>
            <w:r>
              <w:rPr>
                <w:b w:val="false"/>
                <w:bCs w:val="false"/>
                <w:sz w:val="19"/>
                <w:szCs w:val="19"/>
              </w:rPr>
              <w:t xml:space="preserve">intelligence-quality module and front-end components exist; platform-wide drift coverage not fully evidenced.</w:t>
            </w:r>
          </w:p>
        </w:tc>
      </w:tr>
      <w:tr>
        <w:tc>
          <w:tcPr>
            <w:tcW w:type="dxa" w:w="3200"/>
            <w:shd w:fill="EDF2F4" w:val="clear"/>
            <w:tcMar>
              <w:top w:type="dxa" w:w="80"/>
              <w:left w:type="dxa" w:w="100"/>
              <w:bottom w:type="dxa" w:w="80"/>
              <w:right w:type="dxa" w:w="100"/>
            </w:tcMar>
            <w:vAlign w:val="center"/>
          </w:tcPr>
          <w:p>
            <w:r>
              <w:rPr>
                <w:b w:val="false"/>
                <w:bCs w:val="false"/>
                <w:sz w:val="19"/>
                <w:szCs w:val="19"/>
              </w:rPr>
              <w:t xml:space="preserve">Career Digital Twin &amp; Simulation</w:t>
            </w:r>
          </w:p>
        </w:tc>
        <w:tc>
          <w:tcPr>
            <w:tcW w:type="dxa" w:w="1700"/>
            <w:shd w:fill="EDF2F4" w:val="clear"/>
            <w:tcMar>
              <w:top w:type="dxa" w:w="80"/>
              <w:left w:type="dxa" w:w="100"/>
              <w:bottom w:type="dxa" w:w="80"/>
              <w:right w:type="dxa" w:w="100"/>
            </w:tcMar>
            <w:vAlign w:val="center"/>
          </w:tcPr>
          <w:p>
            <w:r>
              <w:rPr>
                <w:b w:val="false"/>
                <w:bCs w:val="false"/>
                <w:sz w:val="19"/>
                <w:szCs w:val="19"/>
              </w:rPr>
              <w:t xml:space="preserve">1 — Initial</w:t>
            </w:r>
          </w:p>
        </w:tc>
        <w:tc>
          <w:tcPr>
            <w:tcW w:type="dxa" w:w="4450"/>
            <w:shd w:fill="EDF2F4" w:val="clear"/>
            <w:tcMar>
              <w:top w:type="dxa" w:w="80"/>
              <w:left w:type="dxa" w:w="100"/>
              <w:bottom w:type="dxa" w:w="80"/>
              <w:right w:type="dxa" w:w="100"/>
            </w:tcMar>
            <w:vAlign w:val="center"/>
          </w:tcPr>
          <w:p>
            <w:r>
              <w:rPr>
                <w:b w:val="false"/>
                <w:bCs w:val="false"/>
                <w:sz w:val="19"/>
                <w:szCs w:val="19"/>
              </w:rPr>
              <w:t xml:space="preserve">Exists as a public module barrel/interface only; no populated simulation logic evidenced.</w:t>
            </w:r>
          </w:p>
        </w:tc>
      </w:tr>
      <w:tr>
        <w:tc>
          <w:tcPr>
            <w:tcW w:type="dxa" w:w="3200"/>
            <w:tcMar>
              <w:top w:type="dxa" w:w="80"/>
              <w:left w:type="dxa" w:w="100"/>
              <w:bottom w:type="dxa" w:w="80"/>
              <w:right w:type="dxa" w:w="100"/>
            </w:tcMar>
            <w:vAlign w:val="center"/>
          </w:tcPr>
          <w:p>
            <w:r>
              <w:rPr>
                <w:b w:val="false"/>
                <w:bCs w:val="false"/>
                <w:sz w:val="19"/>
                <w:szCs w:val="19"/>
              </w:rPr>
              <w:t xml:space="preserve">Employer Integration &amp; Opportunity Ingestion</w:t>
            </w:r>
          </w:p>
        </w:tc>
        <w:tc>
          <w:tcPr>
            <w:tcW w:type="dxa" w:w="1700"/>
            <w:tcMar>
              <w:top w:type="dxa" w:w="80"/>
              <w:left w:type="dxa" w:w="100"/>
              <w:bottom w:type="dxa" w:w="80"/>
              <w:right w:type="dxa" w:w="100"/>
            </w:tcMar>
            <w:vAlign w:val="center"/>
          </w:tcPr>
          <w:p>
            <w:r>
              <w:rPr>
                <w:b w:val="false"/>
                <w:bCs w:val="false"/>
                <w:sz w:val="19"/>
                <w:szCs w:val="19"/>
              </w:rPr>
              <w:t xml:space="preserve">1 — Initial</w:t>
            </w:r>
          </w:p>
        </w:tc>
        <w:tc>
          <w:tcPr>
            <w:tcW w:type="dxa" w:w="4450"/>
            <w:tcMar>
              <w:top w:type="dxa" w:w="80"/>
              <w:left w:type="dxa" w:w="100"/>
              <w:bottom w:type="dxa" w:w="80"/>
              <w:right w:type="dxa" w:w="100"/>
            </w:tcMar>
            <w:vAlign w:val="center"/>
          </w:tcPr>
          <w:p>
            <w:r>
              <w:rPr>
                <w:b w:val="false"/>
                <w:bCs w:val="false"/>
                <w:sz w:val="19"/>
                <w:szCs w:val="19"/>
              </w:rPr>
              <w:t xml:space="preserve">Named module exists; no live external integration evidenced anywhere in the repository (Phase E).</w:t>
            </w:r>
          </w:p>
        </w:tc>
      </w:tr>
    </w:tbl>
    <w:p>
      <w:r>
        <w:br w:type="page"/>
      </w:r>
    </w:p>
    <w:p>
      <w:pPr>
        <w:pStyle w:val="Heading1"/>
        <w:spacing w:after="200" w:before="400"/>
      </w:pPr>
      <w:r>
        <w:t xml:space="preserve">10. Current State vs Target State</w:t>
      </w:r>
    </w:p>
    <w:p>
      <w:pPr>
        <w:pStyle w:val="Heading2"/>
        <w:spacing w:after="140" w:before="280"/>
      </w:pPr>
      <w:r>
        <w:t xml:space="preserve">10.1 Existing Capabilities (Level 3+)</w:t>
      </w:r>
    </w:p>
    <w:p>
      <w:pPr>
        <w:pStyle w:val="ListParagraph"/>
        <w:numPr>
          <w:ilvl w:val="0"/>
          <w:numId w:val="1"/>
        </w:numPr>
        <w:spacing w:after="80" w:line="276"/>
      </w:pPr>
      <w:r>
        <w:t xml:space="preserve">Academic Profile &amp; Context Intelligence; AI Career Advisory &amp; Agentic Orchestration; Career Path Intelligence &amp; Recommendation; Career Health Assessment (v1); Candidate Document Generation; Skill &amp; Knowledge Graph Management; AI Quality &amp; Confidence Governance; Identity, Roles &amp; Access Administration; User Activity &amp; Behavioral Analytics; Knowledge Runtime &amp; Context Assembly; Architecture &amp; Engineering Standards Conformance.</w:t>
      </w:r>
    </w:p>
    <w:p>
      <w:pPr>
        <w:pStyle w:val="Heading2"/>
        <w:spacing w:after="140" w:before="280"/>
      </w:pPr>
      <w:r>
        <w:t xml:space="preserve">10.2 Missing Capabilities (evidenced gap, not yet at Level 2+)</w:t>
      </w:r>
    </w:p>
    <w:p>
      <w:pPr>
        <w:pStyle w:val="ListParagraph"/>
        <w:numPr>
          <w:ilvl w:val="0"/>
          <w:numId w:val="1"/>
        </w:numPr>
        <w:spacing w:after="80" w:line="276"/>
      </w:pPr>
      <w:r>
        <w:t xml:space="preserve">Live, non-mock Labor Market &amp; Salary Intelligence data.</w:t>
      </w:r>
    </w:p>
    <w:p>
      <w:pPr>
        <w:pStyle w:val="ListParagraph"/>
        <w:numPr>
          <w:ilvl w:val="0"/>
          <w:numId w:val="1"/>
        </w:numPr>
        <w:spacing w:after="80" w:line="276"/>
      </w:pPr>
      <w:r>
        <w:t xml:space="preserve">Any live Employer Integration &amp; Opportunity Ingestion partner.</w:t>
      </w:r>
    </w:p>
    <w:p>
      <w:pPr>
        <w:pStyle w:val="ListParagraph"/>
        <w:numPr>
          <w:ilvl w:val="0"/>
          <w:numId w:val="1"/>
        </w:numPr>
        <w:spacing w:after="80" w:line="276"/>
      </w:pPr>
      <w:r>
        <w:t xml:space="preserve">A populated Career Digital Twin simulation engine behind the existing interface.</w:t>
      </w:r>
    </w:p>
    <w:p>
      <w:pPr>
        <w:pStyle w:val="Heading2"/>
        <w:spacing w:after="140" w:before="280"/>
      </w:pPr>
      <w:r>
        <w:t xml:space="preserve">10.3 Future Capabilities (not yet started, strategically implied)</w:t>
      </w:r>
    </w:p>
    <w:p>
      <w:pPr>
        <w:pStyle w:val="ListParagraph"/>
        <w:numPr>
          <w:ilvl w:val="0"/>
          <w:numId w:val="1"/>
        </w:numPr>
        <w:spacing w:after="80" w:line="276"/>
      </w:pPr>
      <w:r>
        <w:t xml:space="preserve">Multi-Agent Supervision Layer (shared memory, formal agent-to-agent handoff).</w:t>
      </w:r>
    </w:p>
    <w:p>
      <w:pPr>
        <w:pStyle w:val="ListParagraph"/>
        <w:numPr>
          <w:ilvl w:val="0"/>
          <w:numId w:val="1"/>
        </w:numPr>
        <w:spacing w:after="80" w:line="276"/>
      </w:pPr>
      <w:r>
        <w:t xml:space="preserve">AI Workflow Orchestration Layer (once &gt;10 distinct multi-step AI workflows exist).</w:t>
      </w:r>
    </w:p>
    <w:p>
      <w:pPr>
        <w:pStyle w:val="ListParagraph"/>
        <w:numPr>
          <w:ilvl w:val="0"/>
          <w:numId w:val="1"/>
        </w:numPr>
        <w:spacing w:after="80" w:line="276"/>
      </w:pPr>
      <w:r>
        <w:t xml:space="preserve">Employer-facing self-service capabilities (postings, applicant screening).</w:t>
      </w:r>
    </w:p>
    <w:p>
      <w:pPr>
        <w:pStyle w:val="ListParagraph"/>
        <w:numPr>
          <w:ilvl w:val="0"/>
          <w:numId w:val="1"/>
        </w:numPr>
        <w:spacing w:after="80" w:line="276"/>
      </w:pPr>
      <w:r>
        <w:t xml:space="preserve">Cross-institution academic profile portability.</w:t>
      </w:r>
    </w:p>
    <w:p>
      <w:pPr>
        <w:pStyle w:val="Heading2"/>
        <w:spacing w:after="140" w:before="280"/>
      </w:pPr>
      <w:r>
        <w:t xml:space="preserve">10.4 Long-Term Enterprise Capabilities</w:t>
      </w:r>
    </w:p>
    <w:p>
      <w:pPr>
        <w:pStyle w:val="ListParagraph"/>
        <w:numPr>
          <w:ilvl w:val="0"/>
          <w:numId w:val="1"/>
        </w:numPr>
        <w:spacing w:after="80" w:line="276"/>
      </w:pPr>
      <w:r>
        <w:t xml:space="preserve">A two-sided marketplace capability spanning students, employers, and academic institutions, built on top of a mature Employer Integration capability.</w:t>
      </w:r>
    </w:p>
    <w:p>
      <w:pPr>
        <w:pStyle w:val="ListParagraph"/>
        <w:numPr>
          <w:ilvl w:val="0"/>
          <w:numId w:val="1"/>
        </w:numPr>
        <w:spacing w:after="80" w:line="276"/>
      </w:pPr>
      <w:r>
        <w:t xml:space="preserve">A dedicated Operations/Platform capability separated from product engineering, per EEP-01 Phase H's headcount-based trigger.</w:t>
      </w:r>
    </w:p>
    <w:p>
      <w:pPr>
        <w:pStyle w:val="ListParagraph"/>
        <w:numPr>
          <w:ilvl w:val="0"/>
          <w:numId w:val="1"/>
        </w:numPr>
        <w:spacing w:after="80" w:line="276"/>
      </w:pPr>
      <w:r>
        <w:t xml:space="preserve">Kubernetes-based platform scaling capability, per EEP-01 Phase G's container-count trigger.</w:t>
      </w:r>
    </w:p>
    <w:p>
      <w:r>
        <w:br w:type="page"/>
      </w:r>
    </w:p>
    <w:p>
      <w:pPr>
        <w:pStyle w:val="Heading1"/>
        <w:spacing w:after="200" w:before="400"/>
      </w:pPr>
      <w:r>
        <w:t xml:space="preserve">11. Capability Heat 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3600"/>
        <w:gridCol w:w="3600"/>
      </w:tblGrid>
      <w:tr>
        <w:trPr>
          <w:tblHeader/>
        </w:trPr>
        <w:tc>
          <w:tcPr>
            <w:tcW w:type="dxa" w:w="1650"/>
            <w:shd w:fill="1F3B57" w:val="clear"/>
            <w:tcMar>
              <w:top w:type="dxa" w:w="80"/>
              <w:left w:type="dxa" w:w="100"/>
              <w:bottom w:type="dxa" w:w="80"/>
              <w:right w:type="dxa" w:w="100"/>
            </w:tcMar>
            <w:vAlign w:val="center"/>
          </w:tcPr>
          <w:p>
            <w:r>
              <w:rPr>
                <w:b/>
                <w:bCs/>
                <w:color w:val="FFFFFF"/>
                <w:sz w:val="19"/>
                <w:szCs w:val="19"/>
              </w:rPr>
              <w:t xml:space="preserve">Classification</w:t>
            </w:r>
          </w:p>
        </w:tc>
        <w:tc>
          <w:tcPr>
            <w:tcW w:type="dxa" w:w="3600"/>
            <w:shd w:fill="1F3B57" w:val="clear"/>
            <w:tcMar>
              <w:top w:type="dxa" w:w="80"/>
              <w:left w:type="dxa" w:w="100"/>
              <w:bottom w:type="dxa" w:w="80"/>
              <w:right w:type="dxa" w:w="100"/>
            </w:tcMar>
            <w:vAlign w:val="center"/>
          </w:tcPr>
          <w:p>
            <w:r>
              <w:rPr>
                <w:b/>
                <w:bCs/>
                <w:color w:val="FFFFFF"/>
                <w:sz w:val="19"/>
                <w:szCs w:val="19"/>
              </w:rPr>
              <w:t xml:space="preserve">Capabilities</w:t>
            </w:r>
          </w:p>
        </w:tc>
        <w:tc>
          <w:tcPr>
            <w:tcW w:type="dxa" w:w="3600"/>
            <w:shd w:fill="1F3B57" w:val="clear"/>
            <w:tcMar>
              <w:top w:type="dxa" w:w="80"/>
              <w:left w:type="dxa" w:w="100"/>
              <w:bottom w:type="dxa" w:w="80"/>
              <w:right w:type="dxa" w:w="100"/>
            </w:tcMar>
            <w:vAlign w:val="center"/>
          </w:tcPr>
          <w:p>
            <w:r>
              <w:rPr>
                <w:b/>
                <w:bCs/>
                <w:color w:val="FFFFFF"/>
                <w:sz w:val="19"/>
                <w:szCs w:val="19"/>
              </w:rPr>
              <w:t xml:space="preserve">Rationale</w:t>
            </w:r>
          </w:p>
        </w:tc>
      </w:tr>
      <w:tr>
        <w:tc>
          <w:tcPr>
            <w:tcW w:type="dxa" w:w="1650"/>
            <w:tcMar>
              <w:top w:type="dxa" w:w="80"/>
              <w:left w:type="dxa" w:w="100"/>
              <w:bottom w:type="dxa" w:w="80"/>
              <w:right w:type="dxa" w:w="100"/>
            </w:tcMar>
            <w:vAlign w:val="center"/>
          </w:tcPr>
          <w:p>
            <w:r>
              <w:rPr>
                <w:b w:val="false"/>
                <w:bCs w:val="false"/>
                <w:sz w:val="19"/>
                <w:szCs w:val="19"/>
              </w:rPr>
              <w:t xml:space="preserve">Strategic investment</w:t>
            </w:r>
          </w:p>
        </w:tc>
        <w:tc>
          <w:tcPr>
            <w:tcW w:type="dxa" w:w="3600"/>
            <w:tcMar>
              <w:top w:type="dxa" w:w="80"/>
              <w:left w:type="dxa" w:w="100"/>
              <w:bottom w:type="dxa" w:w="80"/>
              <w:right w:type="dxa" w:w="100"/>
            </w:tcMar>
            <w:vAlign w:val="center"/>
          </w:tcPr>
          <w:p>
            <w:r>
              <w:rPr>
                <w:b w:val="false"/>
                <w:bCs w:val="false"/>
                <w:sz w:val="19"/>
                <w:szCs w:val="19"/>
              </w:rPr>
              <w:t xml:space="preserve">Career Path Intelligence &amp; Recommendation; AI Career Advisory &amp; Agentic Orchestration; Employer Integration &amp; Opportunity Ingestion</w:t>
            </w:r>
          </w:p>
        </w:tc>
        <w:tc>
          <w:tcPr>
            <w:tcW w:type="dxa" w:w="3600"/>
            <w:tcMar>
              <w:top w:type="dxa" w:w="80"/>
              <w:left w:type="dxa" w:w="100"/>
              <w:bottom w:type="dxa" w:w="80"/>
              <w:right w:type="dxa" w:w="100"/>
            </w:tcMar>
            <w:vAlign w:val="center"/>
          </w:tcPr>
          <w:p>
            <w:r>
              <w:rPr>
                <w:b w:val="false"/>
                <w:bCs w:val="false"/>
                <w:sz w:val="19"/>
                <w:szCs w:val="19"/>
              </w:rPr>
              <w:t xml:space="preserve">These three carry the platform's core differentiation and its single largest strategic gap respectively; investment here has the widest leverage.</w:t>
            </w:r>
          </w:p>
        </w:tc>
      </w:tr>
      <w:tr>
        <w:tc>
          <w:tcPr>
            <w:tcW w:type="dxa" w:w="1650"/>
            <w:shd w:fill="EDF2F4" w:val="clear"/>
            <w:tcMar>
              <w:top w:type="dxa" w:w="80"/>
              <w:left w:type="dxa" w:w="100"/>
              <w:bottom w:type="dxa" w:w="80"/>
              <w:right w:type="dxa" w:w="100"/>
            </w:tcMar>
            <w:vAlign w:val="center"/>
          </w:tcPr>
          <w:p>
            <w:r>
              <w:rPr>
                <w:b w:val="false"/>
                <w:bCs w:val="false"/>
                <w:sz w:val="19"/>
                <w:szCs w:val="19"/>
              </w:rPr>
              <w:t xml:space="preserve">Maintain</w:t>
            </w:r>
          </w:p>
        </w:tc>
        <w:tc>
          <w:tcPr>
            <w:tcW w:type="dxa" w:w="3600"/>
            <w:shd w:fill="EDF2F4" w:val="clear"/>
            <w:tcMar>
              <w:top w:type="dxa" w:w="80"/>
              <w:left w:type="dxa" w:w="100"/>
              <w:bottom w:type="dxa" w:w="80"/>
              <w:right w:type="dxa" w:w="100"/>
            </w:tcMar>
            <w:vAlign w:val="center"/>
          </w:tcPr>
          <w:p>
            <w:r>
              <w:rPr>
                <w:b w:val="false"/>
                <w:bCs w:val="false"/>
                <w:sz w:val="19"/>
                <w:szCs w:val="19"/>
              </w:rPr>
              <w:t xml:space="preserve">Identity, Roles &amp; Access Administration; User Activity &amp; Behavioral Analytics</w:t>
            </w:r>
          </w:p>
        </w:tc>
        <w:tc>
          <w:tcPr>
            <w:tcW w:type="dxa" w:w="3600"/>
            <w:shd w:fill="EDF2F4" w:val="clear"/>
            <w:tcMar>
              <w:top w:type="dxa" w:w="80"/>
              <w:left w:type="dxa" w:w="100"/>
              <w:bottom w:type="dxa" w:w="80"/>
              <w:right w:type="dxa" w:w="100"/>
            </w:tcMar>
            <w:vAlign w:val="center"/>
          </w:tcPr>
          <w:p>
            <w:r>
              <w:rPr>
                <w:b w:val="false"/>
                <w:bCs w:val="false"/>
                <w:sz w:val="19"/>
                <w:szCs w:val="19"/>
              </w:rPr>
              <w:t xml:space="preserve">Already at a maturity sufficient for current scale (Section 9); further investment has low marginal value until scale triggers fire.</w:t>
            </w:r>
          </w:p>
        </w:tc>
      </w:tr>
      <w:tr>
        <w:tc>
          <w:tcPr>
            <w:tcW w:type="dxa" w:w="1650"/>
            <w:tcMar>
              <w:top w:type="dxa" w:w="80"/>
              <w:left w:type="dxa" w:w="100"/>
              <w:bottom w:type="dxa" w:w="80"/>
              <w:right w:type="dxa" w:w="100"/>
            </w:tcMar>
            <w:vAlign w:val="center"/>
          </w:tcPr>
          <w:p>
            <w:r>
              <w:rPr>
                <w:b w:val="false"/>
                <w:bCs w:val="false"/>
                <w:sz w:val="19"/>
                <w:szCs w:val="19"/>
              </w:rPr>
              <w:t xml:space="preserve">Improve</w:t>
            </w:r>
          </w:p>
        </w:tc>
        <w:tc>
          <w:tcPr>
            <w:tcW w:type="dxa" w:w="3600"/>
            <w:tcMar>
              <w:top w:type="dxa" w:w="80"/>
              <w:left w:type="dxa" w:w="100"/>
              <w:bottom w:type="dxa" w:w="80"/>
              <w:right w:type="dxa" w:w="100"/>
            </w:tcMar>
            <w:vAlign w:val="center"/>
          </w:tcPr>
          <w:p>
            <w:r>
              <w:rPr>
                <w:b w:val="false"/>
                <w:bCs w:val="false"/>
                <w:sz w:val="19"/>
                <w:szCs w:val="19"/>
              </w:rPr>
              <w:t xml:space="preserve">Labor Market &amp; Salary Intelligence; Career Opportunity Radar; Architecture &amp; Engineering Standards Conformance</w:t>
            </w:r>
          </w:p>
        </w:tc>
        <w:tc>
          <w:tcPr>
            <w:tcW w:type="dxa" w:w="3600"/>
            <w:tcMar>
              <w:top w:type="dxa" w:w="80"/>
              <w:left w:type="dxa" w:w="100"/>
              <w:bottom w:type="dxa" w:w="80"/>
              <w:right w:type="dxa" w:w="100"/>
            </w:tcMar>
            <w:vAlign w:val="center"/>
          </w:tcPr>
          <w:p>
            <w:r>
              <w:rPr>
                <w:b w:val="false"/>
                <w:bCs w:val="false"/>
                <w:sz w:val="19"/>
                <w:szCs w:val="19"/>
              </w:rPr>
              <w:t xml:space="preserve">Functionally present but constrained by a specific, named gap (mock data; documented drift) that is closeable without new capability invention.</w:t>
            </w:r>
          </w:p>
        </w:tc>
      </w:tr>
      <w:tr>
        <w:tc>
          <w:tcPr>
            <w:tcW w:type="dxa" w:w="1650"/>
            <w:shd w:fill="EDF2F4" w:val="clear"/>
            <w:tcMar>
              <w:top w:type="dxa" w:w="80"/>
              <w:left w:type="dxa" w:w="100"/>
              <w:bottom w:type="dxa" w:w="80"/>
              <w:right w:type="dxa" w:w="100"/>
            </w:tcMar>
            <w:vAlign w:val="center"/>
          </w:tcPr>
          <w:p>
            <w:r>
              <w:rPr>
                <w:b w:val="false"/>
                <w:bCs w:val="false"/>
                <w:sz w:val="19"/>
                <w:szCs w:val="19"/>
              </w:rPr>
              <w:t xml:space="preserve">Emerging</w:t>
            </w:r>
          </w:p>
        </w:tc>
        <w:tc>
          <w:tcPr>
            <w:tcW w:type="dxa" w:w="3600"/>
            <w:shd w:fill="EDF2F4" w:val="clear"/>
            <w:tcMar>
              <w:top w:type="dxa" w:w="80"/>
              <w:left w:type="dxa" w:w="100"/>
              <w:bottom w:type="dxa" w:w="80"/>
              <w:right w:type="dxa" w:w="100"/>
            </w:tcMar>
            <w:vAlign w:val="center"/>
          </w:tcPr>
          <w:p>
            <w:r>
              <w:rPr>
                <w:b w:val="false"/>
                <w:bCs w:val="false"/>
                <w:sz w:val="19"/>
                <w:szCs w:val="19"/>
              </w:rPr>
              <w:t xml:space="preserve">AI Personalization &amp; Adaptive Weighting; Growth &amp; Progress Tracking; Daily Engagement &amp; Conversion; Source &amp; Market Intelligence Curation</w:t>
            </w:r>
          </w:p>
        </w:tc>
        <w:tc>
          <w:tcPr>
            <w:tcW w:type="dxa" w:w="3600"/>
            <w:shd w:fill="EDF2F4" w:val="clear"/>
            <w:tcMar>
              <w:top w:type="dxa" w:w="80"/>
              <w:left w:type="dxa" w:w="100"/>
              <w:bottom w:type="dxa" w:w="80"/>
              <w:right w:type="dxa" w:w="100"/>
            </w:tcMar>
            <w:vAlign w:val="center"/>
          </w:tcPr>
          <w:p>
            <w:r>
              <w:rPr>
                <w:b w:val="false"/>
                <w:bCs w:val="false"/>
                <w:sz w:val="19"/>
                <w:szCs w:val="19"/>
              </w:rPr>
              <w:t xml:space="preserve">Implemented but not yet outcome-validated; needs measurement investment before further build investment.</w:t>
            </w:r>
          </w:p>
        </w:tc>
      </w:tr>
      <w:tr>
        <w:tc>
          <w:tcPr>
            <w:tcW w:type="dxa" w:w="1650"/>
            <w:tcMar>
              <w:top w:type="dxa" w:w="80"/>
              <w:left w:type="dxa" w:w="100"/>
              <w:bottom w:type="dxa" w:w="80"/>
              <w:right w:type="dxa" w:w="100"/>
            </w:tcMar>
            <w:vAlign w:val="center"/>
          </w:tcPr>
          <w:p>
            <w:r>
              <w:rPr>
                <w:b w:val="false"/>
                <w:bCs w:val="false"/>
                <w:sz w:val="19"/>
                <w:szCs w:val="19"/>
              </w:rPr>
              <w:t xml:space="preserve">Experimental</w:t>
            </w:r>
          </w:p>
        </w:tc>
        <w:tc>
          <w:tcPr>
            <w:tcW w:type="dxa" w:w="3600"/>
            <w:tcMar>
              <w:top w:type="dxa" w:w="80"/>
              <w:left w:type="dxa" w:w="100"/>
              <w:bottom w:type="dxa" w:w="80"/>
              <w:right w:type="dxa" w:w="100"/>
            </w:tcMar>
            <w:vAlign w:val="center"/>
          </w:tcPr>
          <w:p>
            <w:r>
              <w:rPr>
                <w:b w:val="false"/>
                <w:bCs w:val="false"/>
                <w:sz w:val="19"/>
                <w:szCs w:val="19"/>
              </w:rPr>
              <w:t xml:space="preserve">Career Digital Twin &amp; Simulation</w:t>
            </w:r>
          </w:p>
        </w:tc>
        <w:tc>
          <w:tcPr>
            <w:tcW w:type="dxa" w:w="3600"/>
            <w:tcMar>
              <w:top w:type="dxa" w:w="80"/>
              <w:left w:type="dxa" w:w="100"/>
              <w:bottom w:type="dxa" w:w="80"/>
              <w:right w:type="dxa" w:w="100"/>
            </w:tcMar>
            <w:vAlign w:val="center"/>
          </w:tcPr>
          <w:p>
            <w:r>
              <w:rPr>
                <w:b w:val="false"/>
                <w:bCs w:val="false"/>
                <w:sz w:val="19"/>
                <w:szCs w:val="19"/>
              </w:rPr>
              <w:t xml:space="preserve">Structurally scaffolded but functionally unproven; treat as an experiment to populate and validate, not a committed roadmap item, until Level 2 evidence exists.</w:t>
            </w:r>
          </w:p>
        </w:tc>
      </w:tr>
      <w:tr>
        <w:tc>
          <w:tcPr>
            <w:tcW w:type="dxa" w:w="1650"/>
            <w:shd w:fill="EDF2F4" w:val="clear"/>
            <w:tcMar>
              <w:top w:type="dxa" w:w="80"/>
              <w:left w:type="dxa" w:w="100"/>
              <w:bottom w:type="dxa" w:w="80"/>
              <w:right w:type="dxa" w:w="100"/>
            </w:tcMar>
            <w:vAlign w:val="center"/>
          </w:tcPr>
          <w:p>
            <w:r>
              <w:rPr>
                <w:b w:val="false"/>
                <w:bCs w:val="false"/>
                <w:sz w:val="19"/>
                <w:szCs w:val="19"/>
              </w:rPr>
              <w:t xml:space="preserve">Future</w:t>
            </w:r>
          </w:p>
        </w:tc>
        <w:tc>
          <w:tcPr>
            <w:tcW w:type="dxa" w:w="3600"/>
            <w:shd w:fill="EDF2F4" w:val="clear"/>
            <w:tcMar>
              <w:top w:type="dxa" w:w="80"/>
              <w:left w:type="dxa" w:w="100"/>
              <w:bottom w:type="dxa" w:w="80"/>
              <w:right w:type="dxa" w:w="100"/>
            </w:tcMar>
            <w:vAlign w:val="center"/>
          </w:tcPr>
          <w:p>
            <w:r>
              <w:rPr>
                <w:b w:val="false"/>
                <w:bCs w:val="false"/>
                <w:sz w:val="19"/>
                <w:szCs w:val="19"/>
              </w:rPr>
              <w:t xml:space="preserve">Multi-Agent Supervision Layer; AI Workflow Orchestration Layer; Employer self-service capabilities</w:t>
            </w:r>
          </w:p>
        </w:tc>
        <w:tc>
          <w:tcPr>
            <w:tcW w:type="dxa" w:w="3600"/>
            <w:shd w:fill="EDF2F4" w:val="clear"/>
            <w:tcMar>
              <w:top w:type="dxa" w:w="80"/>
              <w:left w:type="dxa" w:w="100"/>
              <w:bottom w:type="dxa" w:w="80"/>
              <w:right w:type="dxa" w:w="100"/>
            </w:tcMar>
            <w:vAlign w:val="center"/>
          </w:tcPr>
          <w:p>
            <w:r>
              <w:rPr>
                <w:b w:val="false"/>
                <w:bCs w:val="false"/>
                <w:sz w:val="19"/>
                <w:szCs w:val="19"/>
              </w:rPr>
              <w:t xml:space="preserve">Explicitly trigger-gated in EEP-01; correctly excluded from near-term investment.</w:t>
            </w:r>
          </w:p>
        </w:tc>
      </w:tr>
      <w:tr>
        <w:tc>
          <w:tcPr>
            <w:tcW w:type="dxa" w:w="1650"/>
            <w:tcMar>
              <w:top w:type="dxa" w:w="80"/>
              <w:left w:type="dxa" w:w="100"/>
              <w:bottom w:type="dxa" w:w="80"/>
              <w:right w:type="dxa" w:w="100"/>
            </w:tcMar>
            <w:vAlign w:val="center"/>
          </w:tcPr>
          <w:p>
            <w:r>
              <w:rPr>
                <w:b w:val="false"/>
                <w:bCs w:val="false"/>
                <w:sz w:val="19"/>
                <w:szCs w:val="19"/>
              </w:rPr>
              <w:t xml:space="preserve">Legacy</w:t>
            </w:r>
          </w:p>
        </w:tc>
        <w:tc>
          <w:tcPr>
            <w:tcW w:type="dxa" w:w="3600"/>
            <w:tcMar>
              <w:top w:type="dxa" w:w="80"/>
              <w:left w:type="dxa" w:w="100"/>
              <w:bottom w:type="dxa" w:w="80"/>
              <w:right w:type="dxa" w:w="100"/>
            </w:tcMar>
            <w:vAlign w:val="center"/>
          </w:tcPr>
          <w:p>
            <w:r>
              <w:rPr>
                <w:b w:val="false"/>
                <w:bCs w:val="false"/>
                <w:sz w:val="19"/>
                <w:szCs w:val="19"/>
              </w:rPr>
              <w:t xml:space="preserve">None identified.</w:t>
            </w:r>
          </w:p>
        </w:tc>
        <w:tc>
          <w:tcPr>
            <w:tcW w:type="dxa" w:w="3600"/>
            <w:tcMar>
              <w:top w:type="dxa" w:w="80"/>
              <w:left w:type="dxa" w:w="100"/>
              <w:bottom w:type="dxa" w:w="80"/>
              <w:right w:type="dxa" w:w="100"/>
            </w:tcMar>
            <w:vAlign w:val="center"/>
          </w:tcPr>
          <w:p>
            <w:r>
              <w:rPr>
                <w:b w:val="false"/>
                <w:bCs w:val="false"/>
                <w:sz w:val="19"/>
                <w:szCs w:val="19"/>
              </w:rPr>
              <w:t xml:space="preserve">No capability in this catalog shows evidence of deprecation or planned retirement; the codebase is young enough, and EEP-01's own review found no legacy systems requiring migration off, that a legacy classification would be speculative.</w:t>
            </w:r>
          </w:p>
        </w:tc>
      </w:tr>
    </w:tbl>
    <w:p>
      <w:r>
        <w:br w:type="page"/>
      </w:r>
    </w:p>
    <w:p>
      <w:pPr>
        <w:pStyle w:val="Heading1"/>
        <w:spacing w:after="200" w:before="400"/>
      </w:pPr>
      <w:r>
        <w:t xml:space="preserve">12. Capability Ownership</w:t>
      </w:r>
    </w:p>
    <w:p>
      <w:pPr>
        <w:spacing w:after="160" w:line="276"/>
      </w:pPr>
      <w:r>
        <w:t xml:space="preserve">Consistent with EEP-01 Phase H's direct, evidence-based statement about HireRise's likely team size, this section states current ownership honestly (frequently "the general product/engineering function," because no separated business functions are evidenced in the repository) rather than inventing a large-organization RACI that does not reflect reality. Target ownership is stated as the structure to grow into, each with its own adoption trigger.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200"/>
        <w:gridCol w:w="2250"/>
      </w:tblGrid>
      <w:tr>
        <w:trPr>
          <w:tblHeader/>
        </w:trPr>
        <w:tc>
          <w:tcPr>
            <w:tcW w:type="dxa" w:w="1900"/>
            <w:shd w:fill="1F3B57" w:val="clear"/>
            <w:tcMar>
              <w:top w:type="dxa" w:w="80"/>
              <w:left w:type="dxa" w:w="100"/>
              <w:bottom w:type="dxa" w:w="80"/>
              <w:right w:type="dxa" w:w="100"/>
            </w:tcMar>
            <w:vAlign w:val="center"/>
          </w:tcPr>
          <w:p>
            <w:r>
              <w:rPr>
                <w:b/>
                <w:bCs/>
                <w:color w:val="FFFFFF"/>
                <w:sz w:val="19"/>
                <w:szCs w:val="19"/>
              </w:rPr>
              <w:t xml:space="preserve">Capability group</w:t>
            </w:r>
          </w:p>
        </w:tc>
        <w:tc>
          <w:tcPr>
            <w:tcW w:type="dxa" w:w="2500"/>
            <w:shd w:fill="1F3B57" w:val="clear"/>
            <w:tcMar>
              <w:top w:type="dxa" w:w="80"/>
              <w:left w:type="dxa" w:w="100"/>
              <w:bottom w:type="dxa" w:w="80"/>
              <w:right w:type="dxa" w:w="100"/>
            </w:tcMar>
            <w:vAlign w:val="center"/>
          </w:tcPr>
          <w:p>
            <w:r>
              <w:rPr>
                <w:b/>
                <w:bCs/>
                <w:color w:val="FFFFFF"/>
                <w:sz w:val="19"/>
                <w:szCs w:val="19"/>
              </w:rPr>
              <w:t xml:space="preserve">Current ownership (evidenced)</w:t>
            </w:r>
          </w:p>
        </w:tc>
        <w:tc>
          <w:tcPr>
            <w:tcW w:type="dxa" w:w="2200"/>
            <w:shd w:fill="1F3B57" w:val="clear"/>
            <w:tcMar>
              <w:top w:type="dxa" w:w="80"/>
              <w:left w:type="dxa" w:w="100"/>
              <w:bottom w:type="dxa" w:w="80"/>
              <w:right w:type="dxa" w:w="100"/>
            </w:tcMar>
            <w:vAlign w:val="center"/>
          </w:tcPr>
          <w:p>
            <w:r>
              <w:rPr>
                <w:b/>
                <w:bCs/>
                <w:color w:val="FFFFFF"/>
                <w:sz w:val="19"/>
                <w:szCs w:val="19"/>
              </w:rPr>
              <w:t xml:space="preserve">Target ownership</w:t>
            </w:r>
          </w:p>
        </w:tc>
        <w:tc>
          <w:tcPr>
            <w:tcW w:type="dxa" w:w="2250"/>
            <w:shd w:fill="1F3B57" w:val="clear"/>
            <w:tcMar>
              <w:top w:type="dxa" w:w="80"/>
              <w:left w:type="dxa" w:w="100"/>
              <w:bottom w:type="dxa" w:w="80"/>
              <w:right w:type="dxa" w:w="100"/>
            </w:tcMar>
            <w:vAlign w:val="center"/>
          </w:tcPr>
          <w:p>
            <w:r>
              <w:rPr>
                <w:b/>
                <w:bCs/>
                <w:color w:val="FFFFFF"/>
                <w:sz w:val="19"/>
                <w:szCs w:val="19"/>
              </w:rPr>
              <w:t xml:space="preserve">Adoption trigger for target</w:t>
            </w:r>
          </w:p>
        </w:tc>
      </w:tr>
      <w:tr>
        <w:tc>
          <w:tcPr>
            <w:tcW w:type="dxa" w:w="1900"/>
            <w:tcMar>
              <w:top w:type="dxa" w:w="80"/>
              <w:left w:type="dxa" w:w="100"/>
              <w:bottom w:type="dxa" w:w="80"/>
              <w:right w:type="dxa" w:w="100"/>
            </w:tcMar>
            <w:vAlign w:val="center"/>
          </w:tcPr>
          <w:p>
            <w:r>
              <w:rPr>
                <w:b w:val="false"/>
                <w:bCs w:val="false"/>
                <w:sz w:val="19"/>
                <w:szCs w:val="19"/>
              </w:rPr>
              <w:t xml:space="preserve">Career Intelligence (Path, Twin, Health, Radar)</w:t>
            </w:r>
          </w:p>
        </w:tc>
        <w:tc>
          <w:tcPr>
            <w:tcW w:type="dxa" w:w="2500"/>
            <w:tcMar>
              <w:top w:type="dxa" w:w="80"/>
              <w:left w:type="dxa" w:w="100"/>
              <w:bottom w:type="dxa" w:w="80"/>
              <w:right w:type="dxa" w:w="100"/>
            </w:tcMar>
            <w:vAlign w:val="center"/>
          </w:tcPr>
          <w:p>
            <w:r>
              <w:rPr>
                <w:b w:val="false"/>
                <w:bCs w:val="false"/>
                <w:sz w:val="19"/>
                <w:szCs w:val="19"/>
              </w:rPr>
              <w:t xml:space="preserve">General product/engineering function</w:t>
            </w:r>
          </w:p>
        </w:tc>
        <w:tc>
          <w:tcPr>
            <w:tcW w:type="dxa" w:w="2200"/>
            <w:tcMar>
              <w:top w:type="dxa" w:w="80"/>
              <w:left w:type="dxa" w:w="100"/>
              <w:bottom w:type="dxa" w:w="80"/>
              <w:right w:type="dxa" w:w="100"/>
            </w:tcMar>
            <w:vAlign w:val="center"/>
          </w:tcPr>
          <w:p>
            <w:r>
              <w:rPr>
                <w:b w:val="false"/>
                <w:bCs w:val="false"/>
                <w:sz w:val="19"/>
                <w:szCs w:val="19"/>
              </w:rPr>
              <w:t xml:space="preserve">Dedicated Career Intelligence Product owner</w:t>
            </w:r>
          </w:p>
        </w:tc>
        <w:tc>
          <w:tcPr>
            <w:tcW w:type="dxa" w:w="2250"/>
            <w:tcMar>
              <w:top w:type="dxa" w:w="80"/>
              <w:left w:type="dxa" w:w="100"/>
              <w:bottom w:type="dxa" w:w="80"/>
              <w:right w:type="dxa" w:w="100"/>
            </w:tcMar>
            <w:vAlign w:val="center"/>
          </w:tcPr>
          <w:p>
            <w:r>
              <w:rPr>
                <w:b w:val="false"/>
                <w:bCs w:val="false"/>
                <w:sz w:val="19"/>
                <w:szCs w:val="19"/>
              </w:rPr>
              <w:t xml:space="preserve">Team size where one person can no longer credibly own both product direction and delivery for this group</w:t>
            </w:r>
          </w:p>
        </w:tc>
      </w:tr>
      <w:tr>
        <w:tc>
          <w:tcPr>
            <w:tcW w:type="dxa" w:w="1900"/>
            <w:shd w:fill="EDF2F4" w:val="clear"/>
            <w:tcMar>
              <w:top w:type="dxa" w:w="80"/>
              <w:left w:type="dxa" w:w="100"/>
              <w:bottom w:type="dxa" w:w="80"/>
              <w:right w:type="dxa" w:w="100"/>
            </w:tcMar>
            <w:vAlign w:val="center"/>
          </w:tcPr>
          <w:p>
            <w:r>
              <w:rPr>
                <w:b w:val="false"/>
                <w:bCs w:val="false"/>
                <w:sz w:val="19"/>
                <w:szCs w:val="19"/>
              </w:rPr>
              <w:t xml:space="preserve">Academic Intelligence</w:t>
            </w:r>
          </w:p>
        </w:tc>
        <w:tc>
          <w:tcPr>
            <w:tcW w:type="dxa" w:w="2500"/>
            <w:shd w:fill="EDF2F4" w:val="clear"/>
            <w:tcMar>
              <w:top w:type="dxa" w:w="80"/>
              <w:left w:type="dxa" w:w="100"/>
              <w:bottom w:type="dxa" w:w="80"/>
              <w:right w:type="dxa" w:w="100"/>
            </w:tcMar>
            <w:vAlign w:val="center"/>
          </w:tcPr>
          <w:p>
            <w:r>
              <w:rPr>
                <w:b w:val="false"/>
                <w:bCs w:val="false"/>
                <w:sz w:val="19"/>
                <w:szCs w:val="19"/>
              </w:rPr>
              <w:t xml:space="preserve">General product/engineering function</w:t>
            </w:r>
          </w:p>
        </w:tc>
        <w:tc>
          <w:tcPr>
            <w:tcW w:type="dxa" w:w="2200"/>
            <w:shd w:fill="EDF2F4" w:val="clear"/>
            <w:tcMar>
              <w:top w:type="dxa" w:w="80"/>
              <w:left w:type="dxa" w:w="100"/>
              <w:bottom w:type="dxa" w:w="80"/>
              <w:right w:type="dxa" w:w="100"/>
            </w:tcMar>
            <w:vAlign w:val="center"/>
          </w:tcPr>
          <w:p>
            <w:r>
              <w:rPr>
                <w:b w:val="false"/>
                <w:bCs w:val="false"/>
                <w:sz w:val="19"/>
                <w:szCs w:val="19"/>
              </w:rPr>
              <w:t xml:space="preserve">Dedicated Academic Intelligence Product owner, likely co-owned with first academic partner</w:t>
            </w:r>
          </w:p>
        </w:tc>
        <w:tc>
          <w:tcPr>
            <w:tcW w:type="dxa" w:w="2250"/>
            <w:shd w:fill="EDF2F4" w:val="clear"/>
            <w:tcMar>
              <w:top w:type="dxa" w:w="80"/>
              <w:left w:type="dxa" w:w="100"/>
              <w:bottom w:type="dxa" w:w="80"/>
              <w:right w:type="dxa" w:w="100"/>
            </w:tcMar>
            <w:vAlign w:val="center"/>
          </w:tcPr>
          <w:p>
            <w:r>
              <w:rPr>
                <w:b w:val="false"/>
                <w:bCs w:val="false"/>
                <w:sz w:val="19"/>
                <w:szCs w:val="19"/>
              </w:rPr>
              <w:t xml:space="preserve">First academic institutional partner signed</w:t>
            </w:r>
          </w:p>
        </w:tc>
      </w:tr>
      <w:tr>
        <w:tc>
          <w:tcPr>
            <w:tcW w:type="dxa" w:w="1900"/>
            <w:tcMar>
              <w:top w:type="dxa" w:w="80"/>
              <w:left w:type="dxa" w:w="100"/>
              <w:bottom w:type="dxa" w:w="80"/>
              <w:right w:type="dxa" w:w="100"/>
            </w:tcMar>
            <w:vAlign w:val="center"/>
          </w:tcPr>
          <w:p>
            <w:r>
              <w:rPr>
                <w:b w:val="false"/>
                <w:bCs w:val="false"/>
                <w:sz w:val="19"/>
                <w:szCs w:val="19"/>
              </w:rPr>
              <w:t xml:space="preserve">Knowledge &amp; Market Intelligence</w:t>
            </w:r>
          </w:p>
        </w:tc>
        <w:tc>
          <w:tcPr>
            <w:tcW w:type="dxa" w:w="2500"/>
            <w:tcMar>
              <w:top w:type="dxa" w:w="80"/>
              <w:left w:type="dxa" w:w="100"/>
              <w:bottom w:type="dxa" w:w="80"/>
              <w:right w:type="dxa" w:w="100"/>
            </w:tcMar>
            <w:vAlign w:val="center"/>
          </w:tcPr>
          <w:p>
            <w:r>
              <w:rPr>
                <w:b w:val="false"/>
                <w:bCs w:val="false"/>
                <w:sz w:val="19"/>
                <w:szCs w:val="19"/>
              </w:rPr>
              <w:t xml:space="preserve">General product/engineering function</w:t>
            </w:r>
          </w:p>
        </w:tc>
        <w:tc>
          <w:tcPr>
            <w:tcW w:type="dxa" w:w="2200"/>
            <w:tcMar>
              <w:top w:type="dxa" w:w="80"/>
              <w:left w:type="dxa" w:w="100"/>
              <w:bottom w:type="dxa" w:w="80"/>
              <w:right w:type="dxa" w:w="100"/>
            </w:tcMar>
            <w:vAlign w:val="center"/>
          </w:tcPr>
          <w:p>
            <w:r>
              <w:rPr>
                <w:b w:val="false"/>
                <w:bCs w:val="false"/>
                <w:sz w:val="19"/>
                <w:szCs w:val="19"/>
              </w:rPr>
              <w:t xml:space="preserve">Knowledge Intelligence Product owner</w:t>
            </w:r>
          </w:p>
        </w:tc>
        <w:tc>
          <w:tcPr>
            <w:tcW w:type="dxa" w:w="2250"/>
            <w:tcMar>
              <w:top w:type="dxa" w:w="80"/>
              <w:left w:type="dxa" w:w="100"/>
              <w:bottom w:type="dxa" w:w="80"/>
              <w:right w:type="dxa" w:w="100"/>
            </w:tcMar>
            <w:vAlign w:val="center"/>
          </w:tcPr>
          <w:p>
            <w:r>
              <w:rPr>
                <w:b w:val="false"/>
                <w:bCs w:val="false"/>
                <w:sz w:val="19"/>
                <w:szCs w:val="19"/>
              </w:rPr>
              <w:t xml:space="preserve">Skill/taxonomy or market-data workload large enough to need dedicated curation attention</w:t>
            </w:r>
          </w:p>
        </w:tc>
      </w:tr>
      <w:tr>
        <w:tc>
          <w:tcPr>
            <w:tcW w:type="dxa" w:w="1900"/>
            <w:shd w:fill="EDF2F4" w:val="clear"/>
            <w:tcMar>
              <w:top w:type="dxa" w:w="80"/>
              <w:left w:type="dxa" w:w="100"/>
              <w:bottom w:type="dxa" w:w="80"/>
              <w:right w:type="dxa" w:w="100"/>
            </w:tcMar>
            <w:vAlign w:val="center"/>
          </w:tcPr>
          <w:p>
            <w:r>
              <w:rPr>
                <w:b w:val="false"/>
                <w:bCs w:val="false"/>
                <w:sz w:val="19"/>
                <w:szCs w:val="19"/>
              </w:rPr>
              <w:t xml:space="preserve">AI-Native Capabilities</w:t>
            </w:r>
          </w:p>
        </w:tc>
        <w:tc>
          <w:tcPr>
            <w:tcW w:type="dxa" w:w="2500"/>
            <w:shd w:fill="EDF2F4" w:val="clear"/>
            <w:tcMar>
              <w:top w:type="dxa" w:w="80"/>
              <w:left w:type="dxa" w:w="100"/>
              <w:bottom w:type="dxa" w:w="80"/>
              <w:right w:type="dxa" w:w="100"/>
            </w:tcMar>
            <w:vAlign w:val="center"/>
          </w:tcPr>
          <w:p>
            <w:r>
              <w:rPr>
                <w:b w:val="false"/>
                <w:bCs w:val="false"/>
                <w:sz w:val="19"/>
                <w:szCs w:val="19"/>
              </w:rPr>
              <w:t xml:space="preserve">General product/engineering function (most mature technical investment already)</w:t>
            </w:r>
          </w:p>
        </w:tc>
        <w:tc>
          <w:tcPr>
            <w:tcW w:type="dxa" w:w="2200"/>
            <w:shd w:fill="EDF2F4" w:val="clear"/>
            <w:tcMar>
              <w:top w:type="dxa" w:w="80"/>
              <w:left w:type="dxa" w:w="100"/>
              <w:bottom w:type="dxa" w:w="80"/>
              <w:right w:type="dxa" w:w="100"/>
            </w:tcMar>
            <w:vAlign w:val="center"/>
          </w:tcPr>
          <w:p>
            <w:r>
              <w:rPr>
                <w:b w:val="false"/>
                <w:bCs w:val="false"/>
                <w:sz w:val="19"/>
                <w:szCs w:val="19"/>
              </w:rPr>
              <w:t xml:space="preserve">Dedicated AI Platform owner</w:t>
            </w:r>
          </w:p>
        </w:tc>
        <w:tc>
          <w:tcPr>
            <w:tcW w:type="dxa" w:w="2250"/>
            <w:shd w:fill="EDF2F4" w:val="clear"/>
            <w:tcMar>
              <w:top w:type="dxa" w:w="80"/>
              <w:left w:type="dxa" w:w="100"/>
              <w:bottom w:type="dxa" w:w="80"/>
              <w:right w:type="dxa" w:w="100"/>
            </w:tcMar>
            <w:vAlign w:val="center"/>
          </w:tcPr>
          <w:p>
            <w:r>
              <w:rPr>
                <w:b w:val="false"/>
                <w:bCs w:val="false"/>
                <w:sz w:val="19"/>
                <w:szCs w:val="19"/>
              </w:rPr>
              <w:t xml:space="preserve">More than ~10 distinct multi-step AI workflows (same trigger as Phase F's orchestration-layer trigger)</w:t>
            </w:r>
          </w:p>
        </w:tc>
      </w:tr>
      <w:tr>
        <w:tc>
          <w:tcPr>
            <w:tcW w:type="dxa" w:w="1900"/>
            <w:tcMar>
              <w:top w:type="dxa" w:w="80"/>
              <w:left w:type="dxa" w:w="100"/>
              <w:bottom w:type="dxa" w:w="80"/>
              <w:right w:type="dxa" w:w="100"/>
            </w:tcMar>
            <w:vAlign w:val="center"/>
          </w:tcPr>
          <w:p>
            <w:r>
              <w:rPr>
                <w:b w:val="false"/>
                <w:bCs w:val="false"/>
                <w:sz w:val="19"/>
                <w:szCs w:val="19"/>
              </w:rPr>
              <w:t xml:space="preserve">Candidate Experience &amp; Growth</w:t>
            </w:r>
          </w:p>
        </w:tc>
        <w:tc>
          <w:tcPr>
            <w:tcW w:type="dxa" w:w="2500"/>
            <w:tcMar>
              <w:top w:type="dxa" w:w="80"/>
              <w:left w:type="dxa" w:w="100"/>
              <w:bottom w:type="dxa" w:w="80"/>
              <w:right w:type="dxa" w:w="100"/>
            </w:tcMar>
            <w:vAlign w:val="center"/>
          </w:tcPr>
          <w:p>
            <w:r>
              <w:rPr>
                <w:b w:val="false"/>
                <w:bCs w:val="false"/>
                <w:sz w:val="19"/>
                <w:szCs w:val="19"/>
              </w:rPr>
              <w:t xml:space="preserve">General product/engineering function</w:t>
            </w:r>
          </w:p>
        </w:tc>
        <w:tc>
          <w:tcPr>
            <w:tcW w:type="dxa" w:w="2200"/>
            <w:tcMar>
              <w:top w:type="dxa" w:w="80"/>
              <w:left w:type="dxa" w:w="100"/>
              <w:bottom w:type="dxa" w:w="80"/>
              <w:right w:type="dxa" w:w="100"/>
            </w:tcMar>
            <w:vAlign w:val="center"/>
          </w:tcPr>
          <w:p>
            <w:r>
              <w:rPr>
                <w:b w:val="false"/>
                <w:bCs w:val="false"/>
                <w:sz w:val="19"/>
                <w:szCs w:val="19"/>
              </w:rPr>
              <w:t xml:space="preserve">Candidate Experience Product owner</w:t>
            </w:r>
          </w:p>
        </w:tc>
        <w:tc>
          <w:tcPr>
            <w:tcW w:type="dxa" w:w="2250"/>
            <w:tcMar>
              <w:top w:type="dxa" w:w="80"/>
              <w:left w:type="dxa" w:w="100"/>
              <w:bottom w:type="dxa" w:w="80"/>
              <w:right w:type="dxa" w:w="100"/>
            </w:tcMar>
            <w:vAlign w:val="center"/>
          </w:tcPr>
          <w:p>
            <w:r>
              <w:rPr>
                <w:b w:val="false"/>
                <w:bCs w:val="false"/>
                <w:sz w:val="19"/>
                <w:szCs w:val="19"/>
              </w:rPr>
              <w:t xml:space="preserve">Growth/engagement capability set requires dedicated experimentation cadence</w:t>
            </w:r>
          </w:p>
        </w:tc>
      </w:tr>
      <w:tr>
        <w:tc>
          <w:tcPr>
            <w:tcW w:type="dxa" w:w="1900"/>
            <w:shd w:fill="EDF2F4" w:val="clear"/>
            <w:tcMar>
              <w:top w:type="dxa" w:w="80"/>
              <w:left w:type="dxa" w:w="100"/>
              <w:bottom w:type="dxa" w:w="80"/>
              <w:right w:type="dxa" w:w="100"/>
            </w:tcMar>
            <w:vAlign w:val="center"/>
          </w:tcPr>
          <w:p>
            <w:r>
              <w:rPr>
                <w:b w:val="false"/>
                <w:bCs w:val="false"/>
                <w:sz w:val="19"/>
                <w:szCs w:val="19"/>
              </w:rPr>
              <w:t xml:space="preserve">Employer Intelligence</w:t>
            </w:r>
          </w:p>
        </w:tc>
        <w:tc>
          <w:tcPr>
            <w:tcW w:type="dxa" w:w="2500"/>
            <w:shd w:fill="EDF2F4" w:val="clear"/>
            <w:tcMar>
              <w:top w:type="dxa" w:w="80"/>
              <w:left w:type="dxa" w:w="100"/>
              <w:bottom w:type="dxa" w:w="80"/>
              <w:right w:type="dxa" w:w="100"/>
            </w:tcMar>
            <w:vAlign w:val="center"/>
          </w:tcPr>
          <w:p>
            <w:r>
              <w:rPr>
                <w:b w:val="false"/>
                <w:bCs w:val="false"/>
                <w:sz w:val="19"/>
                <w:szCs w:val="19"/>
              </w:rPr>
              <w:t xml:space="preserve">General product/engineering function (currently pre-activation)</w:t>
            </w:r>
          </w:p>
        </w:tc>
        <w:tc>
          <w:tcPr>
            <w:tcW w:type="dxa" w:w="2200"/>
            <w:shd w:fill="EDF2F4" w:val="clear"/>
            <w:tcMar>
              <w:top w:type="dxa" w:w="80"/>
              <w:left w:type="dxa" w:w="100"/>
              <w:bottom w:type="dxa" w:w="80"/>
              <w:right w:type="dxa" w:w="100"/>
            </w:tcMar>
            <w:vAlign w:val="center"/>
          </w:tcPr>
          <w:p>
            <w:r>
              <w:rPr>
                <w:b w:val="false"/>
                <w:bCs w:val="false"/>
                <w:sz w:val="19"/>
                <w:szCs w:val="19"/>
              </w:rPr>
              <w:t xml:space="preserve">Dedicated Employer Product owner</w:t>
            </w:r>
          </w:p>
        </w:tc>
        <w:tc>
          <w:tcPr>
            <w:tcW w:type="dxa" w:w="2250"/>
            <w:shd w:fill="EDF2F4" w:val="clear"/>
            <w:tcMar>
              <w:top w:type="dxa" w:w="80"/>
              <w:left w:type="dxa" w:w="100"/>
              <w:bottom w:type="dxa" w:w="80"/>
              <w:right w:type="dxa" w:w="100"/>
            </w:tcMar>
            <w:vAlign w:val="center"/>
          </w:tcPr>
          <w:p>
            <w:r>
              <w:rPr>
                <w:b w:val="false"/>
                <w:bCs w:val="false"/>
                <w:sz w:val="19"/>
                <w:szCs w:val="19"/>
              </w:rPr>
              <w:t xml:space="preserve">First signed employer/job-board partner contract</w:t>
            </w:r>
          </w:p>
        </w:tc>
      </w:tr>
      <w:tr>
        <w:tc>
          <w:tcPr>
            <w:tcW w:type="dxa" w:w="1900"/>
            <w:tcMar>
              <w:top w:type="dxa" w:w="80"/>
              <w:left w:type="dxa" w:w="100"/>
              <w:bottom w:type="dxa" w:w="80"/>
              <w:right w:type="dxa" w:w="100"/>
            </w:tcMar>
            <w:vAlign w:val="center"/>
          </w:tcPr>
          <w:p>
            <w:r>
              <w:rPr>
                <w:b w:val="false"/>
                <w:bCs w:val="false"/>
                <w:sz w:val="19"/>
                <w:szCs w:val="19"/>
              </w:rPr>
              <w:t xml:space="preserve">Platform &amp; Shared Capabilities</w:t>
            </w:r>
          </w:p>
        </w:tc>
        <w:tc>
          <w:tcPr>
            <w:tcW w:type="dxa" w:w="2500"/>
            <w:tcMar>
              <w:top w:type="dxa" w:w="80"/>
              <w:left w:type="dxa" w:w="100"/>
              <w:bottom w:type="dxa" w:w="80"/>
              <w:right w:type="dxa" w:w="100"/>
            </w:tcMar>
            <w:vAlign w:val="center"/>
          </w:tcPr>
          <w:p>
            <w:r>
              <w:rPr>
                <w:b w:val="false"/>
                <w:bCs w:val="false"/>
                <w:sz w:val="19"/>
                <w:szCs w:val="19"/>
              </w:rPr>
              <w:t xml:space="preserve">General product/engineering function</w:t>
            </w:r>
          </w:p>
        </w:tc>
        <w:tc>
          <w:tcPr>
            <w:tcW w:type="dxa" w:w="2200"/>
            <w:tcMar>
              <w:top w:type="dxa" w:w="80"/>
              <w:left w:type="dxa" w:w="100"/>
              <w:bottom w:type="dxa" w:w="80"/>
              <w:right w:type="dxa" w:w="100"/>
            </w:tcMar>
            <w:vAlign w:val="center"/>
          </w:tcPr>
          <w:p>
            <w:r>
              <w:rPr>
                <w:b w:val="false"/>
                <w:bCs w:val="false"/>
                <w:sz w:val="19"/>
                <w:szCs w:val="19"/>
              </w:rPr>
              <w:t xml:space="preserve">Platform Engineering owner</w:t>
            </w:r>
          </w:p>
        </w:tc>
        <w:tc>
          <w:tcPr>
            <w:tcW w:type="dxa" w:w="2250"/>
            <w:tcMar>
              <w:top w:type="dxa" w:w="80"/>
              <w:left w:type="dxa" w:w="100"/>
              <w:bottom w:type="dxa" w:w="80"/>
              <w:right w:type="dxa" w:w="100"/>
            </w:tcMar>
            <w:vAlign w:val="center"/>
          </w:tcPr>
          <w:p>
            <w:r>
              <w:rPr>
                <w:b w:val="false"/>
                <w:bCs w:val="false"/>
                <w:sz w:val="19"/>
                <w:szCs w:val="19"/>
              </w:rPr>
              <w:t xml:space="preserve">Container/service-count trigger from EEP-01 Phase G Part 0</w:t>
            </w:r>
          </w:p>
        </w:tc>
      </w:tr>
      <w:tr>
        <w:tc>
          <w:tcPr>
            <w:tcW w:type="dxa" w:w="1900"/>
            <w:shd w:fill="EDF2F4" w:val="clear"/>
            <w:tcMar>
              <w:top w:type="dxa" w:w="80"/>
              <w:left w:type="dxa" w:w="100"/>
              <w:bottom w:type="dxa" w:w="80"/>
              <w:right w:type="dxa" w:w="100"/>
            </w:tcMar>
            <w:vAlign w:val="center"/>
          </w:tcPr>
          <w:p>
            <w:r>
              <w:rPr>
                <w:b w:val="false"/>
                <w:bCs w:val="false"/>
                <w:sz w:val="19"/>
                <w:szCs w:val="19"/>
              </w:rPr>
              <w:t xml:space="preserve">Governance &amp; Assurance</w:t>
            </w:r>
          </w:p>
        </w:tc>
        <w:tc>
          <w:tcPr>
            <w:tcW w:type="dxa" w:w="2500"/>
            <w:shd w:fill="EDF2F4" w:val="clear"/>
            <w:tcMar>
              <w:top w:type="dxa" w:w="80"/>
              <w:left w:type="dxa" w:w="100"/>
              <w:bottom w:type="dxa" w:w="80"/>
              <w:right w:type="dxa" w:w="100"/>
            </w:tcMar>
            <w:vAlign w:val="center"/>
          </w:tcPr>
          <w:p>
            <w:r>
              <w:rPr>
                <w:b w:val="false"/>
                <w:bCs w:val="false"/>
                <w:sz w:val="19"/>
                <w:szCs w:val="19"/>
              </w:rPr>
              <w:t xml:space="preserve">General product/engineering function, encoded partly as automation (lint rules, CI) per Phase I</w:t>
            </w:r>
          </w:p>
        </w:tc>
        <w:tc>
          <w:tcPr>
            <w:tcW w:type="dxa" w:w="2200"/>
            <w:shd w:fill="EDF2F4" w:val="clear"/>
            <w:tcMar>
              <w:top w:type="dxa" w:w="80"/>
              <w:left w:type="dxa" w:w="100"/>
              <w:bottom w:type="dxa" w:w="80"/>
              <w:right w:type="dxa" w:w="100"/>
            </w:tcMar>
            <w:vAlign w:val="center"/>
          </w:tcPr>
          <w:p>
            <w:r>
              <w:rPr>
                <w:b w:val="false"/>
                <w:bCs w:val="false"/>
                <w:sz w:val="19"/>
                <w:szCs w:val="19"/>
              </w:rPr>
              <w:t xml:space="preserve">Dedicated Governance/Compliance owner</w:t>
            </w:r>
          </w:p>
        </w:tc>
        <w:tc>
          <w:tcPr>
            <w:tcW w:type="dxa" w:w="2250"/>
            <w:shd w:fill="EDF2F4" w:val="clear"/>
            <w:tcMar>
              <w:top w:type="dxa" w:w="80"/>
              <w:left w:type="dxa" w:w="100"/>
              <w:bottom w:type="dxa" w:w="80"/>
              <w:right w:type="dxa" w:w="100"/>
            </w:tcMar>
            <w:vAlign w:val="center"/>
          </w:tcPr>
          <w:p>
            <w:r>
              <w:rPr>
                <w:b w:val="false"/>
                <w:bCs w:val="false"/>
                <w:sz w:val="19"/>
                <w:szCs w:val="19"/>
              </w:rPr>
              <w:t xml:space="preserve">Team size where conflicting technical proposals can no longer be resolved by automated rules and documentation alone (Phase I's own stated trigger)</w:t>
            </w:r>
          </w:p>
        </w:tc>
      </w:tr>
    </w:tbl>
    <w:p>
      <w:r>
        <w:br w:type="page"/>
      </w:r>
    </w:p>
    <w:p>
      <w:pPr>
        <w:pStyle w:val="Heading1"/>
        <w:spacing w:after="200" w:before="400"/>
      </w:pPr>
      <w:r>
        <w:t xml:space="preserve">13. Capability Roadmap</w:t>
      </w:r>
    </w:p>
    <w:p>
      <w:pPr>
        <w:pStyle w:val="Heading2"/>
        <w:spacing w:after="140" w:before="280"/>
      </w:pPr>
      <w:r>
        <w:t xml:space="preserve">13.1 Short-Term (0–6 months)</w:t>
      </w:r>
    </w:p>
    <w:p>
      <w:pPr>
        <w:pStyle w:val="ListParagraph"/>
        <w:numPr>
          <w:ilvl w:val="0"/>
          <w:numId w:val="1"/>
        </w:numPr>
        <w:spacing w:after="80" w:line="276"/>
      </w:pPr>
      <w:r>
        <w:t xml:space="preserve">Make current data provenance visible wherever mock-derived output reaches a student (Career Opportunity Radar, Labor Market &amp; Salary Intelligence) — a trust and transparency fix, not a new capability. Adoption trigger: none required; this is a near-immediate documentation/UX task.</w:t>
      </w:r>
    </w:p>
    <w:p>
      <w:pPr>
        <w:pStyle w:val="ListParagraph"/>
        <w:numPr>
          <w:ilvl w:val="0"/>
          <w:numId w:val="1"/>
        </w:numPr>
        <w:spacing w:after="80" w:line="276"/>
      </w:pPr>
      <w:r>
        <w:t xml:space="preserve">Instrument acceptance/success metrics for Career Path Intelligence &amp; Recommendation and AI Career Advisory (currently under-measured relative to their maturity). Trigger: none required.</w:t>
      </w:r>
    </w:p>
    <w:p>
      <w:pPr>
        <w:pStyle w:val="ListParagraph"/>
        <w:numPr>
          <w:ilvl w:val="0"/>
          <w:numId w:val="1"/>
        </w:numPr>
        <w:spacing w:after="80" w:line="276"/>
      </w:pPr>
      <w:r>
        <w:t xml:space="preserve">Close the four documented governance-drift items from EEP-01 Phase J (CI working-directory mismatch, missing dependency-cruiser config, missing type-check script, phantom drift-check script). Trigger: none required — these are already-identified, low-effort fixes.</w:t>
      </w:r>
    </w:p>
    <w:p>
      <w:pPr>
        <w:pStyle w:val="ListParagraph"/>
        <w:numPr>
          <w:ilvl w:val="0"/>
          <w:numId w:val="1"/>
        </w:numPr>
        <w:spacing w:after="80" w:line="276"/>
      </w:pPr>
      <w:r>
        <w:t xml:space="preserve">Define the v1-to-chiV2 Career Health Assessment migration plan explicitly. Trigger: none required.</w:t>
      </w:r>
    </w:p>
    <w:p>
      <w:pPr>
        <w:pStyle w:val="Heading2"/>
        <w:spacing w:after="140" w:before="280"/>
      </w:pPr>
      <w:r>
        <w:t xml:space="preserve">13.2 Medium-Term (6–18 months)</w:t>
      </w:r>
    </w:p>
    <w:p>
      <w:pPr>
        <w:pStyle w:val="ListParagraph"/>
        <w:numPr>
          <w:ilvl w:val="0"/>
          <w:numId w:val="1"/>
        </w:numPr>
        <w:spacing w:after="80" w:line="276"/>
      </w:pPr>
      <w:r>
        <w:t xml:space="preserve">First signed employer or job-board partner integration, activating Employer Integration &amp; Opportunity Ingestion, Career Opportunity Radar, and Labor Market &amp; Salary Intelligence together. Trigger: a real, negotiated partner agreement — the single highest-leverage trigger in this roadmap.</w:t>
      </w:r>
    </w:p>
    <w:p>
      <w:pPr>
        <w:pStyle w:val="ListParagraph"/>
        <w:numPr>
          <w:ilvl w:val="0"/>
          <w:numId w:val="1"/>
        </w:numPr>
        <w:spacing w:after="80" w:line="276"/>
      </w:pPr>
      <w:r>
        <w:t xml:space="preserve">Populate the Career Digital Twin simulation engine against real academic-history data. Trigger: Academic Profile completeness sufficient for a meaningful cohort of students with multi-year history.</w:t>
      </w:r>
    </w:p>
    <w:p>
      <w:pPr>
        <w:pStyle w:val="ListParagraph"/>
        <w:numPr>
          <w:ilvl w:val="0"/>
          <w:numId w:val="1"/>
        </w:numPr>
        <w:spacing w:after="80" w:line="276"/>
      </w:pPr>
      <w:r>
        <w:t xml:space="preserve">Introduce a Supervisor/handoff pattern in AI Career Advisory once more than two agents need to coordinate on a single task. Trigger: as stated, per EEP-01 Phase F Part 8.</w:t>
      </w:r>
    </w:p>
    <w:p>
      <w:pPr>
        <w:pStyle w:val="Heading2"/>
        <w:spacing w:after="140" w:before="280"/>
      </w:pPr>
      <w:r>
        <w:t xml:space="preserve">13.3 Long-Term (18–36+ months)</w:t>
      </w:r>
    </w:p>
    <w:p>
      <w:pPr>
        <w:pStyle w:val="ListParagraph"/>
        <w:numPr>
          <w:ilvl w:val="0"/>
          <w:numId w:val="1"/>
        </w:numPr>
        <w:spacing w:after="80" w:line="276"/>
      </w:pPr>
      <w:r>
        <w:t xml:space="preserve">AI Workflow Orchestration Layer once more than ten distinct multi-step AI workflows exist. Trigger: per EEP-01 Phase F Part 0.</w:t>
      </w:r>
    </w:p>
    <w:p>
      <w:pPr>
        <w:pStyle w:val="ListParagraph"/>
        <w:numPr>
          <w:ilvl w:val="0"/>
          <w:numId w:val="1"/>
        </w:numPr>
        <w:spacing w:after="80" w:line="276"/>
      </w:pPr>
      <w:r>
        <w:t xml:space="preserve">Kubernetes-based platform scaling once more than 8–10 containers require independent scaling. Trigger: per EEP-01 Phase G Part 0.</w:t>
      </w:r>
    </w:p>
    <w:p>
      <w:pPr>
        <w:pStyle w:val="ListParagraph"/>
        <w:numPr>
          <w:ilvl w:val="0"/>
          <w:numId w:val="1"/>
        </w:numPr>
        <w:spacing w:after="80" w:line="276"/>
      </w:pPr>
      <w:r>
        <w:t xml:space="preserve">Separated Operations/Platform ownership once headcount and incident volume make context-switching between building and operating measurably costly. Trigger: per EEP-01 Phase H Part 0.</w:t>
      </w:r>
    </w:p>
    <w:p>
      <w:pPr>
        <w:pStyle w:val="Heading2"/>
        <w:spacing w:after="140" w:before="280"/>
      </w:pPr>
      <w:r>
        <w:t xml:space="preserve">13.4 Enterprise-Scale Evolution</w:t>
      </w:r>
    </w:p>
    <w:p>
      <w:pPr>
        <w:pStyle w:val="ListParagraph"/>
        <w:numPr>
          <w:ilvl w:val="0"/>
          <w:numId w:val="1"/>
        </w:numPr>
        <w:spacing w:after="80" w:line="276"/>
      </w:pPr>
      <w:r>
        <w:t xml:space="preserve">Two-sided marketplace capability spanning students, multiple employers, and multiple academic institutions, contingent on Employer Integration and Academic Intelligence both reaching Level 4+ independently first.</w:t>
      </w:r>
    </w:p>
    <w:p>
      <w:pPr>
        <w:pStyle w:val="ListParagraph"/>
        <w:numPr>
          <w:ilvl w:val="0"/>
          <w:numId w:val="1"/>
        </w:numPr>
        <w:spacing w:after="80" w:line="276"/>
      </w:pPr>
      <w:r>
        <w:t xml:space="preserve">Cross-institution academic profile portability, contingent on multiple signed academic partners with compatible data-sharing agreements.</w:t>
      </w:r>
    </w:p>
    <w:p>
      <w:r>
        <w:br w:type="page"/>
      </w:r>
    </w:p>
    <w:p>
      <w:pPr>
        <w:pStyle w:val="Heading1"/>
        <w:spacing w:after="200" w:before="400"/>
      </w:pPr>
      <w:r>
        <w:t xml:space="preserve">14. Traceability to EEP-01</w:t>
      </w:r>
    </w:p>
    <w:p>
      <w:pPr>
        <w:spacing w:after="160" w:line="276"/>
      </w:pPr>
      <w:r>
        <w:t xml:space="preserve">This section demonstrates how each completed EEP-01 phase supports the business capabilities defined above, without redefining any EEP-01 decision. Where a capability's realization changes, the change belongs in EEP-01; this document's traceability entry simply stays current.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450"/>
        <w:gridCol w:w="3800"/>
      </w:tblGrid>
      <w:tr>
        <w:trPr>
          <w:tblHeader/>
        </w:trPr>
        <w:tc>
          <w:tcPr>
            <w:tcW w:type="dxa" w:w="2100"/>
            <w:shd w:fill="1F3B57" w:val="clear"/>
            <w:tcMar>
              <w:top w:type="dxa" w:w="80"/>
              <w:left w:type="dxa" w:w="100"/>
              <w:bottom w:type="dxa" w:w="80"/>
              <w:right w:type="dxa" w:w="100"/>
            </w:tcMar>
            <w:vAlign w:val="center"/>
          </w:tcPr>
          <w:p>
            <w:r>
              <w:rPr>
                <w:b/>
                <w:bCs/>
                <w:color w:val="FFFFFF"/>
                <w:sz w:val="19"/>
                <w:szCs w:val="19"/>
              </w:rPr>
              <w:t xml:space="preserve">EEP-01 Phase</w:t>
            </w:r>
          </w:p>
        </w:tc>
        <w:tc>
          <w:tcPr>
            <w:tcW w:type="dxa" w:w="3450"/>
            <w:shd w:fill="1F3B57" w:val="clear"/>
            <w:tcMar>
              <w:top w:type="dxa" w:w="80"/>
              <w:left w:type="dxa" w:w="100"/>
              <w:bottom w:type="dxa" w:w="80"/>
              <w:right w:type="dxa" w:w="100"/>
            </w:tcMar>
            <w:vAlign w:val="center"/>
          </w:tcPr>
          <w:p>
            <w:r>
              <w:rPr>
                <w:b/>
                <w:bCs/>
                <w:color w:val="FFFFFF"/>
                <w:sz w:val="19"/>
                <w:szCs w:val="19"/>
              </w:rPr>
              <w:t xml:space="preserve">Supports these business capabilities</w:t>
            </w:r>
          </w:p>
        </w:tc>
        <w:tc>
          <w:tcPr>
            <w:tcW w:type="dxa" w:w="3800"/>
            <w:shd w:fill="1F3B57" w:val="clear"/>
            <w:tcMar>
              <w:top w:type="dxa" w:w="80"/>
              <w:left w:type="dxa" w:w="100"/>
              <w:bottom w:type="dxa" w:w="80"/>
              <w:right w:type="dxa" w:w="100"/>
            </w:tcMar>
            <w:vAlign w:val="center"/>
          </w:tcPr>
          <w:p>
            <w:r>
              <w:rPr>
                <w:b/>
                <w:bCs/>
                <w:color w:val="FFFFFF"/>
                <w:sz w:val="19"/>
                <w:szCs w:val="19"/>
              </w:rPr>
              <w:t xml:space="preserve">Nature of support</w:t>
            </w:r>
          </w:p>
        </w:tc>
      </w:tr>
      <w:tr>
        <w:tc>
          <w:tcPr>
            <w:tcW w:type="dxa" w:w="2100"/>
            <w:tcMar>
              <w:top w:type="dxa" w:w="80"/>
              <w:left w:type="dxa" w:w="100"/>
              <w:bottom w:type="dxa" w:w="80"/>
              <w:right w:type="dxa" w:w="100"/>
            </w:tcMar>
            <w:vAlign w:val="center"/>
          </w:tcPr>
          <w:p>
            <w:r>
              <w:rPr>
                <w:b w:val="false"/>
                <w:bCs w:val="false"/>
                <w:sz w:val="19"/>
                <w:szCs w:val="19"/>
              </w:rPr>
              <w:t xml:space="preserve">A — Physical Data Model</w:t>
            </w:r>
          </w:p>
        </w:tc>
        <w:tc>
          <w:tcPr>
            <w:tcW w:type="dxa" w:w="3450"/>
            <w:tcMar>
              <w:top w:type="dxa" w:w="80"/>
              <w:left w:type="dxa" w:w="100"/>
              <w:bottom w:type="dxa" w:w="80"/>
              <w:right w:type="dxa" w:w="100"/>
            </w:tcMar>
            <w:vAlign w:val="center"/>
          </w:tcPr>
          <w:p>
            <w:r>
              <w:rPr>
                <w:b w:val="false"/>
                <w:bCs w:val="false"/>
                <w:sz w:val="19"/>
                <w:szCs w:val="19"/>
              </w:rPr>
              <w:t xml:space="preserve">Academic Profile &amp; Context Intelligence; Career Digital Twin &amp; Simulation; Career Health Assessment</w:t>
            </w:r>
          </w:p>
        </w:tc>
        <w:tc>
          <w:tcPr>
            <w:tcW w:type="dxa" w:w="3800"/>
            <w:tcMar>
              <w:top w:type="dxa" w:w="80"/>
              <w:left w:type="dxa" w:w="100"/>
              <w:bottom w:type="dxa" w:w="80"/>
              <w:right w:type="dxa" w:w="100"/>
            </w:tcMar>
            <w:vAlign w:val="center"/>
          </w:tcPr>
          <w:p>
            <w:r>
              <w:rPr>
                <w:b w:val="false"/>
                <w:bCs w:val="false"/>
                <w:sz w:val="19"/>
                <w:szCs w:val="19"/>
              </w:rPr>
              <w:t xml:space="preserve">Provides the canonical, partitioned, versioned data structures these capabilities read and write.</w:t>
            </w:r>
          </w:p>
        </w:tc>
      </w:tr>
      <w:tr>
        <w:tc>
          <w:tcPr>
            <w:tcW w:type="dxa" w:w="2100"/>
            <w:shd w:fill="EDF2F4" w:val="clear"/>
            <w:tcMar>
              <w:top w:type="dxa" w:w="80"/>
              <w:left w:type="dxa" w:w="100"/>
              <w:bottom w:type="dxa" w:w="80"/>
              <w:right w:type="dxa" w:w="100"/>
            </w:tcMar>
            <w:vAlign w:val="center"/>
          </w:tcPr>
          <w:p>
            <w:r>
              <w:rPr>
                <w:b w:val="false"/>
                <w:bCs w:val="false"/>
                <w:sz w:val="19"/>
                <w:szCs w:val="19"/>
              </w:rPr>
              <w:t xml:space="preserve">B — Security Architecture</w:t>
            </w:r>
          </w:p>
        </w:tc>
        <w:tc>
          <w:tcPr>
            <w:tcW w:type="dxa" w:w="3450"/>
            <w:shd w:fill="EDF2F4" w:val="clear"/>
            <w:tcMar>
              <w:top w:type="dxa" w:w="80"/>
              <w:left w:type="dxa" w:w="100"/>
              <w:bottom w:type="dxa" w:w="80"/>
              <w:right w:type="dxa" w:w="100"/>
            </w:tcMar>
            <w:vAlign w:val="center"/>
          </w:tcPr>
          <w:p>
            <w:r>
              <w:rPr>
                <w:b w:val="false"/>
                <w:bCs w:val="false"/>
                <w:sz w:val="19"/>
                <w:szCs w:val="19"/>
              </w:rPr>
              <w:t xml:space="preserve">Academic Profile &amp; Context Intelligence; Identity, Roles &amp; Access Administration; every capability touching student data</w:t>
            </w:r>
          </w:p>
        </w:tc>
        <w:tc>
          <w:tcPr>
            <w:tcW w:type="dxa" w:w="3800"/>
            <w:shd w:fill="EDF2F4" w:val="clear"/>
            <w:tcMar>
              <w:top w:type="dxa" w:w="80"/>
              <w:left w:type="dxa" w:w="100"/>
              <w:bottom w:type="dxa" w:w="80"/>
              <w:right w:type="dxa" w:w="100"/>
            </w:tcMar>
            <w:vAlign w:val="center"/>
          </w:tcPr>
          <w:p>
            <w:r>
              <w:rPr>
                <w:b w:val="false"/>
                <w:bCs w:val="false"/>
                <w:sz w:val="19"/>
                <w:szCs w:val="19"/>
              </w:rPr>
              <w:t xml:space="preserve">Defines identity, RLS isolation, column-level protection, and the minor-protective posture every capability must respect.</w:t>
            </w:r>
          </w:p>
        </w:tc>
      </w:tr>
      <w:tr>
        <w:tc>
          <w:tcPr>
            <w:tcW w:type="dxa" w:w="2100"/>
            <w:tcMar>
              <w:top w:type="dxa" w:w="80"/>
              <w:left w:type="dxa" w:w="100"/>
              <w:bottom w:type="dxa" w:w="80"/>
              <w:right w:type="dxa" w:w="100"/>
            </w:tcMar>
            <w:vAlign w:val="center"/>
          </w:tcPr>
          <w:p>
            <w:r>
              <w:rPr>
                <w:b w:val="false"/>
                <w:bCs w:val="false"/>
                <w:sz w:val="19"/>
                <w:szCs w:val="19"/>
              </w:rPr>
              <w:t xml:space="preserve">C — Event Architecture</w:t>
            </w:r>
          </w:p>
        </w:tc>
        <w:tc>
          <w:tcPr>
            <w:tcW w:type="dxa" w:w="3450"/>
            <w:tcMar>
              <w:top w:type="dxa" w:w="80"/>
              <w:left w:type="dxa" w:w="100"/>
              <w:bottom w:type="dxa" w:w="80"/>
              <w:right w:type="dxa" w:w="100"/>
            </w:tcMar>
            <w:vAlign w:val="center"/>
          </w:tcPr>
          <w:p>
            <w:r>
              <w:rPr>
                <w:b w:val="false"/>
                <w:bCs w:val="false"/>
                <w:sz w:val="19"/>
                <w:szCs w:val="19"/>
              </w:rPr>
              <w:t xml:space="preserve">AI Career Advisory &amp; Agentic Orchestration; Knowledge Runtime &amp; Context Assembly; Intelligence Quality &amp; Drift Monitoring</w:t>
            </w:r>
          </w:p>
        </w:tc>
        <w:tc>
          <w:tcPr>
            <w:tcW w:type="dxa" w:w="3800"/>
            <w:tcMar>
              <w:top w:type="dxa" w:w="80"/>
              <w:left w:type="dxa" w:w="100"/>
              <w:bottom w:type="dxa" w:w="80"/>
              <w:right w:type="dxa" w:w="100"/>
            </w:tcMar>
            <w:vAlign w:val="center"/>
          </w:tcPr>
          <w:p>
            <w:r>
              <w:rPr>
                <w:b w:val="false"/>
                <w:bCs w:val="false"/>
                <w:sz w:val="19"/>
                <w:szCs w:val="19"/>
              </w:rPr>
              <w:t xml:space="preserve">Defines how facts propagate between bounded contexts that these capabilities span.</w:t>
            </w:r>
          </w:p>
        </w:tc>
      </w:tr>
      <w:tr>
        <w:tc>
          <w:tcPr>
            <w:tcW w:type="dxa" w:w="2100"/>
            <w:shd w:fill="EDF2F4" w:val="clear"/>
            <w:tcMar>
              <w:top w:type="dxa" w:w="80"/>
              <w:left w:type="dxa" w:w="100"/>
              <w:bottom w:type="dxa" w:w="80"/>
              <w:right w:type="dxa" w:w="100"/>
            </w:tcMar>
            <w:vAlign w:val="center"/>
          </w:tcPr>
          <w:p>
            <w:r>
              <w:rPr>
                <w:b w:val="false"/>
                <w:bCs w:val="false"/>
                <w:sz w:val="19"/>
                <w:szCs w:val="19"/>
              </w:rPr>
              <w:t xml:space="preserve">D — Messaging &amp; Event Processing</w:t>
            </w:r>
          </w:p>
        </w:tc>
        <w:tc>
          <w:tcPr>
            <w:tcW w:type="dxa" w:w="3450"/>
            <w:shd w:fill="EDF2F4" w:val="clear"/>
            <w:tcMar>
              <w:top w:type="dxa" w:w="80"/>
              <w:left w:type="dxa" w:w="100"/>
              <w:bottom w:type="dxa" w:w="80"/>
              <w:right w:type="dxa" w:w="100"/>
            </w:tcMar>
            <w:vAlign w:val="center"/>
          </w:tcPr>
          <w:p>
            <w:r>
              <w:rPr>
                <w:b w:val="false"/>
                <w:bCs w:val="false"/>
                <w:sz w:val="19"/>
                <w:szCs w:val="19"/>
              </w:rPr>
              <w:t xml:space="preserve">Daily Engagement &amp; Conversion; Intelligence Quality &amp; Drift Monitoring</w:t>
            </w:r>
          </w:p>
        </w:tc>
        <w:tc>
          <w:tcPr>
            <w:tcW w:type="dxa" w:w="3800"/>
            <w:shd w:fill="EDF2F4" w:val="clear"/>
            <w:tcMar>
              <w:top w:type="dxa" w:w="80"/>
              <w:left w:type="dxa" w:w="100"/>
              <w:bottom w:type="dxa" w:w="80"/>
              <w:right w:type="dxa" w:w="100"/>
            </w:tcMar>
            <w:vAlign w:val="center"/>
          </w:tcPr>
          <w:p>
            <w:r>
              <w:rPr>
                <w:b w:val="false"/>
                <w:bCs w:val="false"/>
                <w:sz w:val="19"/>
                <w:szCs w:val="19"/>
              </w:rPr>
              <w:t xml:space="preserve">Defines how events physically move, retry, and replay in support of engagement triggers and quality signals.</w:t>
            </w:r>
          </w:p>
        </w:tc>
      </w:tr>
      <w:tr>
        <w:tc>
          <w:tcPr>
            <w:tcW w:type="dxa" w:w="2100"/>
            <w:tcMar>
              <w:top w:type="dxa" w:w="80"/>
              <w:left w:type="dxa" w:w="100"/>
              <w:bottom w:type="dxa" w:w="80"/>
              <w:right w:type="dxa" w:w="100"/>
            </w:tcMar>
            <w:vAlign w:val="center"/>
          </w:tcPr>
          <w:p>
            <w:r>
              <w:rPr>
                <w:b w:val="false"/>
                <w:bCs w:val="false"/>
                <w:sz w:val="19"/>
                <w:szCs w:val="19"/>
              </w:rPr>
              <w:t xml:space="preserve">E — Integration Architecture</w:t>
            </w:r>
          </w:p>
        </w:tc>
        <w:tc>
          <w:tcPr>
            <w:tcW w:type="dxa" w:w="3450"/>
            <w:tcMar>
              <w:top w:type="dxa" w:w="80"/>
              <w:left w:type="dxa" w:w="100"/>
              <w:bottom w:type="dxa" w:w="80"/>
              <w:right w:type="dxa" w:w="100"/>
            </w:tcMar>
            <w:vAlign w:val="center"/>
          </w:tcPr>
          <w:p>
            <w:r>
              <w:rPr>
                <w:b w:val="false"/>
                <w:bCs w:val="false"/>
                <w:sz w:val="19"/>
                <w:szCs w:val="19"/>
              </w:rPr>
              <w:t xml:space="preserve">Career Opportunity Radar; Labor Market &amp; Salary Intelligence; Employer Integration &amp; Opportunity Ingestion; AI Career Advisory</w:t>
            </w:r>
          </w:p>
        </w:tc>
        <w:tc>
          <w:tcPr>
            <w:tcW w:type="dxa" w:w="3800"/>
            <w:tcMar>
              <w:top w:type="dxa" w:w="80"/>
              <w:left w:type="dxa" w:w="100"/>
              <w:bottom w:type="dxa" w:w="80"/>
              <w:right w:type="dxa" w:w="100"/>
            </w:tcMar>
            <w:vAlign w:val="center"/>
          </w:tcPr>
          <w:p>
            <w:r>
              <w:rPr>
                <w:b w:val="false"/>
                <w:bCs w:val="false"/>
                <w:sz w:val="19"/>
                <w:szCs w:val="19"/>
              </w:rPr>
              <w:t xml:space="preserve">Defines API Gateway, provider abstraction, and the explicit current-state limits (mock feeds) this document reports as capability gaps.</w:t>
            </w:r>
          </w:p>
        </w:tc>
      </w:tr>
      <w:tr>
        <w:tc>
          <w:tcPr>
            <w:tcW w:type="dxa" w:w="2100"/>
            <w:shd w:fill="EDF2F4" w:val="clear"/>
            <w:tcMar>
              <w:top w:type="dxa" w:w="80"/>
              <w:left w:type="dxa" w:w="100"/>
              <w:bottom w:type="dxa" w:w="80"/>
              <w:right w:type="dxa" w:w="100"/>
            </w:tcMar>
            <w:vAlign w:val="center"/>
          </w:tcPr>
          <w:p>
            <w:r>
              <w:rPr>
                <w:b w:val="false"/>
                <w:bCs w:val="false"/>
                <w:sz w:val="19"/>
                <w:szCs w:val="19"/>
              </w:rPr>
              <w:t xml:space="preserve">F — AI &amp; Intelligent Automation Architecture</w:t>
            </w:r>
          </w:p>
        </w:tc>
        <w:tc>
          <w:tcPr>
            <w:tcW w:type="dxa" w:w="3450"/>
            <w:shd w:fill="EDF2F4" w:val="clear"/>
            <w:tcMar>
              <w:top w:type="dxa" w:w="80"/>
              <w:left w:type="dxa" w:w="100"/>
              <w:bottom w:type="dxa" w:w="80"/>
              <w:right w:type="dxa" w:w="100"/>
            </w:tcMar>
            <w:vAlign w:val="center"/>
          </w:tcPr>
          <w:p>
            <w:r>
              <w:rPr>
                <w:b w:val="false"/>
                <w:bCs w:val="false"/>
                <w:sz w:val="19"/>
                <w:szCs w:val="19"/>
              </w:rPr>
              <w:t xml:space="preserve">AI Career Advisory &amp; Agentic Orchestration; AI Personalization &amp; Adaptive Weighting; AI Quality &amp; Confidence Governance</w:t>
            </w:r>
          </w:p>
        </w:tc>
        <w:tc>
          <w:tcPr>
            <w:tcW w:type="dxa" w:w="3800"/>
            <w:shd w:fill="EDF2F4" w:val="clear"/>
            <w:tcMar>
              <w:top w:type="dxa" w:w="80"/>
              <w:left w:type="dxa" w:w="100"/>
              <w:bottom w:type="dxa" w:w="80"/>
              <w:right w:type="dxa" w:w="100"/>
            </w:tcMar>
            <w:vAlign w:val="center"/>
          </w:tcPr>
          <w:p>
            <w:r>
              <w:rPr>
                <w:b w:val="false"/>
                <w:bCs w:val="false"/>
                <w:sz w:val="19"/>
                <w:szCs w:val="19"/>
              </w:rPr>
              <w:t xml:space="preserve">Defines the multi-provider, multi-agent, and evaluation architecture these capabilities are built on.</w:t>
            </w:r>
          </w:p>
        </w:tc>
      </w:tr>
      <w:tr>
        <w:tc>
          <w:tcPr>
            <w:tcW w:type="dxa" w:w="2100"/>
            <w:tcMar>
              <w:top w:type="dxa" w:w="80"/>
              <w:left w:type="dxa" w:w="100"/>
              <w:bottom w:type="dxa" w:w="80"/>
              <w:right w:type="dxa" w:w="100"/>
            </w:tcMar>
            <w:vAlign w:val="center"/>
          </w:tcPr>
          <w:p>
            <w:r>
              <w:rPr>
                <w:b w:val="false"/>
                <w:bCs w:val="false"/>
                <w:sz w:val="19"/>
                <w:szCs w:val="19"/>
              </w:rPr>
              <w:t xml:space="preserve">G — Platform &amp; Runtime Architecture</w:t>
            </w:r>
          </w:p>
        </w:tc>
        <w:tc>
          <w:tcPr>
            <w:tcW w:type="dxa" w:w="3450"/>
            <w:tcMar>
              <w:top w:type="dxa" w:w="80"/>
              <w:left w:type="dxa" w:w="100"/>
              <w:bottom w:type="dxa" w:w="80"/>
              <w:right w:type="dxa" w:w="100"/>
            </w:tcMar>
            <w:vAlign w:val="center"/>
          </w:tcPr>
          <w:p>
            <w:r>
              <w:rPr>
                <w:b w:val="false"/>
                <w:bCs w:val="false"/>
                <w:sz w:val="19"/>
                <w:szCs w:val="19"/>
              </w:rPr>
              <w:t xml:space="preserve">All capabilities (cross-cutting)</w:t>
            </w:r>
          </w:p>
        </w:tc>
        <w:tc>
          <w:tcPr>
            <w:tcW w:type="dxa" w:w="3800"/>
            <w:tcMar>
              <w:top w:type="dxa" w:w="80"/>
              <w:left w:type="dxa" w:w="100"/>
              <w:bottom w:type="dxa" w:w="80"/>
              <w:right w:type="dxa" w:w="100"/>
            </w:tcMar>
            <w:vAlign w:val="center"/>
          </w:tcPr>
          <w:p>
            <w:r>
              <w:rPr>
                <w:b w:val="false"/>
                <w:bCs w:val="false"/>
                <w:sz w:val="19"/>
                <w:szCs w:val="19"/>
              </w:rPr>
              <w:t xml:space="preserve">Defines where and how every capability's technical realization actually runs, including the current containerization state.</w:t>
            </w:r>
          </w:p>
        </w:tc>
      </w:tr>
      <w:tr>
        <w:tc>
          <w:tcPr>
            <w:tcW w:type="dxa" w:w="2100"/>
            <w:shd w:fill="EDF2F4" w:val="clear"/>
            <w:tcMar>
              <w:top w:type="dxa" w:w="80"/>
              <w:left w:type="dxa" w:w="100"/>
              <w:bottom w:type="dxa" w:w="80"/>
              <w:right w:type="dxa" w:w="100"/>
            </w:tcMar>
            <w:vAlign w:val="center"/>
          </w:tcPr>
          <w:p>
            <w:r>
              <w:rPr>
                <w:b w:val="false"/>
                <w:bCs w:val="false"/>
                <w:sz w:val="19"/>
                <w:szCs w:val="19"/>
              </w:rPr>
              <w:t xml:space="preserve">H — Operations, Governance &amp; Service Management</w:t>
            </w:r>
          </w:p>
        </w:tc>
        <w:tc>
          <w:tcPr>
            <w:tcW w:type="dxa" w:w="3450"/>
            <w:shd w:fill="EDF2F4" w:val="clear"/>
            <w:tcMar>
              <w:top w:type="dxa" w:w="80"/>
              <w:left w:type="dxa" w:w="100"/>
              <w:bottom w:type="dxa" w:w="80"/>
              <w:right w:type="dxa" w:w="100"/>
            </w:tcMar>
            <w:vAlign w:val="center"/>
          </w:tcPr>
          <w:p>
            <w:r>
              <w:rPr>
                <w:b w:val="false"/>
                <w:bCs w:val="false"/>
                <w:sz w:val="19"/>
                <w:szCs w:val="19"/>
              </w:rPr>
              <w:t xml:space="preserve">Capability Ownership (Section 12); all capabilities (cross-cutting)</w:t>
            </w:r>
          </w:p>
        </w:tc>
        <w:tc>
          <w:tcPr>
            <w:tcW w:type="dxa" w:w="3800"/>
            <w:shd w:fill="EDF2F4" w:val="clear"/>
            <w:tcMar>
              <w:top w:type="dxa" w:w="80"/>
              <w:left w:type="dxa" w:w="100"/>
              <w:bottom w:type="dxa" w:w="80"/>
              <w:right w:type="dxa" w:w="100"/>
            </w:tcMar>
            <w:vAlign w:val="center"/>
          </w:tcPr>
          <w:p>
            <w:r>
              <w:rPr>
                <w:b w:val="false"/>
                <w:bCs w:val="false"/>
                <w:sz w:val="19"/>
                <w:szCs w:val="19"/>
              </w:rPr>
              <w:t xml:space="preserve">Defines who is accountable for operating each capability today, and the honest small-team framing this document inherits.</w:t>
            </w:r>
          </w:p>
        </w:tc>
      </w:tr>
      <w:tr>
        <w:tc>
          <w:tcPr>
            <w:tcW w:type="dxa" w:w="2100"/>
            <w:tcMar>
              <w:top w:type="dxa" w:w="80"/>
              <w:left w:type="dxa" w:w="100"/>
              <w:bottom w:type="dxa" w:w="80"/>
              <w:right w:type="dxa" w:w="100"/>
            </w:tcMar>
            <w:vAlign w:val="center"/>
          </w:tcPr>
          <w:p>
            <w:r>
              <w:rPr>
                <w:b w:val="false"/>
                <w:bCs w:val="false"/>
                <w:sz w:val="19"/>
                <w:szCs w:val="19"/>
              </w:rPr>
              <w:t xml:space="preserve">I — Engineering Standards &amp; Development Architecture</w:t>
            </w:r>
          </w:p>
        </w:tc>
        <w:tc>
          <w:tcPr>
            <w:tcW w:type="dxa" w:w="3450"/>
            <w:tcMar>
              <w:top w:type="dxa" w:w="80"/>
              <w:left w:type="dxa" w:w="100"/>
              <w:bottom w:type="dxa" w:w="80"/>
              <w:right w:type="dxa" w:w="100"/>
            </w:tcMar>
            <w:vAlign w:val="center"/>
          </w:tcPr>
          <w:p>
            <w:r>
              <w:rPr>
                <w:b w:val="false"/>
                <w:bCs w:val="false"/>
                <w:sz w:val="19"/>
                <w:szCs w:val="19"/>
              </w:rPr>
              <w:t xml:space="preserve">Architecture &amp; Engineering Standards Conformance</w:t>
            </w:r>
          </w:p>
        </w:tc>
        <w:tc>
          <w:tcPr>
            <w:tcW w:type="dxa" w:w="3800"/>
            <w:tcMar>
              <w:top w:type="dxa" w:w="80"/>
              <w:left w:type="dxa" w:w="100"/>
              <w:bottom w:type="dxa" w:w="80"/>
              <w:right w:type="dxa" w:w="100"/>
            </w:tcMar>
            <w:vAlign w:val="center"/>
          </w:tcPr>
          <w:p>
            <w:r>
              <w:rPr>
                <w:b w:val="false"/>
                <w:bCs w:val="false"/>
                <w:sz w:val="19"/>
                <w:szCs w:val="19"/>
              </w:rPr>
              <w:t xml:space="preserve">Defines the lint/dependency/CI rules this capability exists to describe and depend on.</w:t>
            </w:r>
          </w:p>
        </w:tc>
      </w:tr>
      <w:tr>
        <w:tc>
          <w:tcPr>
            <w:tcW w:type="dxa" w:w="2100"/>
            <w:shd w:fill="EDF2F4" w:val="clear"/>
            <w:tcMar>
              <w:top w:type="dxa" w:w="80"/>
              <w:left w:type="dxa" w:w="100"/>
              <w:bottom w:type="dxa" w:w="80"/>
              <w:right w:type="dxa" w:w="100"/>
            </w:tcMar>
            <w:vAlign w:val="center"/>
          </w:tcPr>
          <w:p>
            <w:r>
              <w:rPr>
                <w:b w:val="false"/>
                <w:bCs w:val="false"/>
                <w:sz w:val="19"/>
                <w:szCs w:val="19"/>
              </w:rPr>
              <w:t xml:space="preserve">J — Quality, Conformance &amp; Continuous Improvement</w:t>
            </w:r>
          </w:p>
        </w:tc>
        <w:tc>
          <w:tcPr>
            <w:tcW w:type="dxa" w:w="3450"/>
            <w:shd w:fill="EDF2F4" w:val="clear"/>
            <w:tcMar>
              <w:top w:type="dxa" w:w="80"/>
              <w:left w:type="dxa" w:w="100"/>
              <w:bottom w:type="dxa" w:w="80"/>
              <w:right w:type="dxa" w:w="100"/>
            </w:tcMar>
            <w:vAlign w:val="center"/>
          </w:tcPr>
          <w:p>
            <w:r>
              <w:rPr>
                <w:b w:val="false"/>
                <w:bCs w:val="false"/>
                <w:sz w:val="19"/>
                <w:szCs w:val="19"/>
              </w:rPr>
              <w:t xml:space="preserve">Intelligence Quality &amp; Drift Monitoring; Architecture &amp; Engineering Standards Conformance</w:t>
            </w:r>
          </w:p>
        </w:tc>
        <w:tc>
          <w:tcPr>
            <w:tcW w:type="dxa" w:w="3800"/>
            <w:shd w:fill="EDF2F4" w:val="clear"/>
            <w:tcMar>
              <w:top w:type="dxa" w:w="80"/>
              <w:left w:type="dxa" w:w="100"/>
              <w:bottom w:type="dxa" w:w="80"/>
              <w:right w:type="dxa" w:w="100"/>
            </w:tcMar>
            <w:vAlign w:val="center"/>
          </w:tcPr>
          <w:p>
            <w:r>
              <w:rPr>
                <w:b w:val="false"/>
                <w:bCs w:val="false"/>
                <w:sz w:val="19"/>
                <w:szCs w:val="19"/>
              </w:rPr>
              <w:t xml:space="preserve">Defines the feedback loop that verifies Phases A–I remain true over time, and is the source of the drift risks in Section 16.</w:t>
            </w:r>
          </w:p>
        </w:tc>
      </w:tr>
    </w:tbl>
    <w:p>
      <w:r>
        <w:br w:type="page"/>
      </w:r>
    </w:p>
    <w:p>
      <w:pPr>
        <w:pStyle w:val="Heading1"/>
        <w:spacing w:after="200" w:before="400"/>
      </w:pPr>
      <w:r>
        <w:t xml:space="preserve">15. Architecture Decisions</w:t>
      </w:r>
    </w:p>
    <w:p>
      <w:pPr>
        <w:pStyle w:val="Heading3"/>
        <w:spacing w:after="100" w:before="200"/>
      </w:pPr>
      <w:r>
        <w:t xml:space="preserve">ADR-BC-01 — Capabilities are named as business outcomes, never as technical module or service names</w:t>
      </w:r>
    </w:p>
    <w:p>
      <w:pPr>
        <w:spacing w:after="60" w:line="260"/>
      </w:pPr>
      <w:r>
        <w:rPr>
          <w:b/>
          <w:bCs/>
        </w:rPr>
        <w:t xml:space="preserve">Rationale: </w:t>
      </w:r>
      <w:r>
        <w:t xml:space="preserve">Ensures the capability model survives refactors, re-platforming, and vendor changes — the core purpose of a business capability architecture.</w:t>
      </w:r>
    </w:p>
    <w:p>
      <w:pPr>
        <w:spacing w:after="60" w:line="260"/>
      </w:pPr>
      <w:r>
        <w:rPr>
          <w:b/>
          <w:bCs/>
        </w:rPr>
        <w:t xml:space="preserve">Trade-off: </w:t>
      </w:r>
      <w:r>
        <w:t xml:space="preserve">Some capability names read as slightly abstract next to their concrete module counterparts (e.g. "Career Path Intelligence &amp; Recommendation" vs. career-copilot); this is accepted as the correct trade-off for stability over immediate legibility to engineers already familiar with the code.</w:t>
      </w:r>
    </w:p>
    <w:p>
      <w:pPr>
        <w:pStyle w:val="Heading3"/>
        <w:spacing w:after="100" w:before="200"/>
      </w:pPr>
      <w:r>
        <w:t xml:space="preserve">ADR-BC-02 — Career Health Assessment is modeled as one capability despite two parallel technical implementations (careerHealthIndex, chiV2)</w:t>
      </w:r>
    </w:p>
    <w:p>
      <w:pPr>
        <w:spacing w:after="60" w:line="260"/>
      </w:pPr>
      <w:r>
        <w:rPr>
          <w:b/>
          <w:bCs/>
        </w:rPr>
        <w:t xml:space="preserve">Rationale: </w:t>
      </w:r>
      <w:r>
        <w:t xml:space="preserve">The business outcome — a single trustworthy health score — is one capability regardless of an in-flight technical migration; splitting it into two capabilities would misrepresent the business intent.</w:t>
      </w:r>
    </w:p>
    <w:p>
      <w:pPr>
        <w:spacing w:after="60" w:line="260"/>
      </w:pPr>
      <w:r>
        <w:rPr>
          <w:b/>
          <w:bCs/>
        </w:rPr>
        <w:t xml:space="preserve">Trade-off: </w:t>
      </w:r>
      <w:r>
        <w:t xml:space="preserve">Section 9's maturity table must carry a compound (v1/v2) rating for this capability rather than a single clean number, which is a minor loss of table simplicity.</w:t>
      </w:r>
    </w:p>
    <w:p>
      <w:pPr>
        <w:pStyle w:val="Heading3"/>
        <w:spacing w:after="100" w:before="200"/>
      </w:pPr>
      <w:r>
        <w:t xml:space="preserve">ADR-BC-03 — Employer Integration &amp; Opportunity Ingestion is catalogued as a full Tier-1 strategic capability despite Level 1 maturity</w:t>
      </w:r>
    </w:p>
    <w:p>
      <w:pPr>
        <w:spacing w:after="60" w:line="260"/>
      </w:pPr>
      <w:r>
        <w:rPr>
          <w:b/>
          <w:bCs/>
        </w:rPr>
        <w:t xml:space="preserve">Rationale: </w:t>
      </w:r>
      <w:r>
        <w:t xml:space="preserve">Its strategic importance (Section 3, Section 11) is independent of its current maturity; omitting it or under-cataloguing it because it is immature would hide the platform's single largest gap rather than surface it, which is this document's purpose.</w:t>
      </w:r>
    </w:p>
    <w:p>
      <w:pPr>
        <w:spacing w:after="60" w:line="260"/>
      </w:pPr>
      <w:r>
        <w:rPr>
          <w:b/>
          <w:bCs/>
        </w:rPr>
        <w:t xml:space="preserve">Trade-off: </w:t>
      </w:r>
      <w:r>
        <w:t xml:space="preserve">Its profile (Section 7.10) necessarily reports more target-state than current-state content than any other Tier-1 profile — accepted as accurate rather than smoothed over.</w:t>
      </w:r>
    </w:p>
    <w:p>
      <w:pPr>
        <w:pStyle w:val="Heading3"/>
        <w:spacing w:after="100" w:before="200"/>
      </w:pPr>
      <w:r>
        <w:t xml:space="preserve">ADR-BC-04 — Ownership is stated as "general product/engineering function" wherever no separated business function is evidenced, rather than assigning a fictional named role</w:t>
      </w:r>
    </w:p>
    <w:p>
      <w:pPr>
        <w:spacing w:after="60" w:line="260"/>
      </w:pPr>
      <w:r>
        <w:rPr>
          <w:b/>
          <w:bCs/>
        </w:rPr>
        <w:t xml:space="preserve">Rationale: </w:t>
      </w:r>
      <w:r>
        <w:t xml:space="preserve">Matches EEP-01 Phase H's own explicit finding about team scale; a business architecture that invents ownership structure the organization does not have would mislead investment and hiring decisions more than it would help them.</w:t>
      </w:r>
    </w:p>
    <w:p>
      <w:pPr>
        <w:spacing w:after="60" w:line="260"/>
      </w:pPr>
      <w:r>
        <w:rPr>
          <w:b/>
          <w:bCs/>
        </w:rPr>
        <w:t xml:space="preserve">Trade-off: </w:t>
      </w:r>
      <w:r>
        <w:t xml:space="preserve">Section 12 is less visually impressive than a fully staffed capability-ownership RACI would be; accepted because accuracy is the stated quality bar for this document.</w:t>
      </w:r>
    </w:p>
    <w:p>
      <w:pPr>
        <w:pStyle w:val="Heading3"/>
        <w:spacing w:after="100" w:before="200"/>
      </w:pPr>
      <w:r>
        <w:t xml:space="preserve">ADR-BC-05 — No capability is classified as Legacy in Section 11</w:t>
      </w:r>
    </w:p>
    <w:p>
      <w:pPr>
        <w:spacing w:after="60" w:line="260"/>
      </w:pPr>
      <w:r>
        <w:rPr>
          <w:b/>
          <w:bCs/>
        </w:rPr>
        <w:t xml:space="preserve">Rationale: </w:t>
      </w:r>
      <w:r>
        <w:t xml:space="preserve">No repository evidence supports a legacy classification for any current capability; a business capability architecture should not manufacture a legacy narrative for a young platform.</w:t>
      </w:r>
    </w:p>
    <w:p>
      <w:pPr>
        <w:spacing w:after="60" w:line="260"/>
      </w:pPr>
      <w:r>
        <w:rPr>
          <w:b/>
          <w:bCs/>
        </w:rPr>
        <w:t xml:space="preserve">Trade-off: </w:t>
      </w:r>
      <w:r>
        <w:t xml:space="preserve">None — this preserves accuracy at no cost, since the alternative (forcing a legacy entry) would only introduce a false signal.</w:t>
      </w:r>
    </w:p>
    <w:p>
      <w:pPr>
        <w:pStyle w:val="Heading3"/>
        <w:spacing w:after="100" w:before="200"/>
      </w:pPr>
      <w:r>
        <w:t xml:space="preserve">ADR-BC-06 — Level 2 sub-capability decomposition is applied only to Career Intelligence and AI-Native Capabilities</w:t>
      </w:r>
    </w:p>
    <w:p>
      <w:pPr>
        <w:spacing w:after="60" w:line="260"/>
      </w:pPr>
      <w:r>
        <w:rPr>
          <w:b/>
          <w:bCs/>
        </w:rPr>
        <w:t xml:space="preserve">Rationale: </w:t>
      </w:r>
      <w:r>
        <w:t xml:space="preserve">These are the only two domains where the repository shows independently identifiable, separately-evidenced sub-parts (Section 8.1); applying decomposition uniformly across all eight domains would create structure unsupported by evidence.</w:t>
      </w:r>
    </w:p>
    <w:p>
      <w:pPr>
        <w:spacing w:after="60" w:line="260"/>
      </w:pPr>
      <w:r>
        <w:rPr>
          <w:b/>
          <w:bCs/>
        </w:rPr>
        <w:t xml:space="preserve">Trade-off: </w:t>
      </w:r>
      <w:r>
        <w:t xml:space="preserve">The capability map is asymmetric in depth across domains; accepted as more honest than artificial uniformity.</w:t>
      </w:r>
    </w:p>
    <w:p>
      <w:r>
        <w:br w:type="page"/>
      </w:r>
    </w:p>
    <w:p>
      <w:pPr>
        <w:pStyle w:val="Heading1"/>
        <w:spacing w:after="200" w:before="400"/>
      </w:pPr>
      <w:r>
        <w:t xml:space="preserve">16. Risks</w:t>
      </w:r>
    </w:p>
    <w:p>
      <w:pPr>
        <w:pStyle w:val="Heading2"/>
        <w:spacing w:after="140" w:before="280"/>
      </w:pPr>
      <w:r>
        <w:t xml:space="preserve">16.1 Business Risks</w:t>
      </w:r>
    </w:p>
    <w:p>
      <w:pPr>
        <w:pStyle w:val="ListParagraph"/>
        <w:numPr>
          <w:ilvl w:val="0"/>
          <w:numId w:val="1"/>
        </w:numPr>
        <w:spacing w:after="80" w:line="276"/>
      </w:pPr>
      <w:r>
        <w:t xml:space="preserve">Presenting mock-derived market data, opportunities, or salary figures to students without clear provenance signaling risks a trust and credibility failure once discovered, in a product whose entire value proposition rests on trustworthy guidance for career-stakes decisions.</w:t>
      </w:r>
    </w:p>
    <w:p>
      <w:pPr>
        <w:pStyle w:val="ListParagraph"/>
        <w:numPr>
          <w:ilvl w:val="0"/>
          <w:numId w:val="1"/>
        </w:numPr>
        <w:spacing w:after="80" w:line="276"/>
      </w:pPr>
      <w:r>
        <w:t xml:space="preserve">Employer Intelligence's Level 1 maturity means the platform's monetizable, two-sided-market strategy is currently unactivated; strategic messaging that implies otherwise (internally or externally) carries reputational and investor-relations risk.</w:t>
      </w:r>
    </w:p>
    <w:p>
      <w:pPr>
        <w:pStyle w:val="Heading2"/>
        <w:spacing w:after="140" w:before="280"/>
      </w:pPr>
      <w:r>
        <w:t xml:space="preserve">16.2 Capability Risks</w:t>
      </w:r>
    </w:p>
    <w:p>
      <w:pPr>
        <w:pStyle w:val="ListParagraph"/>
        <w:numPr>
          <w:ilvl w:val="0"/>
          <w:numId w:val="1"/>
        </w:numPr>
        <w:spacing w:after="80" w:line="276"/>
      </w:pPr>
      <w:r>
        <w:t xml:space="preserve">Career Health Assessment's dual-implementation state (careerHealthIndex / chiV2) risks score inconsistency if both are ever exposed to the same student population without a clean cutover.</w:t>
      </w:r>
    </w:p>
    <w:p>
      <w:pPr>
        <w:pStyle w:val="ListParagraph"/>
        <w:numPr>
          <w:ilvl w:val="0"/>
          <w:numId w:val="1"/>
        </w:numPr>
        <w:spacing w:after="80" w:line="276"/>
      </w:pPr>
      <w:r>
        <w:t xml:space="preserve">Academic Profile &amp; Context Intelligence's position as the most widely shared capability (10+ downstream consumers per Phase B) means any data-quality regression here has the widest blast radius of any capability failure in the platform.</w:t>
      </w:r>
    </w:p>
    <w:p>
      <w:pPr>
        <w:pStyle w:val="Heading2"/>
        <w:spacing w:after="140" w:before="280"/>
      </w:pPr>
      <w:r>
        <w:t xml:space="preserve">16.3 Transformation Risks</w:t>
      </w:r>
    </w:p>
    <w:p>
      <w:pPr>
        <w:pStyle w:val="ListParagraph"/>
        <w:numPr>
          <w:ilvl w:val="0"/>
          <w:numId w:val="1"/>
        </w:numPr>
        <w:spacing w:after="80" w:line="276"/>
      </w:pPr>
      <w:r>
        <w:t xml:space="preserve">Activating Employer Integration will, for the first time, require this platform to operate live external-partner data contracts and SLAs — a genuinely new organizational capability, not just a technical one, and the roadmap (Section 13.2) should not underestimate the non-technical lift involved.</w:t>
      </w:r>
    </w:p>
    <w:p>
      <w:pPr>
        <w:pStyle w:val="Heading2"/>
        <w:spacing w:after="140" w:before="280"/>
      </w:pPr>
      <w:r>
        <w:t xml:space="preserve">16.4 Organizational Risks</w:t>
      </w:r>
    </w:p>
    <w:p>
      <w:pPr>
        <w:pStyle w:val="ListParagraph"/>
        <w:numPr>
          <w:ilvl w:val="0"/>
          <w:numId w:val="1"/>
        </w:numPr>
        <w:spacing w:after="80" w:line="276"/>
      </w:pPr>
      <w:r>
        <w:t xml:space="preserve">Every current-state ownership entry in Section 12 concentrates in a small team. EEP-01 Phase H names this directly. Key-person concentration is a material organizational risk until target-state ownership separation triggers fire.</w:t>
      </w:r>
    </w:p>
    <w:p>
      <w:pPr>
        <w:pStyle w:val="Heading2"/>
        <w:spacing w:after="140" w:before="280"/>
      </w:pPr>
      <w:r>
        <w:t xml:space="preserve">16.5 Technology Dependency Risks</w:t>
      </w:r>
    </w:p>
    <w:p>
      <w:pPr>
        <w:pStyle w:val="ListParagraph"/>
        <w:numPr>
          <w:ilvl w:val="0"/>
          <w:numId w:val="1"/>
        </w:numPr>
        <w:spacing w:after="80" w:line="276"/>
      </w:pPr>
      <w:r>
        <w:t xml:space="preserve">AI Career Advisory &amp; Agentic Orchestration, the platform's most mature AI capability, is fully dependent on external LLM providers; the five-provider fallback (Phase F) mitigates single-vendor outage risk but does not remove systemic exposure to external AI-provider pricing, policy, or availability changes.</w:t>
      </w:r>
    </w:p>
    <w:p>
      <w:pPr>
        <w:pStyle w:val="ListParagraph"/>
        <w:numPr>
          <w:ilvl w:val="0"/>
          <w:numId w:val="1"/>
        </w:numPr>
        <w:spacing w:after="80" w:line="276"/>
      </w:pPr>
      <w:r>
        <w:t xml:space="preserve">This review surfaced a security-hygiene item adjacent to Platform Configuration &amp; Secrets Stewardship (Section 7.11): API keys and credential-bearing files were found stored as plaintext files directly in the repository during the course of this investigation, rather than in a managed secrets store. This is a governance and security finding, not a business-capability-architecture recommendation as such, and is flagged here for the reader's direct attention and immediate remediation outside this document's scope.</w:t>
      </w:r>
    </w:p>
    <w:p>
      <w:pPr>
        <w:pStyle w:val="Heading2"/>
        <w:spacing w:after="140" w:before="280"/>
      </w:pPr>
      <w:r>
        <w:t xml:space="preserve">16.6 Mitigation Strategies</w:t>
      </w:r>
    </w:p>
    <w:p>
      <w:pPr>
        <w:pStyle w:val="ListParagraph"/>
        <w:numPr>
          <w:ilvl w:val="0"/>
          <w:numId w:val="1"/>
        </w:numPr>
        <w:spacing w:after="80" w:line="276"/>
      </w:pPr>
      <w:r>
        <w:t xml:space="preserve">Make data provenance visible in-product (Section 13.1) as an immediate, low-cost mitigation for the business-risk items above.</w:t>
      </w:r>
    </w:p>
    <w:p>
      <w:pPr>
        <w:pStyle w:val="ListParagraph"/>
        <w:numPr>
          <w:ilvl w:val="0"/>
          <w:numId w:val="1"/>
        </w:numPr>
        <w:spacing w:after="80" w:line="276"/>
      </w:pPr>
      <w:r>
        <w:t xml:space="preserve">Treat the chiV2 migration as a named, owned short-term item (Section 13.1) rather than an implicit background task, to close the capability-risk window.</w:t>
      </w:r>
    </w:p>
    <w:p>
      <w:pPr>
        <w:pStyle w:val="ListParagraph"/>
        <w:numPr>
          <w:ilvl w:val="0"/>
          <w:numId w:val="1"/>
        </w:numPr>
        <w:spacing w:after="80" w:line="276"/>
      </w:pPr>
      <w:r>
        <w:t xml:space="preserve">Prioritize the first Employer Integration partner conversation early in the medium-term roadmap precisely because of its outsized effect on de-risking three dependent capabilities simultaneously.</w:t>
      </w:r>
    </w:p>
    <w:p>
      <w:pPr>
        <w:pStyle w:val="ListParagraph"/>
        <w:numPr>
          <w:ilvl w:val="0"/>
          <w:numId w:val="1"/>
        </w:numPr>
        <w:spacing w:after="80" w:line="276"/>
      </w:pPr>
      <w:r>
        <w:t xml:space="preserve">Rotate and relocate any credential material found stored in plaintext to a proper secrets manager immediately, independent of this document's roadmap timing.</w:t>
      </w:r>
    </w:p>
    <w:p>
      <w:r>
        <w:br w:type="page"/>
      </w:r>
    </w:p>
    <w:p>
      <w:pPr>
        <w:pStyle w:val="Heading1"/>
        <w:spacing w:after="200" w:before="400"/>
      </w:pPr>
      <w:r>
        <w:t xml:space="preserve">17. Success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B57" w:val="clear"/>
            <w:tcMar>
              <w:top w:type="dxa" w:w="80"/>
              <w:left w:type="dxa" w:w="100"/>
              <w:bottom w:type="dxa" w:w="80"/>
              <w:right w:type="dxa" w:w="100"/>
            </w:tcMar>
            <w:vAlign w:val="center"/>
          </w:tcPr>
          <w:p>
            <w:r>
              <w:rPr>
                <w:b/>
                <w:bCs/>
                <w:color w:val="FFFFFF"/>
                <w:sz w:val="19"/>
                <w:szCs w:val="19"/>
              </w:rPr>
              <w:t xml:space="preserve">Metric domain</w:t>
            </w:r>
          </w:p>
        </w:tc>
        <w:tc>
          <w:tcPr>
            <w:tcW w:type="dxa" w:w="6950"/>
            <w:shd w:fill="1F3B57" w:val="clear"/>
            <w:tcMar>
              <w:top w:type="dxa" w:w="80"/>
              <w:left w:type="dxa" w:w="100"/>
              <w:bottom w:type="dxa" w:w="80"/>
              <w:right w:type="dxa" w:w="100"/>
            </w:tcMar>
            <w:vAlign w:val="center"/>
          </w:tcPr>
          <w:p>
            <w:r>
              <w:rPr>
                <w:b/>
                <w:bCs/>
                <w:color w:val="FFFFFF"/>
                <w:sz w:val="19"/>
                <w:szCs w:val="19"/>
              </w:rPr>
              <w:t xml:space="preserve">Example KPIs</w:t>
            </w:r>
          </w:p>
        </w:tc>
      </w:tr>
      <w:tr>
        <w:tc>
          <w:tcPr>
            <w:tcW w:type="dxa" w:w="2400"/>
            <w:tcMar>
              <w:top w:type="dxa" w:w="80"/>
              <w:left w:type="dxa" w:w="100"/>
              <w:bottom w:type="dxa" w:w="80"/>
              <w:right w:type="dxa" w:w="100"/>
            </w:tcMar>
            <w:vAlign w:val="center"/>
          </w:tcPr>
          <w:p>
            <w:r>
              <w:rPr>
                <w:b w:val="false"/>
                <w:bCs w:val="false"/>
                <w:sz w:val="19"/>
                <w:szCs w:val="19"/>
              </w:rPr>
              <w:t xml:space="preserve">Capability adoption</w:t>
            </w:r>
          </w:p>
        </w:tc>
        <w:tc>
          <w:tcPr>
            <w:tcW w:type="dxa" w:w="6950"/>
            <w:tcMar>
              <w:top w:type="dxa" w:w="80"/>
              <w:left w:type="dxa" w:w="100"/>
              <w:bottom w:type="dxa" w:w="80"/>
              <w:right w:type="dxa" w:w="100"/>
            </w:tcMar>
            <w:vAlign w:val="center"/>
          </w:tcPr>
          <w:p>
            <w:r>
              <w:rPr>
                <w:b w:val="false"/>
                <w:bCs w:val="false"/>
                <w:sz w:val="19"/>
                <w:szCs w:val="19"/>
              </w:rPr>
              <w:t xml:space="preserve">Active students per capability (e.g. % of onboarded students who reach a Career Path recommendation; % who engage AI Career Advisory).</w:t>
            </w:r>
          </w:p>
        </w:tc>
      </w:tr>
      <w:tr>
        <w:tc>
          <w:tcPr>
            <w:tcW w:type="dxa" w:w="2400"/>
            <w:shd w:fill="EDF2F4" w:val="clear"/>
            <w:tcMar>
              <w:top w:type="dxa" w:w="80"/>
              <w:left w:type="dxa" w:w="100"/>
              <w:bottom w:type="dxa" w:w="80"/>
              <w:right w:type="dxa" w:w="100"/>
            </w:tcMar>
            <w:vAlign w:val="center"/>
          </w:tcPr>
          <w:p>
            <w:r>
              <w:rPr>
                <w:b w:val="false"/>
                <w:bCs w:val="false"/>
                <w:sz w:val="19"/>
                <w:szCs w:val="19"/>
              </w:rPr>
              <w:t xml:space="preserve">Student outcomes</w:t>
            </w:r>
          </w:p>
        </w:tc>
        <w:tc>
          <w:tcPr>
            <w:tcW w:type="dxa" w:w="6950"/>
            <w:shd w:fill="EDF2F4" w:val="clear"/>
            <w:tcMar>
              <w:top w:type="dxa" w:w="80"/>
              <w:left w:type="dxa" w:w="100"/>
              <w:bottom w:type="dxa" w:w="80"/>
              <w:right w:type="dxa" w:w="100"/>
            </w:tcMar>
            <w:vAlign w:val="center"/>
          </w:tcPr>
          <w:p>
            <w:r>
              <w:rPr>
                <w:b w:val="false"/>
                <w:bCs w:val="false"/>
                <w:sz w:val="19"/>
                <w:szCs w:val="19"/>
              </w:rPr>
              <w:t xml:space="preserve">Recommendation-to-application conversion; document-generation-to-application conversion; longitudinal Career Health score trend.</w:t>
            </w:r>
          </w:p>
        </w:tc>
      </w:tr>
      <w:tr>
        <w:tc>
          <w:tcPr>
            <w:tcW w:type="dxa" w:w="2400"/>
            <w:tcMar>
              <w:top w:type="dxa" w:w="80"/>
              <w:left w:type="dxa" w:w="100"/>
              <w:bottom w:type="dxa" w:w="80"/>
              <w:right w:type="dxa" w:w="100"/>
            </w:tcMar>
            <w:vAlign w:val="center"/>
          </w:tcPr>
          <w:p>
            <w:r>
              <w:rPr>
                <w:b w:val="false"/>
                <w:bCs w:val="false"/>
                <w:sz w:val="19"/>
                <w:szCs w:val="19"/>
              </w:rPr>
              <w:t xml:space="preserve">Career recommendation quality</w:t>
            </w:r>
          </w:p>
        </w:tc>
        <w:tc>
          <w:tcPr>
            <w:tcW w:type="dxa" w:w="6950"/>
            <w:tcMar>
              <w:top w:type="dxa" w:w="80"/>
              <w:left w:type="dxa" w:w="100"/>
              <w:bottom w:type="dxa" w:w="80"/>
              <w:right w:type="dxa" w:w="100"/>
            </w:tcMar>
            <w:vAlign w:val="center"/>
          </w:tcPr>
          <w:p>
            <w:r>
              <w:rPr>
                <w:b w:val="false"/>
                <w:bCs w:val="false"/>
                <w:sz w:val="19"/>
                <w:szCs w:val="19"/>
              </w:rPr>
              <w:t xml:space="preserve">Recommendation acceptance rate; explanation comprehension; post-recommendation engagement.</w:t>
            </w:r>
          </w:p>
        </w:tc>
      </w:tr>
      <w:tr>
        <w:tc>
          <w:tcPr>
            <w:tcW w:type="dxa" w:w="2400"/>
            <w:shd w:fill="EDF2F4" w:val="clear"/>
            <w:tcMar>
              <w:top w:type="dxa" w:w="80"/>
              <w:left w:type="dxa" w:w="100"/>
              <w:bottom w:type="dxa" w:w="80"/>
              <w:right w:type="dxa" w:w="100"/>
            </w:tcMar>
            <w:vAlign w:val="center"/>
          </w:tcPr>
          <w:p>
            <w:r>
              <w:rPr>
                <w:b w:val="false"/>
                <w:bCs w:val="false"/>
                <w:sz w:val="19"/>
                <w:szCs w:val="19"/>
              </w:rPr>
              <w:t xml:space="preserve">Knowledge coverage</w:t>
            </w:r>
          </w:p>
        </w:tc>
        <w:tc>
          <w:tcPr>
            <w:tcW w:type="dxa" w:w="6950"/>
            <w:shd w:fill="EDF2F4" w:val="clear"/>
            <w:tcMar>
              <w:top w:type="dxa" w:w="80"/>
              <w:left w:type="dxa" w:w="100"/>
              <w:bottom w:type="dxa" w:w="80"/>
              <w:right w:type="dxa" w:w="100"/>
            </w:tcMar>
            <w:vAlign w:val="center"/>
          </w:tcPr>
          <w:p>
            <w:r>
              <w:rPr>
                <w:b w:val="false"/>
                <w:bCs w:val="false"/>
                <w:sz w:val="19"/>
                <w:szCs w:val="19"/>
              </w:rPr>
              <w:t xml:space="preserve">Taxonomy coverage vs. real-world job postings; skill-demand freshness once live-sourced.</w:t>
            </w:r>
          </w:p>
        </w:tc>
      </w:tr>
      <w:tr>
        <w:tc>
          <w:tcPr>
            <w:tcW w:type="dxa" w:w="2400"/>
            <w:tcMar>
              <w:top w:type="dxa" w:w="80"/>
              <w:left w:type="dxa" w:w="100"/>
              <w:bottom w:type="dxa" w:w="80"/>
              <w:right w:type="dxa" w:w="100"/>
            </w:tcMar>
            <w:vAlign w:val="center"/>
          </w:tcPr>
          <w:p>
            <w:r>
              <w:rPr>
                <w:b w:val="false"/>
                <w:bCs w:val="false"/>
                <w:sz w:val="19"/>
                <w:szCs w:val="19"/>
              </w:rPr>
              <w:t xml:space="preserve">Platform utilization</w:t>
            </w:r>
          </w:p>
        </w:tc>
        <w:tc>
          <w:tcPr>
            <w:tcW w:type="dxa" w:w="6950"/>
            <w:tcMar>
              <w:top w:type="dxa" w:w="80"/>
              <w:left w:type="dxa" w:w="100"/>
              <w:bottom w:type="dxa" w:w="80"/>
              <w:right w:type="dxa" w:w="100"/>
            </w:tcMar>
            <w:vAlign w:val="center"/>
          </w:tcPr>
          <w:p>
            <w:r>
              <w:rPr>
                <w:b w:val="false"/>
                <w:bCs w:val="false"/>
                <w:sz w:val="19"/>
                <w:szCs w:val="19"/>
              </w:rPr>
              <w:t xml:space="preserve">Daily/weekly active students; session depth across capabilities; Daily Engagement &amp; Conversion rate.</w:t>
            </w:r>
          </w:p>
        </w:tc>
      </w:tr>
      <w:tr>
        <w:tc>
          <w:tcPr>
            <w:tcW w:type="dxa" w:w="2400"/>
            <w:shd w:fill="EDF2F4" w:val="clear"/>
            <w:tcMar>
              <w:top w:type="dxa" w:w="80"/>
              <w:left w:type="dxa" w:w="100"/>
              <w:bottom w:type="dxa" w:w="80"/>
              <w:right w:type="dxa" w:w="100"/>
            </w:tcMar>
            <w:vAlign w:val="center"/>
          </w:tcPr>
          <w:p>
            <w:r>
              <w:rPr>
                <w:b w:val="false"/>
                <w:bCs w:val="false"/>
                <w:sz w:val="19"/>
                <w:szCs w:val="19"/>
              </w:rPr>
              <w:t xml:space="preserve">AI effectiveness</w:t>
            </w:r>
          </w:p>
        </w:tc>
        <w:tc>
          <w:tcPr>
            <w:tcW w:type="dxa" w:w="6950"/>
            <w:shd w:fill="EDF2F4" w:val="clear"/>
            <w:tcMar>
              <w:top w:type="dxa" w:w="80"/>
              <w:left w:type="dxa" w:w="100"/>
              <w:bottom w:type="dxa" w:w="80"/>
              <w:right w:type="dxa" w:w="100"/>
            </w:tcMar>
            <w:vAlign w:val="center"/>
          </w:tcPr>
          <w:p>
            <w:r>
              <w:rPr>
                <w:b w:val="false"/>
                <w:bCs w:val="false"/>
                <w:sz w:val="19"/>
                <w:szCs w:val="19"/>
              </w:rPr>
              <w:t xml:space="preserve">Agent task success rate; provider fallback frequency; AI Quality &amp; Confidence Governance flag rate.</w:t>
            </w:r>
          </w:p>
        </w:tc>
      </w:tr>
      <w:tr>
        <w:tc>
          <w:tcPr>
            <w:tcW w:type="dxa" w:w="2400"/>
            <w:tcMar>
              <w:top w:type="dxa" w:w="80"/>
              <w:left w:type="dxa" w:w="100"/>
              <w:bottom w:type="dxa" w:w="80"/>
              <w:right w:type="dxa" w:w="100"/>
            </w:tcMar>
            <w:vAlign w:val="center"/>
          </w:tcPr>
          <w:p>
            <w:r>
              <w:rPr>
                <w:b w:val="false"/>
                <w:bCs w:val="false"/>
                <w:sz w:val="19"/>
                <w:szCs w:val="19"/>
              </w:rPr>
              <w:t xml:space="preserve">Business agility</w:t>
            </w:r>
          </w:p>
        </w:tc>
        <w:tc>
          <w:tcPr>
            <w:tcW w:type="dxa" w:w="6950"/>
            <w:tcMar>
              <w:top w:type="dxa" w:w="80"/>
              <w:left w:type="dxa" w:w="100"/>
              <w:bottom w:type="dxa" w:w="80"/>
              <w:right w:type="dxa" w:w="100"/>
            </w:tcMar>
            <w:vAlign w:val="center"/>
          </w:tcPr>
          <w:p>
            <w:r>
              <w:rPr>
                <w:b w:val="false"/>
                <w:bCs w:val="false"/>
                <w:sz w:val="19"/>
                <w:szCs w:val="19"/>
              </w:rPr>
              <w:t xml:space="preserve">Time from Employer Integration partner signature to live data flowing into Career Opportunity Radar; time to close each Section 16 risk item.</w:t>
            </w:r>
          </w:p>
        </w:tc>
      </w:tr>
    </w:tbl>
    <w:p>
      <w:r>
        <w:br w:type="page"/>
      </w:r>
    </w:p>
    <w:p>
      <w:pPr>
        <w:pStyle w:val="Heading1"/>
        <w:spacing w:after="200" w:before="400"/>
      </w:pPr>
      <w:r>
        <w:t xml:space="preserve">18. Recommendations</w:t>
      </w:r>
    </w:p>
    <w:p>
      <w:pPr>
        <w:pStyle w:val="Heading2"/>
        <w:spacing w:after="140" w:before="280"/>
      </w:pPr>
      <w:r>
        <w:t xml:space="preserve">18.1 Immediate Priorities</w:t>
      </w:r>
    </w:p>
    <w:p>
      <w:pPr>
        <w:pStyle w:val="ListParagraph"/>
        <w:numPr>
          <w:ilvl w:val="0"/>
          <w:numId w:val="1"/>
        </w:numPr>
        <w:spacing w:after="80" w:line="276"/>
      </w:pPr>
      <w:r>
        <w:t xml:space="preserve">Remediate the plaintext credential storage finding (Section 16.5) immediately — this is outside the scope of a business capability architecture but too material to omit from a document meant for executive review.</w:t>
      </w:r>
    </w:p>
    <w:p>
      <w:pPr>
        <w:pStyle w:val="ListParagraph"/>
        <w:numPr>
          <w:ilvl w:val="0"/>
          <w:numId w:val="1"/>
        </w:numPr>
        <w:spacing w:after="80" w:line="276"/>
      </w:pPr>
      <w:r>
        <w:t xml:space="preserve">Make mock-data provenance visible wherever Career Opportunity Radar or Labor Market &amp; Salary Intelligence output reaches a student.</w:t>
      </w:r>
    </w:p>
    <w:p>
      <w:pPr>
        <w:pStyle w:val="ListParagraph"/>
        <w:numPr>
          <w:ilvl w:val="0"/>
          <w:numId w:val="1"/>
        </w:numPr>
        <w:spacing w:after="80" w:line="276"/>
      </w:pPr>
      <w:r>
        <w:t xml:space="preserve">Close the four EEP-01 Phase J governance-drift items — low-effort, already diagnosed.</w:t>
      </w:r>
    </w:p>
    <w:p>
      <w:pPr>
        <w:pStyle w:val="Heading2"/>
        <w:spacing w:after="140" w:before="280"/>
      </w:pPr>
      <w:r>
        <w:t xml:space="preserve">18.2 Near-Term Investments</w:t>
      </w:r>
    </w:p>
    <w:p>
      <w:pPr>
        <w:pStyle w:val="ListParagraph"/>
        <w:numPr>
          <w:ilvl w:val="0"/>
          <w:numId w:val="1"/>
        </w:numPr>
        <w:spacing w:after="80" w:line="276"/>
      </w:pPr>
      <w:r>
        <w:t xml:space="preserve">Pursue the first Employer Integration partner conversation — the single highest-leverage unlock in this architecture, activating three dependent capabilities at once.</w:t>
      </w:r>
    </w:p>
    <w:p>
      <w:pPr>
        <w:pStyle w:val="ListParagraph"/>
        <w:numPr>
          <w:ilvl w:val="0"/>
          <w:numId w:val="1"/>
        </w:numPr>
        <w:spacing w:after="80" w:line="276"/>
      </w:pPr>
      <w:r>
        <w:t xml:space="preserve">Define and execute the chiV2 cutover plan for Career Health Assessment.</w:t>
      </w:r>
    </w:p>
    <w:p>
      <w:pPr>
        <w:pStyle w:val="ListParagraph"/>
        <w:numPr>
          <w:ilvl w:val="0"/>
          <w:numId w:val="1"/>
        </w:numPr>
        <w:spacing w:after="80" w:line="276"/>
      </w:pPr>
      <w:r>
        <w:t xml:space="preserve">Instrument outcome-linked KPIs (Section 17) for the currently under-measured Emerging-tier capabilities (Growth &amp; Progress Tracking, Daily Engagement &amp; Conversion, AI Personalization &amp; Adaptive Weighting).</w:t>
      </w:r>
    </w:p>
    <w:p>
      <w:pPr>
        <w:pStyle w:val="Heading2"/>
        <w:spacing w:after="140" w:before="280"/>
      </w:pPr>
      <w:r>
        <w:t xml:space="preserve">18.3 Medium-Term Improvements</w:t>
      </w:r>
    </w:p>
    <w:p>
      <w:pPr>
        <w:pStyle w:val="ListParagraph"/>
        <w:numPr>
          <w:ilvl w:val="0"/>
          <w:numId w:val="1"/>
        </w:numPr>
        <w:spacing w:after="80" w:line="276"/>
      </w:pPr>
      <w:r>
        <w:t xml:space="preserve">Populate the Career Digital Twin simulation engine once Academic Profile data supports a meaningful multi-year cohort.</w:t>
      </w:r>
    </w:p>
    <w:p>
      <w:pPr>
        <w:pStyle w:val="ListParagraph"/>
        <w:numPr>
          <w:ilvl w:val="0"/>
          <w:numId w:val="1"/>
        </w:numPr>
        <w:spacing w:after="80" w:line="276"/>
      </w:pPr>
      <w:r>
        <w:t xml:space="preserve">Introduce a formal Supervisor/handoff pattern within AI Career Advisory as agent count and task complexity grow.</w:t>
      </w:r>
    </w:p>
    <w:p>
      <w:pPr>
        <w:pStyle w:val="Heading2"/>
        <w:spacing w:after="140" w:before="280"/>
      </w:pPr>
      <w:r>
        <w:t xml:space="preserve">18.4 Long-Term Strategic Capabilities</w:t>
      </w:r>
    </w:p>
    <w:p>
      <w:pPr>
        <w:pStyle w:val="ListParagraph"/>
        <w:numPr>
          <w:ilvl w:val="0"/>
          <w:numId w:val="1"/>
        </w:numPr>
        <w:spacing w:after="80" w:line="276"/>
      </w:pPr>
      <w:r>
        <w:t xml:space="preserve">Build toward a two-sided marketplace capability once Employer Integration and Academic Intelligence both independently reach Level 4+.</w:t>
      </w:r>
    </w:p>
    <w:p>
      <w:pPr>
        <w:pStyle w:val="ListParagraph"/>
        <w:numPr>
          <w:ilvl w:val="0"/>
          <w:numId w:val="1"/>
        </w:numPr>
        <w:spacing w:after="80" w:line="276"/>
      </w:pPr>
      <w:r>
        <w:t xml:space="preserve">Separate Operations/Platform ownership from product engineering once EEP-01 Phase H's headcount trigger fires — not before, to avoid premature organizational overhead.</w:t>
      </w:r>
    </w:p>
    <w:p>
      <w:pPr>
        <w:pStyle w:val="ListParagraph"/>
        <w:numPr>
          <w:ilvl w:val="0"/>
          <w:numId w:val="1"/>
        </w:numPr>
        <w:spacing w:after="80" w:line="276"/>
      </w:pPr>
      <w:r>
        <w:t xml:space="preserve">Revisit this Business Capability Architecture at the next major EEP-02 phase boundary, or when three or more capabilities cross a maturity level, whichever comes first — this document is canonical as of its version date, not permanently static.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7B" w:sz="6"/>
      </w:pBdr>
      <w:spacing w:after="180" w:before="360"/>
      <w:outlineLvl w:val="0"/>
    </w:pPr>
    <w:rPr>
      <w:rFonts w:ascii="Calibri" w:cs="Calibri" w:eastAsia="Calibri" w:hAnsi="Calibri"/>
      <w:b/>
      <w:bCs/>
      <w:color w:val="1F3B57"/>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0E7C7B"/>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1F3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2026-07-08T06:50:00.855Z</dcterms:created>
  <dcterms:modified xsi:type="dcterms:W3CDTF">2026-07-08T06:50:00.856Z</dcterms:modified>
</cp:coreProperties>
</file>

<file path=docProps/custom.xml><?xml version="1.0" encoding="utf-8"?>
<Properties xmlns="http://schemas.openxmlformats.org/officeDocument/2006/custom-properties" xmlns:vt="http://schemas.openxmlformats.org/officeDocument/2006/docPropsVTypes"/>
</file>