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300"/>
        <w:jc w:val="center"/>
      </w:pPr>
      <w:r>
        <w:rPr>
          <w:b/>
          <w:bCs/>
          <w:color w:val="1F3864"/>
          <w:sz w:val="44"/>
          <w:szCs w:val="44"/>
        </w:rPr>
        <w:t xml:space="preserve">HireRise Career Intelligence Platform</w:t>
      </w:r>
    </w:p>
    <w:p>
      <w:pPr>
        <w:spacing w:after="300"/>
        <w:jc w:val="center"/>
      </w:pPr>
      <w:r>
        <w:rPr>
          <w:b/>
          <w:bCs/>
          <w:color w:val="0F6E6E"/>
          <w:sz w:val="34"/>
          <w:szCs w:val="34"/>
        </w:rPr>
        <w:t xml:space="preserve">Enterprise Business Domain Architecture</w:t>
      </w:r>
    </w:p>
    <w:p>
      <w:pPr>
        <w:spacing w:after="200"/>
        <w:jc w:val="center"/>
      </w:pPr>
      <w:r>
        <w:rPr>
          <w:color w:val="595959"/>
          <w:sz w:val="24"/>
          <w:szCs w:val="24"/>
        </w:rPr>
        <w:t xml:space="preserve">EEP-02 — Enterprise Engineering Program, Phase B</w:t>
      </w:r>
    </w:p>
    <w:p>
      <w:pPr>
        <w:spacing w:after="120"/>
        <w:jc w:val="center"/>
      </w:pPr>
      <w:r>
        <w:rPr>
          <w:i/>
          <w:iCs/>
          <w:sz w:val="22"/>
          <w:szCs w:val="22"/>
        </w:rPr>
        <w:t xml:space="preserve">Document status: Canonical — Phase B only, per program constraint</w:t>
      </w:r>
    </w:p>
    <w:p>
      <w:pPr>
        <w:spacing w:after="120"/>
        <w:jc w:val="center"/>
      </w:pPr>
      <w:r>
        <w:rPr>
          <w:sz w:val="22"/>
          <w:szCs w:val="22"/>
        </w:rPr>
        <w:t xml:space="preserve">Version 1.0 — July 2026</w:t>
      </w:r>
    </w:p>
    <w:p>
      <w:pPr>
        <w:spacing w:after="120"/>
        <w:jc w:val="center"/>
      </w:pPr>
      <w:r>
        <w:rPr>
          <w:i/>
          <w:iCs/>
          <w:sz w:val="20"/>
          <w:szCs w:val="20"/>
        </w:rPr>
        <w:t xml:space="preserve">Prepared as a combined Enterprise Business Architecture / Domain-Driven Design / Organizational Design deliverable</w:t>
      </w:r>
    </w:p>
    <w:p>
      <w:pPr>
        <w:spacing w:after="1200"/>
        <w:jc w:val="center"/>
      </w:pPr>
      <w:r>
        <w:rPr>
          <w:i/>
          <w:iCs/>
          <w:sz w:val="20"/>
          <w:szCs w:val="20"/>
        </w:rPr>
        <w:t xml:space="preserve">Built on, and traceable to, the completed EEP-01 Enterprise Technical Architecture (Phases A–J) and EEP-02 Phase A Enterprise Business Capability Architecture</w:t>
      </w:r>
    </w:p>
    <w:p>
      <w:pPr>
        <w:sectPr>
          <w:pgSz w:w="12240" w:h="15840" w:orient="portrait"/>
          <w:pgMar w:top="1440" w:right="1440" w:bottom="1440" w:left="1440" w:header="708" w:footer="708" w:gutter="0"/>
          <w:pgNumType/>
          <w:docGrid w:linePitch="360"/>
        </w:sectPr>
      </w:pPr>
    </w:p>
    <w:p>
      <w:pPr>
        <w:pStyle w:val="Heading1"/>
        <w:spacing w:after="200" w:before="48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80"/>
      </w:pPr>
      <w:r>
        <w:t xml:space="preserve">How to Read This Document</w:t>
      </w:r>
    </w:p>
    <w:p>
      <w:pPr>
        <w:spacing w:after="160"/>
        <w:jc w:val="both"/>
      </w:pPr>
      <w:r>
        <w:t xml:space="preserve">This document is </w:t>
      </w:r>
      <w:r>
        <w:rPr>
          <w:b/>
          <w:bCs/>
        </w:rPr>
        <w:t xml:space="preserve">EEP-02 Phase B — Enterprise Business Domain Architecture</w:t>
      </w:r>
      <w:r>
        <w:t xml:space="preserve">. It is built directly on two completed bodies of work: the ten-phase </w:t>
      </w:r>
      <w:r>
        <w:rPr>
          <w:b/>
          <w:bCs/>
        </w:rPr>
        <w:t xml:space="preserve">EEP-01 Enterprise Technical Architecture</w:t>
      </w:r>
      <w:r>
        <w:t xml:space="preserve">, and </w:t>
      </w:r>
      <w:r>
        <w:rPr>
          <w:b/>
          <w:bCs/>
        </w:rPr>
        <w:t xml:space="preserve">EEP-02 Phase A — Enterprise Business Capability Architecture</w:t>
      </w:r>
      <w:r>
        <w:t xml:space="preserve">, which is the canonical capability model for HireRise. This document does not redefine any EEP-01 technical decision and does not redefine, rename, or re-derive any Phase A capability. Its job is narrower and different: to organize the capabilities Phase A already catalogued into coherent, stable </w:t>
      </w:r>
      <w:r>
        <w:rPr>
          <w:b/>
          <w:bCs/>
        </w:rPr>
        <w:t xml:space="preserve">enterprise business domains</w:t>
      </w:r>
      <w:r>
        <w:t xml:space="preserve"> — naming domain boundaries, ownership, bounded contexts, and cross-domain collaboration in a way that survives the platform's next refactor, re-platforming, or reorganization.</w:t>
      </w:r>
    </w:p>
    <w:p>
      <w:pPr>
        <w:spacing w:after="160"/>
        <w:jc w:val="both"/>
      </w:pPr>
      <w:r>
        <w:t xml:space="preserve">Two conventions carry over unchanged from EEP-01 and Phase A, and apply throughout this document:</w:t>
      </w:r>
    </w:p>
    <w:p>
      <w:pPr>
        <w:pStyle w:val="ListParagraph"/>
        <w:numPr>
          <w:ilvl w:val="0"/>
          <w:numId w:val="2"/>
        </w:numPr>
        <w:spacing w:after="100"/>
      </w:pPr>
      <w:r>
        <w:rPr>
          <w:b/>
          <w:bCs/>
        </w:rPr>
        <w:t xml:space="preserve">CURRENT STATE</w:t>
      </w:r>
      <w:r>
        <w:t xml:space="preserve"> describes a domain, boundary, or maturity level that exists in the repository today, evidenced by named modules, services, or prior architecture decisions.</w:t>
      </w:r>
    </w:p>
    <w:p>
      <w:pPr>
        <w:pStyle w:val="ListParagraph"/>
        <w:numPr>
          <w:ilvl w:val="0"/>
          <w:numId w:val="2"/>
        </w:numPr>
        <w:spacing w:after="100"/>
      </w:pPr>
      <w:r>
        <w:rPr>
          <w:b/>
          <w:bCs/>
        </w:rPr>
        <w:t xml:space="preserve">TARGET STATE</w:t>
      </w:r>
      <w:r>
        <w:t xml:space="preserve"> describes a domain shape or maturity level HireRise does not yet have, expressed as a reference point to grow into — with an explicit, measurable adoption trigger, never an unconditional roadmap commitment.</w:t>
      </w:r>
    </w:p>
    <w:p>
      <w:pPr>
        <w:spacing w:after="160"/>
        <w:jc w:val="both"/>
      </w:pPr>
      <w:r>
        <w:t xml:space="preserve">A methodological note, carried forward from EEP-01 Phase H and Phase I and restated in Phase A Section 1.3: the engineering evidence throughout this repository — one integrated codebase, one CI pipeline, a small number of contributors, no separated business functions — indicates a small, high-leverage team rather than a large multi-division enterprise. This document does not manufacture large-organization domain bureaucracy, RACI complexity, or tactical DDD apparatus (aggregates, value objects, domain events catalogs) to look more "enterprise." Domains are drawn at the granularity the evidence supports, and DDD concepts are used only where they add clarity — per the program's own Business Domain Principles.</w:t>
      </w:r>
    </w:p>
    <w:p>
      <w:pPr>
        <w:spacing w:after="160"/>
        <w:jc w:val="both"/>
      </w:pPr>
      <w:r>
        <w:t xml:space="preserve">Where this document validates, splits, or declines to split a domain named in the program's Special Focus Areas list, the rationale is evidence-based and stated explicitly in Section 2 and Section 4, not asserted.</w:t>
      </w:r>
    </w:p>
    <w:p>
      <w:pPr>
        <w:pStyle w:val="Heading1"/>
        <w:pageBreakBefore/>
        <w:spacing w:after="200" w:before="480"/>
      </w:pPr>
      <w:r>
        <w:t xml:space="preserve">1. Executive Summary</w:t>
      </w:r>
    </w:p>
    <w:p>
      <w:pPr>
        <w:pStyle w:val="Heading2"/>
        <w:spacing w:after="200" w:before="320"/>
      </w:pPr>
      <w:r>
        <w:t xml:space="preserve">1.1 Business Domain Vision</w:t>
      </w:r>
    </w:p>
    <w:p>
      <w:pPr>
        <w:spacing w:after="160"/>
        <w:jc w:val="both"/>
      </w:pPr>
      <w:r>
        <w:t xml:space="preserve">HireRise's business capability model (EEP-02 Phase A) describes a platform that replaces one-off, guesswork career decisions with a continuously maintained, evidence-based career intelligence practice. This document's job is to give that capability model a stable organizational shape: a small set of named business domains, each with a clear reason to exist, a clear owner, a clear boundary, and clear rules for how it collaborates with its neighbors — independent of which module, service, or AI provider currently implements it.</w:t>
      </w:r>
    </w:p>
    <w:p>
      <w:pPr>
        <w:spacing w:after="160"/>
        <w:jc w:val="both"/>
      </w:pPr>
      <w:r>
        <w:t xml:space="preserve">The repository evidences eight coherent business domains today, matching the eight Level-0 capability groups already established in Phase A Section 5. This document does not invent a ninth domain or split an existing one merely to satisfy the program's Special Focus Areas list (Section 0 of the source prompt); each candidate name on that list is evaluated on its own evidentiary merits in Section 2.4 and Section 4.4, and several are found to be </w:t>
      </w:r>
      <w:r>
        <w:rPr>
          <w:b/>
          <w:bCs/>
        </w:rPr>
        <w:t xml:space="preserve">bounded contexts or capabilities inside an existing domain</w:t>
      </w:r>
      <w:r>
        <w:t xml:space="preserve">, not independent domains in their own right.</w:t>
      </w:r>
    </w:p>
    <w:p>
      <w:pPr>
        <w:pStyle w:val="Heading2"/>
        <w:spacing w:after="200" w:before="320"/>
      </w:pPr>
      <w:r>
        <w:t xml:space="preserve">1.2 Enterprise Domain Strategy</w:t>
      </w:r>
    </w:p>
    <w:p>
      <w:pPr>
        <w:pStyle w:val="ListParagraph"/>
        <w:numPr>
          <w:ilvl w:val="0"/>
          <w:numId w:val="2"/>
        </w:numPr>
        <w:spacing w:after="100"/>
      </w:pPr>
      <w:r>
        <w:t xml:space="preserve">Keep the domain map small and evidence-true rather than aspirationally granular — eight domains for a one-codebase, small-team platform, not the twenty-plus domains a template exercise might produce.</w:t>
      </w:r>
    </w:p>
    <w:p>
      <w:pPr>
        <w:pStyle w:val="ListParagraph"/>
        <w:numPr>
          <w:ilvl w:val="0"/>
          <w:numId w:val="2"/>
        </w:numPr>
        <w:spacing w:after="100"/>
      </w:pPr>
      <w:r>
        <w:t xml:space="preserve">Anchor every domain boundary in a business responsibility ("who is accountable for this outcome"), not in a source folder, service, or database — consistent with the Business Domain Principles in the source program brief.</w:t>
      </w:r>
    </w:p>
    <w:p>
      <w:pPr>
        <w:pStyle w:val="ListParagraph"/>
        <w:numPr>
          <w:ilvl w:val="0"/>
          <w:numId w:val="2"/>
        </w:numPr>
        <w:spacing w:after="100"/>
      </w:pPr>
      <w:r>
        <w:t xml:space="preserve">Make the platform's single largest domain gap — Employer Intelligence's pre-activation state — as visible at the domain level as Phase A already made it at the capability level, rather than letting domain-level framing understate it.</w:t>
      </w:r>
    </w:p>
    <w:p>
      <w:pPr>
        <w:pStyle w:val="ListParagraph"/>
        <w:numPr>
          <w:ilvl w:val="0"/>
          <w:numId w:val="2"/>
        </w:numPr>
        <w:spacing w:after="100"/>
      </w:pPr>
      <w:r>
        <w:t xml:space="preserve">Give every domain a named steward set (business, technical, knowledge, governance) even where, honestly, one small team holds several of those stewardships today (Section 9).</w:t>
      </w:r>
    </w:p>
    <w:p>
      <w:pPr>
        <w:pStyle w:val="Heading2"/>
        <w:spacing w:after="200" w:before="320"/>
      </w:pPr>
      <w:r>
        <w:t xml:space="preserve">1.3 Architecture Objectives</w:t>
      </w:r>
    </w:p>
    <w:p>
      <w:pPr>
        <w:pStyle w:val="ListParagraph"/>
        <w:numPr>
          <w:ilvl w:val="0"/>
          <w:numId w:val="2"/>
        </w:numPr>
        <w:spacing w:after="100"/>
      </w:pPr>
      <w:r>
        <w:t xml:space="preserve">Establish the canonical enterprise business domain map, decoupled from module and service names, that Product, Engineering, and any future business stakeholder can use without reading the codebase.</w:t>
      </w:r>
    </w:p>
    <w:p>
      <w:pPr>
        <w:pStyle w:val="ListParagraph"/>
        <w:numPr>
          <w:ilvl w:val="0"/>
          <w:numId w:val="2"/>
        </w:numPr>
        <w:spacing w:after="100"/>
      </w:pPr>
      <w:r>
        <w:t xml:space="preserve">Define domain boundaries and collaboration rules precisely enough that a new capability's home domain is obvious, and that cross-domain coupling is visible and governable rather than implicit.</w:t>
      </w:r>
    </w:p>
    <w:p>
      <w:pPr>
        <w:pStyle w:val="ListParagraph"/>
        <w:numPr>
          <w:ilvl w:val="0"/>
          <w:numId w:val="2"/>
        </w:numPr>
        <w:spacing w:after="100"/>
      </w:pPr>
      <w:r>
        <w:t xml:space="preserve">Identify bounded contexts only where the repository shows independently evidenced sub-parts, per the same proportionality discipline Phase A applied at the capability level.</w:t>
      </w:r>
    </w:p>
    <w:p>
      <w:pPr>
        <w:pStyle w:val="ListParagraph"/>
        <w:numPr>
          <w:ilvl w:val="0"/>
          <w:numId w:val="2"/>
        </w:numPr>
        <w:spacing w:after="100"/>
      </w:pPr>
      <w:r>
        <w:t xml:space="preserve">Provide a domain-level roadmap with measurable adoption triggers, never calendar-only commitments.</w:t>
      </w:r>
    </w:p>
    <w:p>
      <w:pPr>
        <w:pStyle w:val="Heading2"/>
        <w:spacing w:after="200" w:before="320"/>
      </w:pPr>
      <w:r>
        <w:t xml:space="preserve">1.4 Expected Business Outcomes</w:t>
      </w:r>
    </w:p>
    <w:p>
      <w:pPr>
        <w:pStyle w:val="ListParagraph"/>
        <w:numPr>
          <w:ilvl w:val="0"/>
          <w:numId w:val="2"/>
        </w:numPr>
        <w:spacing w:after="100"/>
      </w:pPr>
      <w:r>
        <w:t xml:space="preserve">Investment and hiring decisions can be made against a named domain and its maturity, rather than against an ad hoc feature or team request.</w:t>
      </w:r>
    </w:p>
    <w:p>
      <w:pPr>
        <w:pStyle w:val="ListParagraph"/>
        <w:numPr>
          <w:ilvl w:val="0"/>
          <w:numId w:val="2"/>
        </w:numPr>
        <w:spacing w:after="100"/>
      </w:pPr>
      <w:r>
        <w:t xml:space="preserve">A shared vocabulary for domain ownership conversations between Product, Engineering, and future partners (universities, employers, investors) that does not require reading the codebase.</w:t>
      </w:r>
    </w:p>
    <w:p>
      <w:pPr>
        <w:pStyle w:val="ListParagraph"/>
        <w:numPr>
          <w:ilvl w:val="0"/>
          <w:numId w:val="2"/>
        </w:numPr>
        <w:spacing w:after="100"/>
      </w:pPr>
      <w:r>
        <w:t xml:space="preserve">A single, consistent place that shows which domains are core to HireRise's strategy today, which are shared infrastructure, which are still pre-activation, and why — traceable line by line to Phase A capabilities and EEP-01 technical architecture.</w:t>
      </w:r>
    </w:p>
    <w:p>
      <w:pPr>
        <w:pStyle w:val="Heading1"/>
        <w:spacing w:after="200" w:before="480"/>
      </w:pPr>
      <w:r>
        <w:t xml:space="preserve">2. Current State Assessment</w:t>
      </w:r>
    </w:p>
    <w:p>
      <w:pPr>
        <w:spacing w:after="160"/>
        <w:jc w:val="both"/>
      </w:pPr>
      <w:r>
        <w:t xml:space="preserve">This assessment classifies the enterprise domain landscape as it exists in the repository today, distinguishes domains that are explicit versus implicit, identifies boundary problems and overlaps, and evaluates every domain name proposed in the program's Special Focus Areas list against repository evidence. Per-domain maturity detail is in Section 10; this section gives the headline current-state picture.</w:t>
      </w:r>
    </w:p>
    <w:p>
      <w:pPr>
        <w:pStyle w:val="Heading2"/>
        <w:spacing w:after="200" w:before="320"/>
      </w:pPr>
      <w:r>
        <w:t xml:space="preserve">2.1 Explicit Enterprise Domains (directly evidenced)</w:t>
      </w:r>
    </w:p>
    <w:p>
      <w:pPr>
        <w:spacing w:after="160"/>
        <w:jc w:val="both"/>
      </w:pPr>
      <w:r>
        <w:t xml:space="preserve">Eight domains are directly evidenced by the repository's module inventory (core/src/modules, front/src), the canonical taxonomy, EEP-01's own domain language, and the Phase A Level-0 capability groups. Each is named as a business responsibility, not a technical component, consistent with Section 3's boundary principles:</w:t>
      </w:r>
    </w:p>
    <w:p>
      <w:pPr>
        <w:pStyle w:val="ListParagraph"/>
        <w:numPr>
          <w:ilvl w:val="0"/>
          <w:numId w:val="2"/>
        </w:numPr>
        <w:spacing w:after="100"/>
      </w:pPr>
      <w:r>
        <w:t xml:space="preserve">Career Intelligence Domain — student-facing career reasoning, simulation, health scoring, and opportunity surfacing.</w:t>
      </w:r>
    </w:p>
    <w:p>
      <w:pPr>
        <w:pStyle w:val="ListParagraph"/>
        <w:numPr>
          <w:ilvl w:val="0"/>
          <w:numId w:val="2"/>
        </w:numPr>
        <w:spacing w:after="100"/>
      </w:pPr>
      <w:r>
        <w:t xml:space="preserve">Academic Intelligence Domain — the trustworthy academic and demographic profile every other domain reads from.</w:t>
      </w:r>
    </w:p>
    <w:p>
      <w:pPr>
        <w:pStyle w:val="ListParagraph"/>
        <w:numPr>
          <w:ilvl w:val="0"/>
          <w:numId w:val="2"/>
        </w:numPr>
        <w:spacing w:after="100"/>
      </w:pPr>
      <w:r>
        <w:t xml:space="preserve">Knowledge &amp; Market Intelligence Domain — the shared skill/role/market vocabulary and data every intelligence domain compares a student against.</w:t>
      </w:r>
    </w:p>
    <w:p>
      <w:pPr>
        <w:pStyle w:val="ListParagraph"/>
        <w:numPr>
          <w:ilvl w:val="0"/>
          <w:numId w:val="2"/>
        </w:numPr>
        <w:spacing w:after="100"/>
      </w:pPr>
      <w:r>
        <w:t xml:space="preserve">AI Intelligence Domain — the agentic advisory, personalization, and AI-output-governance capabilities that mediate the other domains for the student.</w:t>
      </w:r>
    </w:p>
    <w:p>
      <w:pPr>
        <w:pStyle w:val="ListParagraph"/>
        <w:numPr>
          <w:ilvl w:val="0"/>
          <w:numId w:val="2"/>
        </w:numPr>
        <w:spacing w:after="100"/>
      </w:pPr>
      <w:r>
        <w:t xml:space="preserve">Candidate Experience &amp; Growth Domain — the action layer that converts intelligence into resumes, applications, and return engagement.</w:t>
      </w:r>
    </w:p>
    <w:p>
      <w:pPr>
        <w:pStyle w:val="ListParagraph"/>
        <w:numPr>
          <w:ilvl w:val="0"/>
          <w:numId w:val="2"/>
        </w:numPr>
        <w:spacing w:after="100"/>
      </w:pPr>
      <w:r>
        <w:t xml:space="preserve">Employer Domain — the (currently pre-activation) two-sided-market connective tissue to real employers and job boards.</w:t>
      </w:r>
    </w:p>
    <w:p>
      <w:pPr>
        <w:pStyle w:val="ListParagraph"/>
        <w:numPr>
          <w:ilvl w:val="0"/>
          <w:numId w:val="2"/>
        </w:numPr>
        <w:spacing w:after="100"/>
      </w:pPr>
      <w:r>
        <w:t xml:space="preserve">Platform Shared Services Domain — identity, configuration/secrets, and cross-cutting behavioral analytics infrastructure every other domain depends on.</w:t>
      </w:r>
    </w:p>
    <w:p>
      <w:pPr>
        <w:pStyle w:val="ListParagraph"/>
        <w:numPr>
          <w:ilvl w:val="0"/>
          <w:numId w:val="2"/>
        </w:numPr>
        <w:spacing w:after="100"/>
      </w:pPr>
      <w:r>
        <w:t xml:space="preserve">Governance Domain — architectural conformance and intelligence-quality assurance that keeps every other domain honest over time.</w:t>
      </w:r>
    </w:p>
    <w:p>
      <w:pPr>
        <w:pStyle w:val="Heading2"/>
        <w:spacing w:after="200" w:before="320"/>
      </w:pPr>
      <w:r>
        <w:t xml:space="preserve">2.2 Implicit Domains (present in practice, not yet named as a domain)</w:t>
      </w:r>
    </w:p>
    <w:p>
      <w:pPr>
        <w:pStyle w:val="ListParagraph"/>
        <w:numPr>
          <w:ilvl w:val="0"/>
          <w:numId w:val="2"/>
        </w:numPr>
        <w:spacing w:after="100"/>
      </w:pPr>
      <w:r>
        <w:rPr>
          <w:b/>
          <w:bCs/>
        </w:rPr>
        <w:t xml:space="preserve">Student identity and lifecycle</w:t>
      </w:r>
      <w:r>
        <w:t xml:space="preserve"> is a pervasive implicit concern — onboarding, qualification capture, and the academic profile all treat "the student" as the subject — but the repository does not evidence a separately owned Student domain distinct from Academic Intelligence (see 2.4).</w:t>
      </w:r>
    </w:p>
    <w:p>
      <w:pPr>
        <w:pStyle w:val="ListParagraph"/>
        <w:numPr>
          <w:ilvl w:val="0"/>
          <w:numId w:val="2"/>
        </w:numPr>
        <w:spacing w:after="100"/>
      </w:pPr>
      <w:r>
        <w:rPr>
          <w:b/>
          <w:bCs/>
        </w:rPr>
        <w:t xml:space="preserve">Outcome measurement</w:t>
      </w:r>
      <w:r>
        <w:t xml:space="preserve"> (did a recommendation, a health score, or a generated resume actually lead to a positive career outcome) is referenced throughout Phase A's KPI language (score-to-outcome correlation, recommendation-to-application conversion) but has no dedicated owning module or service anywhere in the repository — it is an implicit, cross-domain measurement concern today, not an implemented domain.</w:t>
      </w:r>
    </w:p>
    <w:p>
      <w:pPr>
        <w:pStyle w:val="Heading2"/>
        <w:spacing w:after="200" w:before="320"/>
      </w:pPr>
      <w:r>
        <w:t xml:space="preserve">2.3 Missing Domains (evidenced gap, not present at any maturity)</w:t>
      </w:r>
    </w:p>
    <w:p>
      <w:pPr>
        <w:pStyle w:val="ListParagraph"/>
        <w:numPr>
          <w:ilvl w:val="0"/>
          <w:numId w:val="2"/>
        </w:numPr>
        <w:spacing w:after="100"/>
      </w:pPr>
      <w:r>
        <w:t xml:space="preserve">A live, non-mock </w:t>
      </w:r>
      <w:r>
        <w:rPr>
          <w:b/>
          <w:bCs/>
        </w:rPr>
        <w:t xml:space="preserve">Labor Market data domain</w:t>
      </w:r>
      <w:r>
        <w:t xml:space="preserve"> independent of Knowledge &amp; Market Intelligence does not exist; live market data is a target-state capability inside the existing Knowledge &amp; Market Intelligence Domain, not a domain gap in its own right.</w:t>
      </w:r>
    </w:p>
    <w:p>
      <w:pPr>
        <w:pStyle w:val="ListParagraph"/>
        <w:numPr>
          <w:ilvl w:val="0"/>
          <w:numId w:val="2"/>
        </w:numPr>
        <w:spacing w:after="100"/>
      </w:pPr>
      <w:r>
        <w:t xml:space="preserve">A dedicated </w:t>
      </w:r>
      <w:r>
        <w:rPr>
          <w:b/>
          <w:bCs/>
        </w:rPr>
        <w:t xml:space="preserve">Operations/Platform domain</w:t>
      </w:r>
      <w:r>
        <w:t xml:space="preserve">, separate from product engineering, is not evidenced — consistent with EEP-01 Phase H's headcount-based finding, carried forward unchanged into this document's ownership section (Section 9).</w:t>
      </w:r>
    </w:p>
    <w:p>
      <w:pPr>
        <w:pStyle w:val="Heading2"/>
        <w:spacing w:after="200" w:before="320"/>
      </w:pPr>
      <w:r>
        <w:t xml:space="preserve">2.4 Special Focus Area Validation</w:t>
      </w:r>
    </w:p>
    <w:p>
      <w:pPr>
        <w:spacing w:after="160"/>
        <w:jc w:val="both"/>
      </w:pPr>
      <w:r>
        <w:t xml:space="preserve">The program brief lists fourteen candidate domain names to validate against repository evidence. Each is addressed below. Domains not forced where evidence does not support them, per the brief's own instruction.</w:t>
      </w:r>
    </w:p>
    <w:tbl>
      <w:tblPr>
        <w:tblW w:type="dxa" w:w="1000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2900"/>
        <w:gridCol w:w="4500"/>
      </w:tblGrid>
      <w:tr>
        <w:trPr>
          <w:tblHeader/>
        </w:trPr>
        <w:tc>
          <w:tcPr>
            <w:tcW w:type="dxa" w:w="2600"/>
            <w:shd w:fill="1F3864" w:color="auto" w:val="clear"/>
            <w:tcMar>
              <w:top w:type="dxa" w:w="80"/>
              <w:left w:type="dxa" w:w="100"/>
              <w:bottom w:type="dxa" w:w="80"/>
              <w:right w:type="dxa" w:w="100"/>
            </w:tcMar>
            <w:vAlign w:val="center"/>
          </w:tcPr>
          <w:p>
            <w:pPr>
              <w:spacing w:after="40"/>
            </w:pPr>
            <w:r>
              <w:rPr>
                <w:b/>
                <w:bCs/>
                <w:color w:val="FFFFFF"/>
                <w:sz w:val="19"/>
                <w:szCs w:val="19"/>
              </w:rPr>
              <w:t xml:space="preserve"/>
            </w:r>
          </w:p>
        </w:tc>
        <w:tc>
          <w:tcPr>
            <w:tcW w:type="dxa" w:w="2900"/>
            <w:shd w:fill="1F3864" w:color="auto" w:val="clear"/>
            <w:tcMar>
              <w:top w:type="dxa" w:w="80"/>
              <w:left w:type="dxa" w:w="100"/>
              <w:bottom w:type="dxa" w:w="80"/>
              <w:right w:type="dxa" w:w="100"/>
            </w:tcMar>
            <w:vAlign w:val="center"/>
          </w:tcPr>
          <w:p>
            <w:pPr>
              <w:spacing w:after="40"/>
            </w:pPr>
            <w:r>
              <w:rPr>
                <w:b/>
                <w:bCs/>
                <w:color w:val="FFFFFF"/>
                <w:sz w:val="19"/>
                <w:szCs w:val="19"/>
              </w:rPr>
              <w:t xml:space="preserve"/>
            </w:r>
          </w:p>
        </w:tc>
        <w:tc>
          <w:tcPr>
            <w:tcW w:type="dxa" w:w="4500"/>
            <w:shd w:fill="1F3864" w:color="auto" w:val="clear"/>
            <w:tcMar>
              <w:top w:type="dxa" w:w="80"/>
              <w:left w:type="dxa" w:w="100"/>
              <w:bottom w:type="dxa" w:w="80"/>
              <w:right w:type="dxa" w:w="100"/>
            </w:tcMar>
            <w:vAlign w:val="center"/>
          </w:tcPr>
          <w:p>
            <w:pPr>
              <w:spacing w:after="40"/>
            </w:pPr>
            <w:r>
              <w:rPr>
                <w:b/>
                <w:bCs/>
                <w:color w:val="FFFFFF"/>
                <w:sz w:val="19"/>
                <w:szCs w:val="19"/>
              </w:rPr>
              <w:t xml:space="preserve"/>
            </w:r>
          </w:p>
        </w:tc>
      </w:tr>
      <w:tr>
        <w:trPr>
          <w:tblHeader w:val="false"/>
        </w:trPr>
        <w:tc>
          <w:tcPr>
            <w:tcW w:type="dxa" w:w="2600"/>
            <w:tcMar>
              <w:top w:type="dxa" w:w="80"/>
              <w:left w:type="dxa" w:w="100"/>
              <w:bottom w:type="dxa" w:w="80"/>
              <w:right w:type="dxa" w:w="100"/>
            </w:tcMar>
            <w:vAlign w:val="center"/>
          </w:tcPr>
          <w:p>
            <w:pPr>
              <w:spacing w:after="40"/>
            </w:pPr>
            <w:r>
              <w:t xml:space="preserve">Student Domain</w:t>
            </w:r>
          </w:p>
        </w:tc>
        <w:tc>
          <w:tcPr>
            <w:tcW w:type="dxa" w:w="2900"/>
            <w:tcMar>
              <w:top w:type="dxa" w:w="80"/>
              <w:left w:type="dxa" w:w="100"/>
              <w:bottom w:type="dxa" w:w="80"/>
              <w:right w:type="dxa" w:w="100"/>
            </w:tcMar>
            <w:vAlign w:val="center"/>
          </w:tcPr>
          <w:p>
            <w:pPr>
              <w:spacing w:after="40"/>
            </w:pPr>
            <w:r>
              <w:t xml:space="preserve">Not a standalone domain — folded into Academic Intelligence Domain</w:t>
            </w:r>
          </w:p>
        </w:tc>
        <w:tc>
          <w:tcPr>
            <w:tcW w:type="dxa" w:w="4500"/>
            <w:tcMar>
              <w:top w:type="dxa" w:w="80"/>
              <w:left w:type="dxa" w:w="100"/>
              <w:bottom w:type="dxa" w:w="80"/>
              <w:right w:type="dxa" w:w="100"/>
            </w:tcMar>
            <w:vAlign w:val="center"/>
          </w:tcPr>
          <w:p>
            <w:pPr>
              <w:spacing w:after="40"/>
            </w:pPr>
            <w:r>
              <w:t xml:space="preserve">Student Onboarding &amp; Qualification Capture (Phase A 7.11) has no independent ownership, data model, or lifecycle evidenced apart from the Academic Profile it feeds; it is a bounded context inside Academic Intelligence Domain (Section 8).</w:t>
            </w:r>
          </w:p>
        </w:tc>
      </w:tr>
      <w:tr>
        <w:trPr>
          <w:tblHeader w:val="false"/>
        </w:trPr>
        <w:tc>
          <w:tcPr>
            <w:tcW w:type="dxa" w:w="2600"/>
            <w:shd w:fill="E9EEF5" w:color="auto" w:val="clear"/>
            <w:tcMar>
              <w:top w:type="dxa" w:w="80"/>
              <w:left w:type="dxa" w:w="100"/>
              <w:bottom w:type="dxa" w:w="80"/>
              <w:right w:type="dxa" w:w="100"/>
            </w:tcMar>
            <w:vAlign w:val="center"/>
          </w:tcPr>
          <w:p>
            <w:pPr>
              <w:spacing w:after="40"/>
            </w:pPr>
            <w:r>
              <w:t xml:space="preserve">Academic Domain</w:t>
            </w:r>
          </w:p>
        </w:tc>
        <w:tc>
          <w:tcPr>
            <w:tcW w:type="dxa" w:w="2900"/>
            <w:shd w:fill="E9EEF5" w:color="auto" w:val="clear"/>
            <w:tcMar>
              <w:top w:type="dxa" w:w="80"/>
              <w:left w:type="dxa" w:w="100"/>
              <w:bottom w:type="dxa" w:w="80"/>
              <w:right w:type="dxa" w:w="100"/>
            </w:tcMar>
            <w:vAlign w:val="center"/>
          </w:tcPr>
          <w:p>
            <w:pPr>
              <w:spacing w:after="40"/>
            </w:pPr>
            <w:r>
              <w:t xml:space="preserve">Validated as Academic Intelligence Domain</w:t>
            </w:r>
          </w:p>
        </w:tc>
        <w:tc>
          <w:tcPr>
            <w:tcW w:type="dxa" w:w="4500"/>
            <w:shd w:fill="E9EEF5" w:color="auto" w:val="clear"/>
            <w:tcMar>
              <w:top w:type="dxa" w:w="80"/>
              <w:left w:type="dxa" w:w="100"/>
              <w:bottom w:type="dxa" w:w="80"/>
              <w:right w:type="dxa" w:w="100"/>
            </w:tcMar>
            <w:vAlign w:val="center"/>
          </w:tcPr>
          <w:p>
            <w:pPr>
              <w:spacing w:after="40"/>
            </w:pPr>
            <w:r>
              <w:t xml:space="preserve">Directly matches Phase A's Academic Intelligence capability group and the 26-table Canonical Student Academic Domain (EEP-01 Phase A).</w:t>
            </w:r>
          </w:p>
        </w:tc>
      </w:tr>
      <w:tr>
        <w:trPr>
          <w:tblHeader w:val="false"/>
        </w:trPr>
        <w:tc>
          <w:tcPr>
            <w:tcW w:type="dxa" w:w="2600"/>
            <w:tcMar>
              <w:top w:type="dxa" w:w="80"/>
              <w:left w:type="dxa" w:w="100"/>
              <w:bottom w:type="dxa" w:w="80"/>
              <w:right w:type="dxa" w:w="100"/>
            </w:tcMar>
            <w:vAlign w:val="center"/>
          </w:tcPr>
          <w:p>
            <w:pPr>
              <w:spacing w:after="40"/>
            </w:pPr>
            <w:r>
              <w:t xml:space="preserve">Career Intelligence Domain</w:t>
            </w:r>
          </w:p>
        </w:tc>
        <w:tc>
          <w:tcPr>
            <w:tcW w:type="dxa" w:w="2900"/>
            <w:tcMar>
              <w:top w:type="dxa" w:w="80"/>
              <w:left w:type="dxa" w:w="100"/>
              <w:bottom w:type="dxa" w:w="80"/>
              <w:right w:type="dxa" w:w="100"/>
            </w:tcMar>
            <w:vAlign w:val="center"/>
          </w:tcPr>
          <w:p>
            <w:pPr>
              <w:spacing w:after="40"/>
            </w:pPr>
            <w:r>
              <w:t xml:space="preserve">Validated, unchanged name</w:t>
            </w:r>
          </w:p>
        </w:tc>
        <w:tc>
          <w:tcPr>
            <w:tcW w:type="dxa" w:w="4500"/>
            <w:tcMar>
              <w:top w:type="dxa" w:w="80"/>
              <w:left w:type="dxa" w:w="100"/>
              <w:bottom w:type="dxa" w:w="80"/>
              <w:right w:type="dxa" w:w="100"/>
            </w:tcMar>
            <w:vAlign w:val="center"/>
          </w:tcPr>
          <w:p>
            <w:pPr>
              <w:spacing w:after="40"/>
            </w:pPr>
            <w:r>
              <w:t xml:space="preserve">Directly matches Phase A's highest-strategic-weight capability group.</w:t>
            </w:r>
          </w:p>
        </w:tc>
      </w:tr>
      <w:tr>
        <w:trPr>
          <w:tblHeader w:val="false"/>
        </w:trPr>
        <w:tc>
          <w:tcPr>
            <w:tcW w:type="dxa" w:w="2600"/>
            <w:shd w:fill="E9EEF5" w:color="auto" w:val="clear"/>
            <w:tcMar>
              <w:top w:type="dxa" w:w="80"/>
              <w:left w:type="dxa" w:w="100"/>
              <w:bottom w:type="dxa" w:w="80"/>
              <w:right w:type="dxa" w:w="100"/>
            </w:tcMar>
            <w:vAlign w:val="center"/>
          </w:tcPr>
          <w:p>
            <w:pPr>
              <w:spacing w:after="40"/>
            </w:pPr>
            <w:r>
              <w:t xml:space="preserve">Knowledge Intelligence Domain</w:t>
            </w:r>
          </w:p>
        </w:tc>
        <w:tc>
          <w:tcPr>
            <w:tcW w:type="dxa" w:w="2900"/>
            <w:shd w:fill="E9EEF5" w:color="auto" w:val="clear"/>
            <w:tcMar>
              <w:top w:type="dxa" w:w="80"/>
              <w:left w:type="dxa" w:w="100"/>
              <w:bottom w:type="dxa" w:w="80"/>
              <w:right w:type="dxa" w:w="100"/>
            </w:tcMar>
            <w:vAlign w:val="center"/>
          </w:tcPr>
          <w:p>
            <w:pPr>
              <w:spacing w:after="40"/>
            </w:pPr>
            <w:r>
              <w:t xml:space="preserve">Validated as Knowledge &amp; Market Intelligence Domain</w:t>
            </w:r>
          </w:p>
        </w:tc>
        <w:tc>
          <w:tcPr>
            <w:tcW w:type="dxa" w:w="4500"/>
            <w:shd w:fill="E9EEF5" w:color="auto" w:val="clear"/>
            <w:tcMar>
              <w:top w:type="dxa" w:w="80"/>
              <w:left w:type="dxa" w:w="100"/>
              <w:bottom w:type="dxa" w:w="80"/>
              <w:right w:type="dxa" w:w="100"/>
            </w:tcMar>
            <w:vAlign w:val="center"/>
          </w:tcPr>
          <w:p>
            <w:pPr>
              <w:spacing w:after="40"/>
            </w:pPr>
            <w:r>
              <w:t xml:space="preserve">Matches Phase A capability group; retaining "&amp; Market" in the name is evidence-preserving, since Labor Market &amp; Salary Intelligence is catalogued inside this same group, not a separate one.</w:t>
            </w:r>
          </w:p>
        </w:tc>
      </w:tr>
      <w:tr>
        <w:trPr>
          <w:tblHeader w:val="false"/>
        </w:trPr>
        <w:tc>
          <w:tcPr>
            <w:tcW w:type="dxa" w:w="2600"/>
            <w:tcMar>
              <w:top w:type="dxa" w:w="80"/>
              <w:left w:type="dxa" w:w="100"/>
              <w:bottom w:type="dxa" w:w="80"/>
              <w:right w:type="dxa" w:w="100"/>
            </w:tcMar>
            <w:vAlign w:val="center"/>
          </w:tcPr>
          <w:p>
            <w:pPr>
              <w:spacing w:after="40"/>
            </w:pPr>
            <w:r>
              <w:t xml:space="preserve">AI Intelligence Domain</w:t>
            </w:r>
          </w:p>
        </w:tc>
        <w:tc>
          <w:tcPr>
            <w:tcW w:type="dxa" w:w="2900"/>
            <w:tcMar>
              <w:top w:type="dxa" w:w="80"/>
              <w:left w:type="dxa" w:w="100"/>
              <w:bottom w:type="dxa" w:w="80"/>
              <w:right w:type="dxa" w:w="100"/>
            </w:tcMar>
            <w:vAlign w:val="center"/>
          </w:tcPr>
          <w:p>
            <w:pPr>
              <w:spacing w:after="40"/>
            </w:pPr>
            <w:r>
              <w:t xml:space="preserve">Validated as AI Intelligence Domain (renamed from Phase A's "AI-Native Capabilities")</w:t>
            </w:r>
          </w:p>
        </w:tc>
        <w:tc>
          <w:tcPr>
            <w:tcW w:type="dxa" w:w="4500"/>
            <w:tcMar>
              <w:top w:type="dxa" w:w="80"/>
              <w:left w:type="dxa" w:w="100"/>
              <w:bottom w:type="dxa" w:w="80"/>
              <w:right w:type="dxa" w:w="100"/>
            </w:tcMar>
            <w:vAlign w:val="center"/>
          </w:tcPr>
          <w:p>
            <w:pPr>
              <w:spacing w:after="40"/>
            </w:pPr>
            <w:r>
              <w:t xml:space="preserve">Same capability set (AI Career Advisory &amp; Agentic Orchestration, AI Personalization &amp; Adaptive Weighting, AI Quality &amp; Confidence Governance); the domain-level name in this document aligns to the program's naming convention.</w:t>
            </w:r>
          </w:p>
        </w:tc>
      </w:tr>
      <w:tr>
        <w:trPr>
          <w:tblHeader w:val="false"/>
        </w:trPr>
        <w:tc>
          <w:tcPr>
            <w:tcW w:type="dxa" w:w="2600"/>
            <w:shd w:fill="E9EEF5" w:color="auto" w:val="clear"/>
            <w:tcMar>
              <w:top w:type="dxa" w:w="80"/>
              <w:left w:type="dxa" w:w="100"/>
              <w:bottom w:type="dxa" w:w="80"/>
              <w:right w:type="dxa" w:w="100"/>
            </w:tcMar>
            <w:vAlign w:val="center"/>
          </w:tcPr>
          <w:p>
            <w:pPr>
              <w:spacing w:after="40"/>
            </w:pPr>
            <w:r>
              <w:t xml:space="preserve">Recommendation Domain</w:t>
            </w:r>
          </w:p>
        </w:tc>
        <w:tc>
          <w:tcPr>
            <w:tcW w:type="dxa" w:w="2900"/>
            <w:shd w:fill="E9EEF5" w:color="auto" w:val="clear"/>
            <w:tcMar>
              <w:top w:type="dxa" w:w="80"/>
              <w:left w:type="dxa" w:w="100"/>
              <w:bottom w:type="dxa" w:w="80"/>
              <w:right w:type="dxa" w:w="100"/>
            </w:tcMar>
            <w:vAlign w:val="center"/>
          </w:tcPr>
          <w:p>
            <w:pPr>
              <w:spacing w:after="40"/>
            </w:pPr>
            <w:r>
              <w:t xml:space="preserve">Not standalone — bounded context inside Career Intelligence Domain</w:t>
            </w:r>
          </w:p>
        </w:tc>
        <w:tc>
          <w:tcPr>
            <w:tcW w:type="dxa" w:w="4500"/>
            <w:shd w:fill="E9EEF5" w:color="auto" w:val="clear"/>
            <w:tcMar>
              <w:top w:type="dxa" w:w="80"/>
              <w:left w:type="dxa" w:w="100"/>
              <w:bottom w:type="dxa" w:w="80"/>
              <w:right w:type="dxa" w:w="100"/>
            </w:tcMar>
            <w:vAlign w:val="center"/>
          </w:tcPr>
          <w:p>
            <w:pPr>
              <w:spacing w:after="40"/>
            </w:pPr>
            <w:r>
              <w:t xml:space="preserve">Career Path Intelligence &amp; Recommendation has no independently evidenced ownership, data store, or team boundary separate from the rest of Career Intelligence; splitting it would fragment a tightly coupled capability set (Phase A Section 8.2 dependency table).</w:t>
            </w:r>
          </w:p>
        </w:tc>
      </w:tr>
      <w:tr>
        <w:trPr>
          <w:tblHeader w:val="false"/>
        </w:trPr>
        <w:tc>
          <w:tcPr>
            <w:tcW w:type="dxa" w:w="2600"/>
            <w:tcMar>
              <w:top w:type="dxa" w:w="80"/>
              <w:left w:type="dxa" w:w="100"/>
              <w:bottom w:type="dxa" w:w="80"/>
              <w:right w:type="dxa" w:w="100"/>
            </w:tcMar>
            <w:vAlign w:val="center"/>
          </w:tcPr>
          <w:p>
            <w:pPr>
              <w:spacing w:after="40"/>
            </w:pPr>
            <w:r>
              <w:t xml:space="preserve">Assessment Domain</w:t>
            </w:r>
          </w:p>
        </w:tc>
        <w:tc>
          <w:tcPr>
            <w:tcW w:type="dxa" w:w="2900"/>
            <w:tcMar>
              <w:top w:type="dxa" w:w="80"/>
              <w:left w:type="dxa" w:w="100"/>
              <w:bottom w:type="dxa" w:w="80"/>
              <w:right w:type="dxa" w:w="100"/>
            </w:tcMar>
            <w:vAlign w:val="center"/>
          </w:tcPr>
          <w:p>
            <w:pPr>
              <w:spacing w:after="40"/>
            </w:pPr>
            <w:r>
              <w:t xml:space="preserve">Not standalone — bounded context inside Career Intelligence Domain</w:t>
            </w:r>
          </w:p>
        </w:tc>
        <w:tc>
          <w:tcPr>
            <w:tcW w:type="dxa" w:w="4500"/>
            <w:tcMar>
              <w:top w:type="dxa" w:w="80"/>
              <w:left w:type="dxa" w:w="100"/>
              <w:bottom w:type="dxa" w:w="80"/>
              <w:right w:type="dxa" w:w="100"/>
            </w:tcMar>
            <w:vAlign w:val="center"/>
          </w:tcPr>
          <w:p>
            <w:pPr>
              <w:spacing w:after="40"/>
            </w:pPr>
            <w:r>
              <w:t xml:space="preserve">Career Health Assessment is one of four capabilities inside Career Intelligence per Phase A Section 5; no separate consumer base, owner, or data boundary is evidenced.</w:t>
            </w:r>
          </w:p>
        </w:tc>
      </w:tr>
      <w:tr>
        <w:trPr>
          <w:tblHeader w:val="false"/>
        </w:trPr>
        <w:tc>
          <w:tcPr>
            <w:tcW w:type="dxa" w:w="2600"/>
            <w:shd w:fill="E9EEF5" w:color="auto" w:val="clear"/>
            <w:tcMar>
              <w:top w:type="dxa" w:w="80"/>
              <w:left w:type="dxa" w:w="100"/>
              <w:bottom w:type="dxa" w:w="80"/>
              <w:right w:type="dxa" w:w="100"/>
            </w:tcMar>
            <w:vAlign w:val="center"/>
          </w:tcPr>
          <w:p>
            <w:pPr>
              <w:spacing w:after="40"/>
            </w:pPr>
            <w:r>
              <w:t xml:space="preserve">Candidate Experience Domain</w:t>
            </w:r>
          </w:p>
        </w:tc>
        <w:tc>
          <w:tcPr>
            <w:tcW w:type="dxa" w:w="2900"/>
            <w:shd w:fill="E9EEF5" w:color="auto" w:val="clear"/>
            <w:tcMar>
              <w:top w:type="dxa" w:w="80"/>
              <w:left w:type="dxa" w:w="100"/>
              <w:bottom w:type="dxa" w:w="80"/>
              <w:right w:type="dxa" w:w="100"/>
            </w:tcMar>
            <w:vAlign w:val="center"/>
          </w:tcPr>
          <w:p>
            <w:pPr>
              <w:spacing w:after="40"/>
            </w:pPr>
            <w:r>
              <w:t xml:space="preserve">Validated as Candidate Experience &amp; Growth Domain</w:t>
            </w:r>
          </w:p>
        </w:tc>
        <w:tc>
          <w:tcPr>
            <w:tcW w:type="dxa" w:w="4500"/>
            <w:shd w:fill="E9EEF5" w:color="auto" w:val="clear"/>
            <w:tcMar>
              <w:top w:type="dxa" w:w="80"/>
              <w:left w:type="dxa" w:w="100"/>
              <w:bottom w:type="dxa" w:w="80"/>
              <w:right w:type="dxa" w:w="100"/>
            </w:tcMar>
            <w:vAlign w:val="center"/>
          </w:tcPr>
          <w:p>
            <w:pPr>
              <w:spacing w:after="40"/>
            </w:pPr>
            <w:r>
              <w:t xml:space="preserve">Matches Phase A capability group name and scope exactly.</w:t>
            </w:r>
          </w:p>
        </w:tc>
      </w:tr>
      <w:tr>
        <w:trPr>
          <w:tblHeader w:val="false"/>
        </w:trPr>
        <w:tc>
          <w:tcPr>
            <w:tcW w:type="dxa" w:w="2600"/>
            <w:tcMar>
              <w:top w:type="dxa" w:w="80"/>
              <w:left w:type="dxa" w:w="100"/>
              <w:bottom w:type="dxa" w:w="80"/>
              <w:right w:type="dxa" w:w="100"/>
            </w:tcMar>
            <w:vAlign w:val="center"/>
          </w:tcPr>
          <w:p>
            <w:pPr>
              <w:spacing w:after="40"/>
            </w:pPr>
            <w:r>
              <w:t xml:space="preserve">Employer Domain</w:t>
            </w:r>
          </w:p>
        </w:tc>
        <w:tc>
          <w:tcPr>
            <w:tcW w:type="dxa" w:w="2900"/>
            <w:tcMar>
              <w:top w:type="dxa" w:w="80"/>
              <w:left w:type="dxa" w:w="100"/>
              <w:bottom w:type="dxa" w:w="80"/>
              <w:right w:type="dxa" w:w="100"/>
            </w:tcMar>
            <w:vAlign w:val="center"/>
          </w:tcPr>
          <w:p>
            <w:pPr>
              <w:spacing w:after="40"/>
            </w:pPr>
            <w:r>
              <w:t xml:space="preserve">Validated as Employer Domain (Employer Intelligence)</w:t>
            </w:r>
          </w:p>
        </w:tc>
        <w:tc>
          <w:tcPr>
            <w:tcW w:type="dxa" w:w="4500"/>
            <w:tcMar>
              <w:top w:type="dxa" w:w="80"/>
              <w:left w:type="dxa" w:w="100"/>
              <w:bottom w:type="dxa" w:w="80"/>
              <w:right w:type="dxa" w:w="100"/>
            </w:tcMar>
            <w:vAlign w:val="center"/>
          </w:tcPr>
          <w:p>
            <w:pPr>
              <w:spacing w:after="40"/>
            </w:pPr>
            <w:r>
              <w:t xml:space="preserve">Matches Phase A's Employer Intelligence capability group; kept as its own domain specifically because of, not despite, its Level 1 maturity — see ADR-BD-03.</w:t>
            </w:r>
          </w:p>
        </w:tc>
      </w:tr>
      <w:tr>
        <w:trPr>
          <w:tblHeader w:val="false"/>
        </w:trPr>
        <w:tc>
          <w:tcPr>
            <w:tcW w:type="dxa" w:w="2600"/>
            <w:shd w:fill="E9EEF5" w:color="auto" w:val="clear"/>
            <w:tcMar>
              <w:top w:type="dxa" w:w="80"/>
              <w:left w:type="dxa" w:w="100"/>
              <w:bottom w:type="dxa" w:w="80"/>
              <w:right w:type="dxa" w:w="100"/>
            </w:tcMar>
            <w:vAlign w:val="center"/>
          </w:tcPr>
          <w:p>
            <w:pPr>
              <w:spacing w:after="40"/>
            </w:pPr>
            <w:r>
              <w:t xml:space="preserve">Labor Market Intelligence Domain</w:t>
            </w:r>
          </w:p>
        </w:tc>
        <w:tc>
          <w:tcPr>
            <w:tcW w:type="dxa" w:w="2900"/>
            <w:shd w:fill="E9EEF5" w:color="auto" w:val="clear"/>
            <w:tcMar>
              <w:top w:type="dxa" w:w="80"/>
              <w:left w:type="dxa" w:w="100"/>
              <w:bottom w:type="dxa" w:w="80"/>
              <w:right w:type="dxa" w:w="100"/>
            </w:tcMar>
            <w:vAlign w:val="center"/>
          </w:tcPr>
          <w:p>
            <w:pPr>
              <w:spacing w:after="40"/>
            </w:pPr>
            <w:r>
              <w:t xml:space="preserve">Not standalone — bounded context inside Knowledge &amp; Market Intelligence Domain</w:t>
            </w:r>
          </w:p>
        </w:tc>
        <w:tc>
          <w:tcPr>
            <w:tcW w:type="dxa" w:w="4500"/>
            <w:shd w:fill="E9EEF5" w:color="auto" w:val="clear"/>
            <w:tcMar>
              <w:top w:type="dxa" w:w="80"/>
              <w:left w:type="dxa" w:w="100"/>
              <w:bottom w:type="dxa" w:w="80"/>
              <w:right w:type="dxa" w:w="100"/>
            </w:tcMar>
            <w:vAlign w:val="center"/>
          </w:tcPr>
          <w:p>
            <w:pPr>
              <w:spacing w:after="40"/>
            </w:pPr>
            <w:r>
              <w:t xml:space="preserve">Phase A Section 12 assigns Labor Market &amp; Salary Intelligence the same target owner (Knowledge Intelligence Product owner) as the rest of the domain; no independent ownership or boundary evidence exists.</w:t>
            </w:r>
          </w:p>
        </w:tc>
      </w:tr>
      <w:tr>
        <w:trPr>
          <w:tblHeader w:val="false"/>
        </w:trPr>
        <w:tc>
          <w:tcPr>
            <w:tcW w:type="dxa" w:w="2600"/>
            <w:tcMar>
              <w:top w:type="dxa" w:w="80"/>
              <w:left w:type="dxa" w:w="100"/>
              <w:bottom w:type="dxa" w:w="80"/>
              <w:right w:type="dxa" w:w="100"/>
            </w:tcMar>
            <w:vAlign w:val="center"/>
          </w:tcPr>
          <w:p>
            <w:pPr>
              <w:spacing w:after="40"/>
            </w:pPr>
            <w:r>
              <w:t xml:space="preserve">Career Outcome Intelligence Domain</w:t>
            </w:r>
          </w:p>
        </w:tc>
        <w:tc>
          <w:tcPr>
            <w:tcW w:type="dxa" w:w="2900"/>
            <w:tcMar>
              <w:top w:type="dxa" w:w="80"/>
              <w:left w:type="dxa" w:w="100"/>
              <w:bottom w:type="dxa" w:w="80"/>
              <w:right w:type="dxa" w:w="100"/>
            </w:tcMar>
            <w:vAlign w:val="center"/>
          </w:tcPr>
          <w:p>
            <w:pPr>
              <w:spacing w:after="40"/>
            </w:pPr>
            <w:r>
              <w:t xml:space="preserve">Not evidenced — flagged as a future domain candidate only</w:t>
            </w:r>
          </w:p>
        </w:tc>
        <w:tc>
          <w:tcPr>
            <w:tcW w:type="dxa" w:w="4500"/>
            <w:tcMar>
              <w:top w:type="dxa" w:w="80"/>
              <w:left w:type="dxa" w:w="100"/>
              <w:bottom w:type="dxa" w:w="80"/>
              <w:right w:type="dxa" w:w="100"/>
            </w:tcMar>
            <w:vAlign w:val="center"/>
          </w:tcPr>
          <w:p>
            <w:pPr>
              <w:spacing w:after="40"/>
            </w:pPr>
            <w:r>
              <w:t xml:space="preserve">No module, service, or data store anywhere in the repository owns outcome measurement as a first-class concern; it appears only as KPI language scattered across Career Intelligence capabilities (Phase A Section 7). Listed in Section 11.3 as a genuine future candidate, not fabricated as current-state.</w:t>
            </w:r>
          </w:p>
        </w:tc>
      </w:tr>
      <w:tr>
        <w:trPr>
          <w:tblHeader w:val="false"/>
        </w:trPr>
        <w:tc>
          <w:tcPr>
            <w:tcW w:type="dxa" w:w="2600"/>
            <w:shd w:fill="E9EEF5" w:color="auto" w:val="clear"/>
            <w:tcMar>
              <w:top w:type="dxa" w:w="80"/>
              <w:left w:type="dxa" w:w="100"/>
              <w:bottom w:type="dxa" w:w="80"/>
              <w:right w:type="dxa" w:w="100"/>
            </w:tcMar>
            <w:vAlign w:val="center"/>
          </w:tcPr>
          <w:p>
            <w:pPr>
              <w:spacing w:after="40"/>
            </w:pPr>
            <w:r>
              <w:t xml:space="preserve">Analytics Domain</w:t>
            </w:r>
          </w:p>
        </w:tc>
        <w:tc>
          <w:tcPr>
            <w:tcW w:type="dxa" w:w="2900"/>
            <w:shd w:fill="E9EEF5" w:color="auto" w:val="clear"/>
            <w:tcMar>
              <w:top w:type="dxa" w:w="80"/>
              <w:left w:type="dxa" w:w="100"/>
              <w:bottom w:type="dxa" w:w="80"/>
              <w:right w:type="dxa" w:w="100"/>
            </w:tcMar>
            <w:vAlign w:val="center"/>
          </w:tcPr>
          <w:p>
            <w:pPr>
              <w:spacing w:after="40"/>
            </w:pPr>
            <w:r>
              <w:t xml:space="preserve">Not standalone — retained inside Platform Shared Services Domain</w:t>
            </w:r>
          </w:p>
        </w:tc>
        <w:tc>
          <w:tcPr>
            <w:tcW w:type="dxa" w:w="4500"/>
            <w:shd w:fill="E9EEF5" w:color="auto" w:val="clear"/>
            <w:tcMar>
              <w:top w:type="dxa" w:w="80"/>
              <w:left w:type="dxa" w:w="100"/>
              <w:bottom w:type="dxa" w:w="80"/>
              <w:right w:type="dxa" w:w="100"/>
            </w:tcMar>
            <w:vAlign w:val="center"/>
          </w:tcPr>
          <w:p>
            <w:pPr>
              <w:spacing w:after="40"/>
            </w:pPr>
            <w:r>
              <w:t xml:space="preserve">User Activity &amp; Behavioral Analytics is catalogued under Platform &amp; Shared Capabilities in Phase A Section 5 with cross-cutting, all-capability consumers; elevating it to a full domain would misrepresent its current cross-cutting infrastructure role as a business-facing one.</w:t>
            </w:r>
          </w:p>
        </w:tc>
      </w:tr>
      <w:tr>
        <w:trPr>
          <w:tblHeader w:val="false"/>
        </w:trPr>
        <w:tc>
          <w:tcPr>
            <w:tcW w:type="dxa" w:w="2600"/>
            <w:tcMar>
              <w:top w:type="dxa" w:w="80"/>
              <w:left w:type="dxa" w:w="100"/>
              <w:bottom w:type="dxa" w:w="80"/>
              <w:right w:type="dxa" w:w="100"/>
            </w:tcMar>
            <w:vAlign w:val="center"/>
          </w:tcPr>
          <w:p>
            <w:pPr>
              <w:spacing w:after="40"/>
            </w:pPr>
            <w:r>
              <w:t xml:space="preserve">Governance Domain</w:t>
            </w:r>
          </w:p>
        </w:tc>
        <w:tc>
          <w:tcPr>
            <w:tcW w:type="dxa" w:w="2900"/>
            <w:tcMar>
              <w:top w:type="dxa" w:w="80"/>
              <w:left w:type="dxa" w:w="100"/>
              <w:bottom w:type="dxa" w:w="80"/>
              <w:right w:type="dxa" w:w="100"/>
            </w:tcMar>
            <w:vAlign w:val="center"/>
          </w:tcPr>
          <w:p>
            <w:pPr>
              <w:spacing w:after="40"/>
            </w:pPr>
            <w:r>
              <w:t xml:space="preserve">Validated, unchanged name</w:t>
            </w:r>
          </w:p>
        </w:tc>
        <w:tc>
          <w:tcPr>
            <w:tcW w:type="dxa" w:w="4500"/>
            <w:tcMar>
              <w:top w:type="dxa" w:w="80"/>
              <w:left w:type="dxa" w:w="100"/>
              <w:bottom w:type="dxa" w:w="80"/>
              <w:right w:type="dxa" w:w="100"/>
            </w:tcMar>
            <w:vAlign w:val="center"/>
          </w:tcPr>
          <w:p>
            <w:pPr>
              <w:spacing w:after="40"/>
            </w:pPr>
            <w:r>
              <w:t xml:space="preserve">Directly matches Phase A's Governance &amp; Assurance capability group.</w:t>
            </w:r>
          </w:p>
        </w:tc>
      </w:tr>
      <w:tr>
        <w:trPr>
          <w:tblHeader w:val="false"/>
        </w:trPr>
        <w:tc>
          <w:tcPr>
            <w:tcW w:type="dxa" w:w="2600"/>
            <w:shd w:fill="E9EEF5" w:color="auto" w:val="clear"/>
            <w:tcMar>
              <w:top w:type="dxa" w:w="80"/>
              <w:left w:type="dxa" w:w="100"/>
              <w:bottom w:type="dxa" w:w="80"/>
              <w:right w:type="dxa" w:w="100"/>
            </w:tcMar>
            <w:vAlign w:val="center"/>
          </w:tcPr>
          <w:p>
            <w:pPr>
              <w:spacing w:after="40"/>
            </w:pPr>
            <w:r>
              <w:t xml:space="preserve">Platform Shared Services Domain</w:t>
            </w:r>
          </w:p>
        </w:tc>
        <w:tc>
          <w:tcPr>
            <w:tcW w:type="dxa" w:w="2900"/>
            <w:shd w:fill="E9EEF5" w:color="auto" w:val="clear"/>
            <w:tcMar>
              <w:top w:type="dxa" w:w="80"/>
              <w:left w:type="dxa" w:w="100"/>
              <w:bottom w:type="dxa" w:w="80"/>
              <w:right w:type="dxa" w:w="100"/>
            </w:tcMar>
            <w:vAlign w:val="center"/>
          </w:tcPr>
          <w:p>
            <w:pPr>
              <w:spacing w:after="40"/>
            </w:pPr>
            <w:r>
              <w:t xml:space="preserve">Validated, unchanged name</w:t>
            </w:r>
          </w:p>
        </w:tc>
        <w:tc>
          <w:tcPr>
            <w:tcW w:type="dxa" w:w="4500"/>
            <w:shd w:fill="E9EEF5" w:color="auto" w:val="clear"/>
            <w:tcMar>
              <w:top w:type="dxa" w:w="80"/>
              <w:left w:type="dxa" w:w="100"/>
              <w:bottom w:type="dxa" w:w="80"/>
              <w:right w:type="dxa" w:w="100"/>
            </w:tcMar>
            <w:vAlign w:val="center"/>
          </w:tcPr>
          <w:p>
            <w:pPr>
              <w:spacing w:after="40"/>
            </w:pPr>
            <w:r>
              <w:t xml:space="preserve">Directly matches Phase A's Platform &amp; Shared Capabilities group.</w:t>
            </w:r>
          </w:p>
        </w:tc>
      </w:tr>
    </w:tbl>
    <w:p>
      <w:pPr>
        <w:spacing w:after="200"/>
      </w:pPr>
    </w:p>
    <w:p>
      <w:pPr>
        <w:pStyle w:val="Heading2"/>
        <w:spacing w:after="200" w:before="320"/>
      </w:pPr>
      <w:r>
        <w:t xml:space="preserve">2.5 Domain Overlaps and Boundary Problems</w:t>
      </w:r>
    </w:p>
    <w:p>
      <w:pPr>
        <w:pStyle w:val="ListParagraph"/>
        <w:numPr>
          <w:ilvl w:val="0"/>
          <w:numId w:val="2"/>
        </w:numPr>
        <w:spacing w:after="100"/>
      </w:pPr>
      <w:r>
        <w:rPr>
          <w:b/>
          <w:bCs/>
        </w:rPr>
        <w:t xml:space="preserve">Career Intelligence / Knowledge &amp; Market Intelligence coupling.</w:t>
      </w:r>
      <w:r>
        <w:t xml:space="preserve"> Three of Career Intelligence's four capabilities (Path Recommendation, Health Assessment, Opportunity Radar) depend directly on Labor Market &amp; Salary Intelligence data that Knowledge &amp; Market Intelligence owns (Phase A Section 8.2); this is a healthy, expected upstream dependency, not a boundary defect, but it means Knowledge &amp; Market Intelligence's current mock-data ceiling (Phase A Section 2.4) is inherited as a domain-level constraint on Career Intelligence's real-world maturity, not only a capability-level one.</w:t>
      </w:r>
    </w:p>
    <w:p>
      <w:pPr>
        <w:pStyle w:val="ListParagraph"/>
        <w:numPr>
          <w:ilvl w:val="0"/>
          <w:numId w:val="2"/>
        </w:numPr>
        <w:spacing w:after="100"/>
      </w:pPr>
      <w:r>
        <w:rPr>
          <w:b/>
          <w:bCs/>
        </w:rPr>
        <w:t xml:space="preserve">Career Intelligence / Employer Domain boundary is not yet load-bearing.</w:t>
      </w:r>
      <w:r>
        <w:t xml:space="preserve"> Career Opportunity Radar formally depends on the Employer Domain (Phase A Section 8.2), but because the Employer Domain has no live external integration (Level 1 — Initial), the boundary between the two domains is currently theoretical rather than an operating contract. This is flagged here as a boundary problem worth watching, not fixing: the day the first partner is signed, this boundary becomes real and will need an explicit anti-corruption layer (Section 8).</w:t>
      </w:r>
    </w:p>
    <w:p>
      <w:pPr>
        <w:pStyle w:val="ListParagraph"/>
        <w:numPr>
          <w:ilvl w:val="0"/>
          <w:numId w:val="2"/>
        </w:numPr>
        <w:spacing w:after="100"/>
      </w:pPr>
      <w:r>
        <w:rPr>
          <w:b/>
          <w:bCs/>
        </w:rPr>
        <w:t xml:space="preserve">AI Intelligence Domain is embedded inside, not adjacent to, Career Intelligence and Candidate Experience.</w:t>
      </w:r>
      <w:r>
        <w:t xml:space="preserve"> AI Career Advisory &amp; Agentic Orchestration's outputs feed Career Path Intelligence &amp; Recommendation directly (Phase A Section 8.1), and AI-generated content underlies Candidate Document Generation. This is evidenced, intentional coupling — the AI Intelligence Domain is best understood as a horizontal capability domain threading through the other domains' student-facing work, and its boundary rules (Section 6) are written accordingly.</w:t>
      </w:r>
    </w:p>
    <w:p>
      <w:pPr>
        <w:pStyle w:val="Heading1"/>
        <w:spacing w:after="200" w:before="480"/>
      </w:pPr>
      <w:r>
        <w:t xml:space="preserve">3. Domain Architecture Principles</w:t>
      </w:r>
    </w:p>
    <w:p>
      <w:pPr>
        <w:pStyle w:val="Heading2"/>
        <w:spacing w:after="200" w:before="320"/>
      </w:pPr>
      <w:r>
        <w:t xml:space="preserve">3.1 Business Domain Philosophy</w:t>
      </w:r>
    </w:p>
    <w:p>
      <w:pPr>
        <w:spacing w:after="160"/>
        <w:jc w:val="both"/>
      </w:pPr>
      <w:r>
        <w:t xml:space="preserve">A business domain in this document is a stable business responsibility — a reason HireRise exists to do a particular kind of work for a particular set of stakeholders — not a source folder, microservice, API, database, or framework. A domain must be able to survive a full technology replacement (a new backend framework, a new AI provider chain, a database migration) without its name, purpose, or boundary changing. This is the same philosophy Phase A applied to capabilities, extended one level up to the domains that group them.</w:t>
      </w:r>
    </w:p>
    <w:p>
      <w:pPr>
        <w:pStyle w:val="Heading2"/>
        <w:spacing w:after="200" w:before="320"/>
      </w:pPr>
      <w:r>
        <w:t xml:space="preserve">3.2 Domain Ownership Principles</w:t>
      </w:r>
    </w:p>
    <w:p>
      <w:pPr>
        <w:pStyle w:val="ListParagraph"/>
        <w:numPr>
          <w:ilvl w:val="0"/>
          <w:numId w:val="2"/>
        </w:numPr>
        <w:spacing w:after="100"/>
      </w:pPr>
      <w:r>
        <w:t xml:space="preserve">Every domain has a named business steward, technical steward, knowledge steward, and governance owner (Section 9), even where — honestly, at current headcount — several of those roles are held by the same one or two people today.</w:t>
      </w:r>
    </w:p>
    <w:p>
      <w:pPr>
        <w:pStyle w:val="ListParagraph"/>
        <w:numPr>
          <w:ilvl w:val="0"/>
          <w:numId w:val="2"/>
        </w:numPr>
        <w:spacing w:after="100"/>
      </w:pPr>
      <w:r>
        <w:t xml:space="preserve">Ownership is stated as "general product/engineering function" wherever no separated business function is evidenced, exactly as Phase A's ADR-BC-04 established at the capability level — this document does not invent a domain-level RACI the organization does not have.</w:t>
      </w:r>
    </w:p>
    <w:p>
      <w:pPr>
        <w:pStyle w:val="ListParagraph"/>
        <w:numPr>
          <w:ilvl w:val="0"/>
          <w:numId w:val="2"/>
        </w:numPr>
        <w:spacing w:after="100"/>
      </w:pPr>
      <w:r>
        <w:t xml:space="preserve">Target-state ownership separation is always trigger-gated (Section 9, Section 13), never calendar-only.</w:t>
      </w:r>
    </w:p>
    <w:p>
      <w:pPr>
        <w:pStyle w:val="Heading2"/>
        <w:spacing w:after="200" w:before="320"/>
      </w:pPr>
      <w:r>
        <w:t xml:space="preserve">3.3 Boundary Principles</w:t>
      </w:r>
    </w:p>
    <w:p>
      <w:pPr>
        <w:pStyle w:val="ListParagraph"/>
        <w:numPr>
          <w:ilvl w:val="0"/>
          <w:numId w:val="2"/>
        </w:numPr>
        <w:spacing w:after="100"/>
      </w:pPr>
      <w:r>
        <w:t xml:space="preserve">A capability belongs to the domain that is most directly accountable for the business outcome it produces, not the domain that happens to call it most often.</w:t>
      </w:r>
    </w:p>
    <w:p>
      <w:pPr>
        <w:pStyle w:val="ListParagraph"/>
        <w:numPr>
          <w:ilvl w:val="0"/>
          <w:numId w:val="2"/>
        </w:numPr>
        <w:spacing w:after="100"/>
      </w:pPr>
      <w:r>
        <w:t xml:space="preserve">Domain boundaries are drawn at points in the repository where a genuine ownership, data, or consumer-base seam already exists (Phase A's per-capability "Supporting domains / modules" evidence), not at arbitrary lines of convenience.</w:t>
      </w:r>
    </w:p>
    <w:p>
      <w:pPr>
        <w:pStyle w:val="ListParagraph"/>
        <w:numPr>
          <w:ilvl w:val="0"/>
          <w:numId w:val="2"/>
        </w:numPr>
        <w:spacing w:after="100"/>
      </w:pPr>
      <w:r>
        <w:t xml:space="preserve">A capability is not split into its own domain merely because a template or Special Focus list names it, if no independent ownership, data boundary, or consumer base is evidenced (Section 2.4).</w:t>
      </w:r>
    </w:p>
    <w:p>
      <w:pPr>
        <w:pStyle w:val="Heading2"/>
        <w:spacing w:after="200" w:before="320"/>
      </w:pPr>
      <w:r>
        <w:t xml:space="preserve">3.4 Interaction Principles</w:t>
      </w:r>
    </w:p>
    <w:p>
      <w:pPr>
        <w:pStyle w:val="ListParagraph"/>
        <w:numPr>
          <w:ilvl w:val="0"/>
          <w:numId w:val="2"/>
        </w:numPr>
        <w:spacing w:after="100"/>
      </w:pPr>
      <w:r>
        <w:t xml:space="preserve">Cross-domain dependencies are named explicitly and directionally (Section 7), never left implicit.</w:t>
      </w:r>
    </w:p>
    <w:p>
      <w:pPr>
        <w:pStyle w:val="ListParagraph"/>
        <w:numPr>
          <w:ilvl w:val="0"/>
          <w:numId w:val="2"/>
        </w:numPr>
        <w:spacing w:after="100"/>
      </w:pPr>
      <w:r>
        <w:t xml:space="preserve">The domain that is depended upon publishes a stable business-language contract; the dependent domain does not reach into the other domain's internal data structures — the current codebase's shared taxonomy and shared academic profile already function this way in practice (Section 8).</w:t>
      </w:r>
    </w:p>
    <w:p>
      <w:pPr>
        <w:pStyle w:val="ListParagraph"/>
        <w:numPr>
          <w:ilvl w:val="0"/>
          <w:numId w:val="2"/>
        </w:numPr>
        <w:spacing w:after="100"/>
      </w:pPr>
      <w:r>
        <w:t xml:space="preserve">Where a dependency is currently constrained (e.g., Employer Domain's pre-activation state limiting Career Intelligence and Knowledge &amp; Market Intelligence), that constraint is stated as a domain-level fact, not smoothed over.</w:t>
      </w:r>
    </w:p>
    <w:p>
      <w:pPr>
        <w:pStyle w:val="Heading2"/>
        <w:spacing w:after="200" w:before="320"/>
      </w:pPr>
      <w:r>
        <w:t xml:space="preserve">3.5 Evolution Principles</w:t>
      </w:r>
    </w:p>
    <w:p>
      <w:pPr>
        <w:pStyle w:val="ListParagraph"/>
        <w:numPr>
          <w:ilvl w:val="0"/>
          <w:numId w:val="2"/>
        </w:numPr>
        <w:spacing w:after="100"/>
      </w:pPr>
      <w:r>
        <w:t xml:space="preserve">Domains evolve (split, merge, or change ownership) only at evidenced inflection points — an adoption trigger firing, not a calendar date (Section 11, Section 13).</w:t>
      </w:r>
    </w:p>
    <w:p>
      <w:pPr>
        <w:pStyle w:val="ListParagraph"/>
        <w:numPr>
          <w:ilvl w:val="0"/>
          <w:numId w:val="2"/>
        </w:numPr>
        <w:spacing w:after="100"/>
      </w:pPr>
      <w:r>
        <w:t xml:space="preserve">This document is revisited at the next EEP-02 phase boundary or when a domain's internal capability set no longer shares one coherent business responsibility, whichever comes first (Section 18).</w:t>
      </w:r>
    </w:p>
    <w:p>
      <w:pPr>
        <w:pStyle w:val="Heading2"/>
        <w:spacing w:after="200" w:before="320"/>
      </w:pPr>
      <w:r>
        <w:t xml:space="preserve">3.6 Naming Standards</w:t>
      </w:r>
    </w:p>
    <w:p>
      <w:pPr>
        <w:pStyle w:val="ListParagraph"/>
        <w:numPr>
          <w:ilvl w:val="0"/>
          <w:numId w:val="2"/>
        </w:numPr>
        <w:spacing w:after="100"/>
      </w:pPr>
      <w:r>
        <w:t xml:space="preserve">Domain names describe a business responsibility in plain language ("Career Intelligence Domain"), never a technical module name (not "career-copilot Domain").</w:t>
      </w:r>
    </w:p>
    <w:p>
      <w:pPr>
        <w:pStyle w:val="ListParagraph"/>
        <w:numPr>
          <w:ilvl w:val="0"/>
          <w:numId w:val="2"/>
        </w:numPr>
        <w:spacing w:after="100"/>
      </w:pPr>
      <w:r>
        <w:t xml:space="preserve">Where this document's domain name differs from the exact wording of a Special Focus Area candidate, Section 2.4 states the mapping explicitly so no information is lost in translation.</w:t>
      </w:r>
    </w:p>
    <w:p>
      <w:pPr>
        <w:pStyle w:val="Heading1"/>
        <w:pageBreakBefore/>
        <w:spacing w:after="200" w:before="480"/>
      </w:pPr>
      <w:r>
        <w:t xml:space="preserve">4. Enterprise Domain Landscape</w:t>
      </w:r>
    </w:p>
    <w:p>
      <w:pPr>
        <w:spacing w:after="160"/>
        <w:jc w:val="both"/>
      </w:pPr>
      <w:r>
        <w:t xml:space="preserve">Eight enterprise business domains, classified against the categories required by this program. Ordered by strategic weight, matching Phase A Section 5's ordering of the underlying capability groups, since domain weight is inherited directly from the capabilities each domain contains.</w:t>
      </w:r>
    </w:p>
    <w:p>
      <w:pPr>
        <w:pStyle w:val="Heading2"/>
        <w:spacing w:after="200" w:before="320"/>
      </w:pPr>
      <w:r>
        <w:t xml:space="preserve">4.1 Strategic Domains</w:t>
      </w:r>
    </w:p>
    <w:p>
      <w:pPr>
        <w:pStyle w:val="ListParagraph"/>
        <w:numPr>
          <w:ilvl w:val="0"/>
          <w:numId w:val="2"/>
        </w:numPr>
        <w:spacing w:after="100"/>
      </w:pPr>
      <w:r>
        <w:rPr>
          <w:b/>
          <w:bCs/>
        </w:rPr>
        <w:t xml:space="preserve">Career Intelligence Domain</w:t>
      </w:r>
      <w:r>
        <w:t xml:space="preserve"> — carries the platform's core strategic differentiation (Career Path Intelligence &amp; Recommendation, Career Digital Twin &amp; Simulation).</w:t>
      </w:r>
    </w:p>
    <w:p>
      <w:pPr>
        <w:pStyle w:val="ListParagraph"/>
        <w:numPr>
          <w:ilvl w:val="0"/>
          <w:numId w:val="2"/>
        </w:numPr>
        <w:spacing w:after="100"/>
      </w:pPr>
      <w:r>
        <w:rPr>
          <w:b/>
          <w:bCs/>
        </w:rPr>
        <w:t xml:space="preserve">Employer Domain</w:t>
      </w:r>
      <w:r>
        <w:t xml:space="preserve"> — the platform's largest strategic gap and its path to a two-sided market; strategic by intent despite Level 1 current maturity (ADR-BD-03).</w:t>
      </w:r>
    </w:p>
    <w:p>
      <w:pPr>
        <w:pStyle w:val="Heading2"/>
        <w:spacing w:after="200" w:before="320"/>
      </w:pPr>
      <w:r>
        <w:t xml:space="preserve">4.2 Core Domains</w:t>
      </w:r>
    </w:p>
    <w:p>
      <w:pPr>
        <w:pStyle w:val="ListParagraph"/>
        <w:numPr>
          <w:ilvl w:val="0"/>
          <w:numId w:val="2"/>
        </w:numPr>
        <w:spacing w:after="100"/>
      </w:pPr>
      <w:r>
        <w:rPr>
          <w:b/>
          <w:bCs/>
        </w:rPr>
        <w:t xml:space="preserve">Career Intelligence Domain</w:t>
      </w:r>
      <w:r>
        <w:t xml:space="preserve"> (also Core for its day-to-day recommendation and health-assessment responsibilities, in addition to being Strategic).</w:t>
      </w:r>
    </w:p>
    <w:p>
      <w:pPr>
        <w:pStyle w:val="ListParagraph"/>
        <w:numPr>
          <w:ilvl w:val="0"/>
          <w:numId w:val="2"/>
        </w:numPr>
        <w:spacing w:after="100"/>
      </w:pPr>
      <w:r>
        <w:rPr>
          <w:b/>
          <w:bCs/>
        </w:rPr>
        <w:t xml:space="preserve">Academic Intelligence Domain</w:t>
      </w:r>
      <w:r>
        <w:t xml:space="preserve"> — the foundational trustworthy student data asset every other domain reads from.</w:t>
      </w:r>
    </w:p>
    <w:p>
      <w:pPr>
        <w:pStyle w:val="Heading2"/>
        <w:spacing w:after="200" w:before="320"/>
      </w:pPr>
      <w:r>
        <w:t xml:space="preserve">4.3 Supporting Domains</w:t>
      </w:r>
    </w:p>
    <w:p>
      <w:pPr>
        <w:pStyle w:val="ListParagraph"/>
        <w:numPr>
          <w:ilvl w:val="0"/>
          <w:numId w:val="2"/>
        </w:numPr>
        <w:spacing w:after="100"/>
      </w:pPr>
      <w:r>
        <w:rPr>
          <w:b/>
          <w:bCs/>
        </w:rPr>
        <w:t xml:space="preserve">Candidate Experience &amp; Growth Domain</w:t>
      </w:r>
      <w:r>
        <w:t xml:space="preserve"> — converts intelligence into action (documents, engagement) rather than originating intelligence itself.</w:t>
      </w:r>
    </w:p>
    <w:p>
      <w:pPr>
        <w:pStyle w:val="Heading2"/>
        <w:spacing w:after="200" w:before="320"/>
      </w:pPr>
      <w:r>
        <w:t xml:space="preserve">4.4 Shared Domains</w:t>
      </w:r>
    </w:p>
    <w:p>
      <w:pPr>
        <w:pStyle w:val="ListParagraph"/>
        <w:numPr>
          <w:ilvl w:val="0"/>
          <w:numId w:val="2"/>
        </w:numPr>
        <w:spacing w:after="100"/>
      </w:pPr>
      <w:r>
        <w:rPr>
          <w:b/>
          <w:bCs/>
        </w:rPr>
        <w:t xml:space="preserve">Knowledge &amp; Market Intelligence Domain</w:t>
      </w:r>
      <w:r>
        <w:t xml:space="preserve"> — the shared vocabulary and market data every intelligence domain compares a student against.</w:t>
      </w:r>
    </w:p>
    <w:p>
      <w:pPr>
        <w:pStyle w:val="ListParagraph"/>
        <w:numPr>
          <w:ilvl w:val="0"/>
          <w:numId w:val="2"/>
        </w:numPr>
        <w:spacing w:after="100"/>
      </w:pPr>
      <w:r>
        <w:rPr>
          <w:b/>
          <w:bCs/>
        </w:rPr>
        <w:t xml:space="preserve">Platform Shared Services Domain</w:t>
      </w:r>
      <w:r>
        <w:t xml:space="preserve"> — identity, configuration/secrets, and behavioral analytics infrastructure consumed by every other domain.</w:t>
      </w:r>
    </w:p>
    <w:p>
      <w:pPr>
        <w:pStyle w:val="Heading2"/>
        <w:spacing w:after="200" w:before="320"/>
      </w:pPr>
      <w:r>
        <w:t xml:space="preserve">4.5 AI Domains</w:t>
      </w:r>
    </w:p>
    <w:p>
      <w:pPr>
        <w:pStyle w:val="ListParagraph"/>
        <w:numPr>
          <w:ilvl w:val="0"/>
          <w:numId w:val="2"/>
        </w:numPr>
        <w:spacing w:after="100"/>
      </w:pPr>
      <w:r>
        <w:rPr>
          <w:b/>
          <w:bCs/>
        </w:rPr>
        <w:t xml:space="preserve">AI Intelligence Domain</w:t>
      </w:r>
      <w:r>
        <w:t xml:space="preserve"> — agentic advisory, personalization, and AI-output governance; the platform's most mature technical investment (Phase A Section 2.1, Section 9).</w:t>
      </w:r>
    </w:p>
    <w:p>
      <w:pPr>
        <w:pStyle w:val="Heading2"/>
        <w:spacing w:after="200" w:before="320"/>
      </w:pPr>
      <w:r>
        <w:t xml:space="preserve">4.6 Knowledge Domains</w:t>
      </w:r>
    </w:p>
    <w:p>
      <w:pPr>
        <w:pStyle w:val="ListParagraph"/>
        <w:numPr>
          <w:ilvl w:val="0"/>
          <w:numId w:val="2"/>
        </w:numPr>
        <w:spacing w:after="100"/>
      </w:pPr>
      <w:r>
        <w:rPr>
          <w:b/>
          <w:bCs/>
        </w:rPr>
        <w:t xml:space="preserve">Knowledge &amp; Market Intelligence Domain</w:t>
      </w:r>
      <w:r>
        <w:t xml:space="preserve"> also serves as the platform's dedicated Knowledge Domain — it is intentionally modeled once, not duplicated across the Shared and Knowledge categories, per the proportionality principle in Section 3.3.</w:t>
      </w:r>
    </w:p>
    <w:p>
      <w:pPr>
        <w:pStyle w:val="Heading2"/>
        <w:spacing w:after="200" w:before="320"/>
      </w:pPr>
      <w:r>
        <w:t xml:space="preserve">4.7 Platform Business Domains</w:t>
      </w:r>
    </w:p>
    <w:p>
      <w:pPr>
        <w:pStyle w:val="ListParagraph"/>
        <w:numPr>
          <w:ilvl w:val="0"/>
          <w:numId w:val="2"/>
        </w:numPr>
        <w:spacing w:after="100"/>
      </w:pPr>
      <w:r>
        <w:rPr>
          <w:b/>
          <w:bCs/>
        </w:rPr>
        <w:t xml:space="preserve">Platform Shared Services Domain</w:t>
      </w:r>
      <w:r>
        <w:t xml:space="preserve"> — the cross-cutting business-enabling domain (identity, configuration, analytics infrastructure) every other domain depends on operationally.</w:t>
      </w:r>
    </w:p>
    <w:p>
      <w:pPr>
        <w:pStyle w:val="Heading2"/>
        <w:spacing w:after="200" w:before="320"/>
      </w:pPr>
      <w:r>
        <w:t xml:space="preserve">4.8 Future Domains</w:t>
      </w:r>
    </w:p>
    <w:p>
      <w:pPr>
        <w:pStyle w:val="ListParagraph"/>
        <w:numPr>
          <w:ilvl w:val="0"/>
          <w:numId w:val="2"/>
        </w:numPr>
        <w:spacing w:after="100"/>
      </w:pPr>
      <w:r>
        <w:rPr>
          <w:b/>
          <w:bCs/>
        </w:rPr>
        <w:t xml:space="preserve">Employer Domain</w:t>
      </w:r>
      <w:r>
        <w:t xml:space="preserve">, at target-state maturity (Section 11), becomes the platform's second full two-sided-market domain once a first partner is signed.</w:t>
      </w:r>
    </w:p>
    <w:p>
      <w:pPr>
        <w:pStyle w:val="ListParagraph"/>
        <w:numPr>
          <w:ilvl w:val="0"/>
          <w:numId w:val="2"/>
        </w:numPr>
        <w:spacing w:after="100"/>
      </w:pPr>
      <w:r>
        <w:rPr>
          <w:b/>
          <w:bCs/>
        </w:rPr>
        <w:t xml:space="preserve">Career Outcome Intelligence</w:t>
      </w:r>
      <w:r>
        <w:t xml:space="preserve"> is a genuine future domain candidate (Section 2.4, Section 11.3) — not yet evidenced as an implemented domain today, and explicitly not fabricated as current-state.</w:t>
      </w:r>
    </w:p>
    <w:p>
      <w:pPr>
        <w:pStyle w:val="Heading2"/>
        <w:spacing w:after="200" w:before="320"/>
      </w:pPr>
      <w:r>
        <w:t xml:space="preserve">4.9 Governance Domains</w:t>
      </w:r>
    </w:p>
    <w:p>
      <w:pPr>
        <w:pStyle w:val="ListParagraph"/>
        <w:numPr>
          <w:ilvl w:val="0"/>
          <w:numId w:val="2"/>
        </w:numPr>
        <w:spacing w:after="100"/>
      </w:pPr>
      <w:r>
        <w:rPr>
          <w:b/>
          <w:bCs/>
        </w:rPr>
        <w:t xml:space="preserve">Governance Domain</w:t>
      </w:r>
      <w:r>
        <w:t xml:space="preserve"> — architectural conformance and intelligence-quality assurance, keeping every other domain's stated maturity honest over time (EEP-01 Phase I and Phase J).</w:t>
      </w:r>
    </w:p>
    <w:p>
      <w:pPr>
        <w:pStyle w:val="Heading2"/>
        <w:spacing w:after="200" w:before="320"/>
      </w:pPr>
      <w:r>
        <w:t xml:space="preserve">4.10 Complete Domain Map</w:t>
      </w:r>
    </w:p>
    <w:tbl>
      <w:tblPr>
        <w:tblW w:type="dxa" w:w="900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2600"/>
        <w:gridCol w:w="3200"/>
      </w:tblGrid>
      <w:tr>
        <w:trPr>
          <w:tblHeader/>
        </w:trPr>
        <w:tc>
          <w:tcPr>
            <w:tcW w:type="dxa" w:w="3200"/>
            <w:shd w:fill="1F3864" w:color="auto" w:val="clear"/>
            <w:tcMar>
              <w:top w:type="dxa" w:w="80"/>
              <w:left w:type="dxa" w:w="100"/>
              <w:bottom w:type="dxa" w:w="80"/>
              <w:right w:type="dxa" w:w="100"/>
            </w:tcMar>
            <w:vAlign w:val="center"/>
          </w:tcPr>
          <w:p>
            <w:pPr>
              <w:spacing w:after="40"/>
            </w:pPr>
            <w:r>
              <w:rPr>
                <w:b/>
                <w:bCs/>
                <w:color w:val="FFFFFF"/>
                <w:sz w:val="19"/>
                <w:szCs w:val="19"/>
              </w:rPr>
              <w:t xml:space="preserve"/>
            </w:r>
          </w:p>
        </w:tc>
        <w:tc>
          <w:tcPr>
            <w:tcW w:type="dxa" w:w="2600"/>
            <w:shd w:fill="1F3864" w:color="auto" w:val="clear"/>
            <w:tcMar>
              <w:top w:type="dxa" w:w="80"/>
              <w:left w:type="dxa" w:w="100"/>
              <w:bottom w:type="dxa" w:w="80"/>
              <w:right w:type="dxa" w:w="100"/>
            </w:tcMar>
            <w:vAlign w:val="center"/>
          </w:tcPr>
          <w:p>
            <w:pPr>
              <w:spacing w:after="40"/>
            </w:pPr>
            <w:r>
              <w:rPr>
                <w:b/>
                <w:bCs/>
                <w:color w:val="FFFFFF"/>
                <w:sz w:val="19"/>
                <w:szCs w:val="19"/>
              </w:rPr>
              <w:t xml:space="preserve"/>
            </w:r>
          </w:p>
        </w:tc>
        <w:tc>
          <w:tcPr>
            <w:tcW w:type="dxa" w:w="3200"/>
            <w:shd w:fill="1F3864" w:color="auto" w:val="clear"/>
            <w:tcMar>
              <w:top w:type="dxa" w:w="80"/>
              <w:left w:type="dxa" w:w="100"/>
              <w:bottom w:type="dxa" w:w="80"/>
              <w:right w:type="dxa" w:w="100"/>
            </w:tcMar>
            <w:vAlign w:val="center"/>
          </w:tcPr>
          <w:p>
            <w:pPr>
              <w:spacing w:after="40"/>
            </w:pPr>
            <w:r>
              <w:rPr>
                <w:b/>
                <w:bCs/>
                <w:color w:val="FFFFFF"/>
                <w:sz w:val="19"/>
                <w:szCs w:val="19"/>
              </w:rPr>
              <w:t xml:space="preserve"/>
            </w:r>
          </w:p>
        </w:tc>
      </w:tr>
      <w:tr>
        <w:trPr>
          <w:tblHeader w:val="false"/>
        </w:trPr>
        <w:tc>
          <w:tcPr>
            <w:tcW w:type="dxa" w:w="3200"/>
            <w:tcMar>
              <w:top w:type="dxa" w:w="80"/>
              <w:left w:type="dxa" w:w="100"/>
              <w:bottom w:type="dxa" w:w="80"/>
              <w:right w:type="dxa" w:w="100"/>
            </w:tcMar>
            <w:vAlign w:val="center"/>
          </w:tcPr>
          <w:p>
            <w:pPr>
              <w:spacing w:after="40"/>
            </w:pPr>
            <w:r>
              <w:t xml:space="preserve">Career Intelligence Domain</w:t>
            </w:r>
          </w:p>
        </w:tc>
        <w:tc>
          <w:tcPr>
            <w:tcW w:type="dxa" w:w="2600"/>
            <w:tcMar>
              <w:top w:type="dxa" w:w="80"/>
              <w:left w:type="dxa" w:w="100"/>
              <w:bottom w:type="dxa" w:w="80"/>
              <w:right w:type="dxa" w:w="100"/>
            </w:tcMar>
            <w:vAlign w:val="center"/>
          </w:tcPr>
          <w:p>
            <w:pPr>
              <w:spacing w:after="40"/>
            </w:pPr>
            <w:r>
              <w:t xml:space="preserve">Strategic / Core</w:t>
            </w:r>
          </w:p>
        </w:tc>
        <w:tc>
          <w:tcPr>
            <w:tcW w:type="dxa" w:w="3200"/>
            <w:tcMar>
              <w:top w:type="dxa" w:w="80"/>
              <w:left w:type="dxa" w:w="100"/>
              <w:bottom w:type="dxa" w:w="80"/>
              <w:right w:type="dxa" w:w="100"/>
            </w:tcMar>
            <w:vAlign w:val="center"/>
          </w:tcPr>
          <w:p>
            <w:pPr>
              <w:spacing w:after="40"/>
            </w:pPr>
            <w:r>
              <w:t xml:space="preserve">Career Path Intelligence &amp; Recommendation; Career Digital Twin &amp; Simulation; Career Health Assessment; Career Opportunity Radar</w:t>
            </w:r>
          </w:p>
        </w:tc>
      </w:tr>
      <w:tr>
        <w:trPr>
          <w:tblHeader w:val="false"/>
        </w:trPr>
        <w:tc>
          <w:tcPr>
            <w:tcW w:type="dxa" w:w="3200"/>
            <w:shd w:fill="E9EEF5" w:color="auto" w:val="clear"/>
            <w:tcMar>
              <w:top w:type="dxa" w:w="80"/>
              <w:left w:type="dxa" w:w="100"/>
              <w:bottom w:type="dxa" w:w="80"/>
              <w:right w:type="dxa" w:w="100"/>
            </w:tcMar>
            <w:vAlign w:val="center"/>
          </w:tcPr>
          <w:p>
            <w:pPr>
              <w:spacing w:after="40"/>
            </w:pPr>
            <w:r>
              <w:t xml:space="preserve">Academic Intelligence Domain</w:t>
            </w:r>
          </w:p>
        </w:tc>
        <w:tc>
          <w:tcPr>
            <w:tcW w:type="dxa" w:w="2600"/>
            <w:shd w:fill="E9EEF5" w:color="auto" w:val="clear"/>
            <w:tcMar>
              <w:top w:type="dxa" w:w="80"/>
              <w:left w:type="dxa" w:w="100"/>
              <w:bottom w:type="dxa" w:w="80"/>
              <w:right w:type="dxa" w:w="100"/>
            </w:tcMar>
            <w:vAlign w:val="center"/>
          </w:tcPr>
          <w:p>
            <w:pPr>
              <w:spacing w:after="40"/>
            </w:pPr>
            <w:r>
              <w:t xml:space="preserve">Core</w:t>
            </w:r>
          </w:p>
        </w:tc>
        <w:tc>
          <w:tcPr>
            <w:tcW w:type="dxa" w:w="3200"/>
            <w:shd w:fill="E9EEF5" w:color="auto" w:val="clear"/>
            <w:tcMar>
              <w:top w:type="dxa" w:w="80"/>
              <w:left w:type="dxa" w:w="100"/>
              <w:bottom w:type="dxa" w:w="80"/>
              <w:right w:type="dxa" w:w="100"/>
            </w:tcMar>
            <w:vAlign w:val="center"/>
          </w:tcPr>
          <w:p>
            <w:pPr>
              <w:spacing w:after="40"/>
            </w:pPr>
            <w:r>
              <w:t xml:space="preserve">Academic Profile &amp; Context Intelligence; Student Onboarding &amp; Qualification Capture</w:t>
            </w:r>
          </w:p>
        </w:tc>
      </w:tr>
      <w:tr>
        <w:trPr>
          <w:tblHeader w:val="false"/>
        </w:trPr>
        <w:tc>
          <w:tcPr>
            <w:tcW w:type="dxa" w:w="3200"/>
            <w:tcMar>
              <w:top w:type="dxa" w:w="80"/>
              <w:left w:type="dxa" w:w="100"/>
              <w:bottom w:type="dxa" w:w="80"/>
              <w:right w:type="dxa" w:w="100"/>
            </w:tcMar>
            <w:vAlign w:val="center"/>
          </w:tcPr>
          <w:p>
            <w:pPr>
              <w:spacing w:after="40"/>
            </w:pPr>
            <w:r>
              <w:t xml:space="preserve">Knowledge &amp; Market Intelligence Domain</w:t>
            </w:r>
          </w:p>
        </w:tc>
        <w:tc>
          <w:tcPr>
            <w:tcW w:type="dxa" w:w="2600"/>
            <w:tcMar>
              <w:top w:type="dxa" w:w="80"/>
              <w:left w:type="dxa" w:w="100"/>
              <w:bottom w:type="dxa" w:w="80"/>
              <w:right w:type="dxa" w:w="100"/>
            </w:tcMar>
            <w:vAlign w:val="center"/>
          </w:tcPr>
          <w:p>
            <w:pPr>
              <w:spacing w:after="40"/>
            </w:pPr>
            <w:r>
              <w:t xml:space="preserve">Shared / Knowledge / AI-native</w:t>
            </w:r>
          </w:p>
        </w:tc>
        <w:tc>
          <w:tcPr>
            <w:tcW w:type="dxa" w:w="3200"/>
            <w:tcMar>
              <w:top w:type="dxa" w:w="80"/>
              <w:left w:type="dxa" w:w="100"/>
              <w:bottom w:type="dxa" w:w="80"/>
              <w:right w:type="dxa" w:w="100"/>
            </w:tcMar>
            <w:vAlign w:val="center"/>
          </w:tcPr>
          <w:p>
            <w:pPr>
              <w:spacing w:after="40"/>
            </w:pPr>
            <w:r>
              <w:t xml:space="preserve">Skill &amp; Knowledge Graph Management; Knowledge Runtime &amp; Context Assembly; Labor Market &amp; Salary Intelligence; Source &amp; Market Intelligence Curation</w:t>
            </w:r>
          </w:p>
        </w:tc>
      </w:tr>
      <w:tr>
        <w:trPr>
          <w:tblHeader w:val="false"/>
        </w:trPr>
        <w:tc>
          <w:tcPr>
            <w:tcW w:type="dxa" w:w="3200"/>
            <w:shd w:fill="E9EEF5" w:color="auto" w:val="clear"/>
            <w:tcMar>
              <w:top w:type="dxa" w:w="80"/>
              <w:left w:type="dxa" w:w="100"/>
              <w:bottom w:type="dxa" w:w="80"/>
              <w:right w:type="dxa" w:w="100"/>
            </w:tcMar>
            <w:vAlign w:val="center"/>
          </w:tcPr>
          <w:p>
            <w:pPr>
              <w:spacing w:after="40"/>
            </w:pPr>
            <w:r>
              <w:t xml:space="preserve">AI Intelligence Domain</w:t>
            </w:r>
          </w:p>
        </w:tc>
        <w:tc>
          <w:tcPr>
            <w:tcW w:type="dxa" w:w="2600"/>
            <w:shd w:fill="E9EEF5" w:color="auto" w:val="clear"/>
            <w:tcMar>
              <w:top w:type="dxa" w:w="80"/>
              <w:left w:type="dxa" w:w="100"/>
              <w:bottom w:type="dxa" w:w="80"/>
              <w:right w:type="dxa" w:w="100"/>
            </w:tcMar>
            <w:vAlign w:val="center"/>
          </w:tcPr>
          <w:p>
            <w:pPr>
              <w:spacing w:after="40"/>
            </w:pPr>
            <w:r>
              <w:t xml:space="preserve">AI-native / Platform-enabled</w:t>
            </w:r>
          </w:p>
        </w:tc>
        <w:tc>
          <w:tcPr>
            <w:tcW w:type="dxa" w:w="3200"/>
            <w:shd w:fill="E9EEF5" w:color="auto" w:val="clear"/>
            <w:tcMar>
              <w:top w:type="dxa" w:w="80"/>
              <w:left w:type="dxa" w:w="100"/>
              <w:bottom w:type="dxa" w:w="80"/>
              <w:right w:type="dxa" w:w="100"/>
            </w:tcMar>
            <w:vAlign w:val="center"/>
          </w:tcPr>
          <w:p>
            <w:pPr>
              <w:spacing w:after="40"/>
            </w:pPr>
            <w:r>
              <w:t xml:space="preserve">AI Career Advisory &amp; Agentic Orchestration; AI Personalization &amp; Adaptive Weighting; AI Quality &amp; Confidence Governance</w:t>
            </w:r>
          </w:p>
        </w:tc>
      </w:tr>
      <w:tr>
        <w:trPr>
          <w:tblHeader w:val="false"/>
        </w:trPr>
        <w:tc>
          <w:tcPr>
            <w:tcW w:type="dxa" w:w="3200"/>
            <w:tcMar>
              <w:top w:type="dxa" w:w="80"/>
              <w:left w:type="dxa" w:w="100"/>
              <w:bottom w:type="dxa" w:w="80"/>
              <w:right w:type="dxa" w:w="100"/>
            </w:tcMar>
            <w:vAlign w:val="center"/>
          </w:tcPr>
          <w:p>
            <w:pPr>
              <w:spacing w:after="40"/>
            </w:pPr>
            <w:r>
              <w:t xml:space="preserve">Candidate Experience &amp; Growth Domain</w:t>
            </w:r>
          </w:p>
        </w:tc>
        <w:tc>
          <w:tcPr>
            <w:tcW w:type="dxa" w:w="2600"/>
            <w:tcMar>
              <w:top w:type="dxa" w:w="80"/>
              <w:left w:type="dxa" w:w="100"/>
              <w:bottom w:type="dxa" w:w="80"/>
              <w:right w:type="dxa" w:w="100"/>
            </w:tcMar>
            <w:vAlign w:val="center"/>
          </w:tcPr>
          <w:p>
            <w:pPr>
              <w:spacing w:after="40"/>
            </w:pPr>
            <w:r>
              <w:t xml:space="preserve">Core / Supporting</w:t>
            </w:r>
          </w:p>
        </w:tc>
        <w:tc>
          <w:tcPr>
            <w:tcW w:type="dxa" w:w="3200"/>
            <w:tcMar>
              <w:top w:type="dxa" w:w="80"/>
              <w:left w:type="dxa" w:w="100"/>
              <w:bottom w:type="dxa" w:w="80"/>
              <w:right w:type="dxa" w:w="100"/>
            </w:tcMar>
            <w:vAlign w:val="center"/>
          </w:tcPr>
          <w:p>
            <w:pPr>
              <w:spacing w:after="40"/>
            </w:pPr>
            <w:r>
              <w:t xml:space="preserve">Candidate Document Generation; Growth &amp; Progress Tracking; Daily Engagement &amp; Conversion</w:t>
            </w:r>
          </w:p>
        </w:tc>
      </w:tr>
      <w:tr>
        <w:trPr>
          <w:tblHeader w:val="false"/>
        </w:trPr>
        <w:tc>
          <w:tcPr>
            <w:tcW w:type="dxa" w:w="3200"/>
            <w:shd w:fill="E9EEF5" w:color="auto" w:val="clear"/>
            <w:tcMar>
              <w:top w:type="dxa" w:w="80"/>
              <w:left w:type="dxa" w:w="100"/>
              <w:bottom w:type="dxa" w:w="80"/>
              <w:right w:type="dxa" w:w="100"/>
            </w:tcMar>
            <w:vAlign w:val="center"/>
          </w:tcPr>
          <w:p>
            <w:pPr>
              <w:spacing w:after="40"/>
            </w:pPr>
            <w:r>
              <w:t xml:space="preserve">Employer Domain</w:t>
            </w:r>
          </w:p>
        </w:tc>
        <w:tc>
          <w:tcPr>
            <w:tcW w:type="dxa" w:w="2600"/>
            <w:shd w:fill="E9EEF5" w:color="auto" w:val="clear"/>
            <w:tcMar>
              <w:top w:type="dxa" w:w="80"/>
              <w:left w:type="dxa" w:w="100"/>
              <w:bottom w:type="dxa" w:w="80"/>
              <w:right w:type="dxa" w:w="100"/>
            </w:tcMar>
            <w:vAlign w:val="center"/>
          </w:tcPr>
          <w:p>
            <w:pPr>
              <w:spacing w:after="40"/>
            </w:pPr>
            <w:r>
              <w:t xml:space="preserve">Future / Strategic (low maturity)</w:t>
            </w:r>
          </w:p>
        </w:tc>
        <w:tc>
          <w:tcPr>
            <w:tcW w:type="dxa" w:w="3200"/>
            <w:shd w:fill="E9EEF5" w:color="auto" w:val="clear"/>
            <w:tcMar>
              <w:top w:type="dxa" w:w="80"/>
              <w:left w:type="dxa" w:w="100"/>
              <w:bottom w:type="dxa" w:w="80"/>
              <w:right w:type="dxa" w:w="100"/>
            </w:tcMar>
            <w:vAlign w:val="center"/>
          </w:tcPr>
          <w:p>
            <w:pPr>
              <w:spacing w:after="40"/>
            </w:pPr>
            <w:r>
              <w:t xml:space="preserve">Employer Integration &amp; Opportunity Ingestion</w:t>
            </w:r>
          </w:p>
        </w:tc>
      </w:tr>
      <w:tr>
        <w:trPr>
          <w:tblHeader w:val="false"/>
        </w:trPr>
        <w:tc>
          <w:tcPr>
            <w:tcW w:type="dxa" w:w="3200"/>
            <w:tcMar>
              <w:top w:type="dxa" w:w="80"/>
              <w:left w:type="dxa" w:w="100"/>
              <w:bottom w:type="dxa" w:w="80"/>
              <w:right w:type="dxa" w:w="100"/>
            </w:tcMar>
            <w:vAlign w:val="center"/>
          </w:tcPr>
          <w:p>
            <w:pPr>
              <w:spacing w:after="40"/>
            </w:pPr>
            <w:r>
              <w:t xml:space="preserve">Platform Shared Services Domain</w:t>
            </w:r>
          </w:p>
        </w:tc>
        <w:tc>
          <w:tcPr>
            <w:tcW w:type="dxa" w:w="2600"/>
            <w:tcMar>
              <w:top w:type="dxa" w:w="80"/>
              <w:left w:type="dxa" w:w="100"/>
              <w:bottom w:type="dxa" w:w="80"/>
              <w:right w:type="dxa" w:w="100"/>
            </w:tcMar>
            <w:vAlign w:val="center"/>
          </w:tcPr>
          <w:p>
            <w:pPr>
              <w:spacing w:after="40"/>
            </w:pPr>
            <w:r>
              <w:t xml:space="preserve">Shared Enterprise / Platform Business</w:t>
            </w:r>
          </w:p>
        </w:tc>
        <w:tc>
          <w:tcPr>
            <w:tcW w:type="dxa" w:w="3200"/>
            <w:tcMar>
              <w:top w:type="dxa" w:w="80"/>
              <w:left w:type="dxa" w:w="100"/>
              <w:bottom w:type="dxa" w:w="80"/>
              <w:right w:type="dxa" w:w="100"/>
            </w:tcMar>
            <w:vAlign w:val="center"/>
          </w:tcPr>
          <w:p>
            <w:pPr>
              <w:spacing w:after="40"/>
            </w:pPr>
            <w:r>
              <w:t xml:space="preserve">Identity, Roles &amp; Access Administration; Platform Configuration &amp; Secrets Stewardship; User Activity &amp; Behavioral Analytics</w:t>
            </w:r>
          </w:p>
        </w:tc>
      </w:tr>
      <w:tr>
        <w:trPr>
          <w:tblHeader w:val="false"/>
        </w:trPr>
        <w:tc>
          <w:tcPr>
            <w:tcW w:type="dxa" w:w="3200"/>
            <w:shd w:fill="E9EEF5" w:color="auto" w:val="clear"/>
            <w:tcMar>
              <w:top w:type="dxa" w:w="80"/>
              <w:left w:type="dxa" w:w="100"/>
              <w:bottom w:type="dxa" w:w="80"/>
              <w:right w:type="dxa" w:w="100"/>
            </w:tcMar>
            <w:vAlign w:val="center"/>
          </w:tcPr>
          <w:p>
            <w:pPr>
              <w:spacing w:after="40"/>
            </w:pPr>
            <w:r>
              <w:t xml:space="preserve">Governance Domain</w:t>
            </w:r>
          </w:p>
        </w:tc>
        <w:tc>
          <w:tcPr>
            <w:tcW w:type="dxa" w:w="2600"/>
            <w:shd w:fill="E9EEF5" w:color="auto" w:val="clear"/>
            <w:tcMar>
              <w:top w:type="dxa" w:w="80"/>
              <w:left w:type="dxa" w:w="100"/>
              <w:bottom w:type="dxa" w:w="80"/>
              <w:right w:type="dxa" w:w="100"/>
            </w:tcMar>
            <w:vAlign w:val="center"/>
          </w:tcPr>
          <w:p>
            <w:pPr>
              <w:spacing w:after="40"/>
            </w:pPr>
            <w:r>
              <w:t xml:space="preserve">Governance</w:t>
            </w:r>
          </w:p>
        </w:tc>
        <w:tc>
          <w:tcPr>
            <w:tcW w:type="dxa" w:w="3200"/>
            <w:shd w:fill="E9EEF5" w:color="auto" w:val="clear"/>
            <w:tcMar>
              <w:top w:type="dxa" w:w="80"/>
              <w:left w:type="dxa" w:w="100"/>
              <w:bottom w:type="dxa" w:w="80"/>
              <w:right w:type="dxa" w:w="100"/>
            </w:tcMar>
            <w:vAlign w:val="center"/>
          </w:tcPr>
          <w:p>
            <w:pPr>
              <w:spacing w:after="40"/>
            </w:pPr>
            <w:r>
              <w:t xml:space="preserve">Architecture &amp; Engineering Standards Conformance; Intelligence Quality &amp; Drift Monitoring</w:t>
            </w:r>
          </w:p>
        </w:tc>
      </w:tr>
    </w:tbl>
    <w:p>
      <w:pPr>
        <w:spacing w:after="200"/>
      </w:pPr>
    </w:p>
    <w:p>
      <w:pPr>
        <w:pStyle w:val="Heading1"/>
        <w:pageBreakBefore/>
        <w:spacing w:after="200" w:before="480"/>
      </w:pPr>
      <w:r>
        <w:t xml:space="preserve">5. Domain Catalog</w:t>
      </w:r>
    </w:p>
    <w:p>
      <w:pPr>
        <w:spacing w:after="160"/>
        <w:jc w:val="both"/>
      </w:pPr>
      <w:r>
        <w:t xml:space="preserve">Catalog methodology, carried forward from Phase A Section 7: the four domains carrying the platform's core strategic differentiation and shared infrastructure weight — Career Intelligence, Academic Intelligence, Knowledge &amp; Market Intelligence, and AI Intelligence — receive a full profile against every required field. The remaining four domains (Candidate Experience &amp; Growth, Employer, Platform Shared Services, Governance) are catalogued with the same fields condensed, consistent with the same proportionality principle.</w:t>
      </w:r>
    </w:p>
    <w:p>
      <w:pPr>
        <w:pStyle w:val="Heading3"/>
        <w:spacing w:after="200" w:before="320"/>
      </w:pPr>
      <w:r>
        <w:t xml:space="preserve">5.1 Career Intelligence Domain [Strategic / Core]</w:t>
      </w:r>
    </w:p>
    <w:p>
      <w:pPr>
        <w:spacing w:after="160"/>
        <w:jc w:val="both"/>
      </w:pPr>
      <w:r>
        <w:rPr>
          <w:b/>
          <w:bCs/>
        </w:rPr>
        <w:t xml:space="preserve">Purpose:</w:t>
      </w:r>
      <w:r>
        <w:t xml:space="preserve"> Translate a student's academic and skill profile into a longitudinal, explainable career intelligence practice — recommendations, simulation, health scoring, and opportunity matching — rather than a one-time quiz.</w:t>
      </w:r>
    </w:p>
    <w:p>
      <w:pPr>
        <w:spacing w:after="160"/>
        <w:jc w:val="both"/>
      </w:pPr>
      <w:r>
        <w:rPr>
          <w:b/>
          <w:bCs/>
        </w:rPr>
        <w:t xml:space="preserve">Mission:</w:t>
      </w:r>
      <w:r>
        <w:t xml:space="preserve"> Give every HireRise student a continuously updated, trustworthy answer to "what should I do next in my career, and why," grounded in real data wherever real data exists, and honest about where it does not yet.</w:t>
      </w:r>
    </w:p>
    <w:p>
      <w:pPr>
        <w:spacing w:after="160"/>
        <w:jc w:val="both"/>
      </w:pPr>
      <w:r>
        <w:rPr>
          <w:b/>
          <w:bCs/>
        </w:rPr>
        <w:t xml:space="preserve">Business responsibilities:</w:t>
      </w:r>
      <w:r>
        <w:t xml:space="preserve"> Ranking and explaining career/role options; modeling longitudinal career trajectory and what-if scenarios; producing a composite career-health score; surfacing ranked, timely opportunity matches.</w:t>
      </w:r>
    </w:p>
    <w:p>
      <w:pPr>
        <w:spacing w:after="160"/>
        <w:jc w:val="both"/>
      </w:pPr>
      <w:r>
        <w:rPr>
          <w:b/>
          <w:bCs/>
        </w:rPr>
        <w:t xml:space="preserve">Capabilities (from EEP-02 Phase A):</w:t>
      </w:r>
      <w:r>
        <w:t xml:space="preserve"> Career Path Intelligence &amp; Recommendation; Career Digital Twin &amp; Simulation; Career Health Assessment; Career Opportunity Radar (Phase A Sections 7.1–7.4).</w:t>
      </w:r>
    </w:p>
    <w:p>
      <w:pPr>
        <w:spacing w:after="160"/>
        <w:jc w:val="both"/>
      </w:pPr>
      <w:r>
        <w:rPr>
          <w:b/>
          <w:bCs/>
        </w:rPr>
        <w:t xml:space="preserve">Business services:</w:t>
      </w:r>
      <w:r>
        <w:t xml:space="preserve"> career-copilot conversational recommendation service; career-digital-twin simulation interface; careerHealthIndex / chiV2 scoring service; opportunityRadar and jobMatchPremium matching service.</w:t>
      </w:r>
    </w:p>
    <w:p>
      <w:pPr>
        <w:spacing w:after="160"/>
        <w:jc w:val="both"/>
      </w:pPr>
      <w:r>
        <w:rPr>
          <w:b/>
          <w:bCs/>
        </w:rPr>
        <w:t xml:space="preserve">Primary actors:</w:t>
      </w:r>
      <w:r>
        <w:t xml:space="preserve"> Students, directly, across all four capabilities.</w:t>
      </w:r>
    </w:p>
    <w:p>
      <w:pPr>
        <w:spacing w:after="160"/>
        <w:jc w:val="both"/>
      </w:pPr>
      <w:r>
        <w:rPr>
          <w:b/>
          <w:bCs/>
        </w:rPr>
        <w:t xml:space="preserve">Consumers:</w:t>
      </w:r>
      <w:r>
        <w:t xml:space="preserve"> Students via dashboard and copilot; downstream, each of this domain's own capabilities consumes the others' outputs (Section 7); Candidate Experience &amp; Growth Domain consumes recommendations and radar output as document-generation and engagement triggers.</w:t>
      </w:r>
    </w:p>
    <w:p>
      <w:pPr>
        <w:spacing w:after="160"/>
        <w:jc w:val="both"/>
      </w:pPr>
      <w:r>
        <w:rPr>
          <w:b/>
          <w:bCs/>
        </w:rPr>
        <w:t xml:space="preserve">Business value:</w:t>
      </w:r>
      <w:r>
        <w:t xml:space="preserve"> This domain is the platform's core promise: converting overwhelming, generic career choice into a small, evidence-backed, personally relevant, continuously updated shortlist and trajectory view.</w:t>
      </w:r>
    </w:p>
    <w:p>
      <w:pPr>
        <w:spacing w:after="160"/>
        <w:jc w:val="both"/>
      </w:pPr>
      <w:r>
        <w:rPr>
          <w:b/>
          <w:bCs/>
        </w:rPr>
        <w:t xml:space="preserve">Inputs:</w:t>
      </w:r>
      <w:r>
        <w:t xml:space="preserve"> Academic profile and history (from Academic Intelligence Domain); canonical skill/role/job-family taxonomy and market data (from Knowledge &amp; Market Intelligence Domain); AI advisory reasoning (from AI Intelligence Domain).</w:t>
      </w:r>
    </w:p>
    <w:p>
      <w:pPr>
        <w:spacing w:after="160"/>
        <w:jc w:val="both"/>
      </w:pPr>
      <w:r>
        <w:rPr>
          <w:b/>
          <w:bCs/>
        </w:rPr>
        <w:t xml:space="preserve">Outputs:</w:t>
      </w:r>
      <w:r>
        <w:t xml:space="preserve"> Ranked career/role recommendations with explanation; simulated trajectory views; a composite career-health score; ranked opportunity matches.</w:t>
      </w:r>
    </w:p>
    <w:p>
      <w:pPr>
        <w:spacing w:after="160"/>
        <w:jc w:val="both"/>
      </w:pPr>
      <w:r>
        <w:rPr>
          <w:b/>
          <w:bCs/>
        </w:rPr>
        <w:t xml:space="preserve">Dependencies:</w:t>
      </w:r>
      <w:r>
        <w:t xml:space="preserve"> Academic Intelligence Domain (profile input); Knowledge &amp; Market Intelligence Domain (taxonomy and market data — currently the domain's binding real-world-maturity constraint); AI Intelligence Domain (agentic reasoning); Employer Domain (for Career Opportunity Radar's live-feed target state, currently unmet).</w:t>
      </w:r>
    </w:p>
    <w:p>
      <w:pPr>
        <w:spacing w:after="160"/>
        <w:jc w:val="both"/>
      </w:pPr>
      <w:r>
        <w:rPr>
          <w:b/>
          <w:bCs/>
        </w:rPr>
        <w:t xml:space="preserve">Supporting EEP-01 architecture:</w:t>
      </w:r>
      <w:r>
        <w:t xml:space="preserve"> EEP-01 Phase A (Physical Data Model — the academic history this domain simulates and scores over); Phase E (Integration Architecture — the mock-data ceiling on market-dependent capabilities); Phase F (AI &amp; Agentic Architecture — the copilot/agent layer).</w:t>
      </w:r>
    </w:p>
    <w:p>
      <w:pPr>
        <w:spacing w:after="160"/>
        <w:jc w:val="both"/>
      </w:pPr>
      <w:r>
        <w:rPr>
          <w:b/>
          <w:bCs/>
        </w:rPr>
        <w:t xml:space="preserve">Current maturity:</w:t>
      </w:r>
      <w:r>
        <w:t xml:space="preserve"> Level 3 — Managed overall (compound: Level 4 for the AI-Native Career Path capability's supporting agent infrastructure per Phase A Section 9; Level 1 for Career Digital Twin &amp; Simulation, which exists only as a public interface shell; Level 2 for Career Opportunity Radar, capped by mock market data).</w:t>
      </w:r>
    </w:p>
    <w:p>
      <w:pPr>
        <w:spacing w:after="160"/>
        <w:jc w:val="both"/>
      </w:pPr>
      <w:r>
        <w:rPr>
          <w:b/>
          <w:bCs/>
        </w:rPr>
        <w:t xml:space="preserve">Target maturity:</w:t>
      </w:r>
      <w:r>
        <w:t xml:space="preserve"> Level 4 — Integrated, once live labor-market data (via Knowledge &amp; Market Intelligence) and a live Employer Domain feed remove the domain's two structural, external-dependency ceilings.</w:t>
      </w:r>
    </w:p>
    <w:p>
      <w:pPr>
        <w:spacing w:after="160"/>
        <w:jc w:val="both"/>
      </w:pPr>
      <w:r>
        <w:rPr>
          <w:b/>
          <w:bCs/>
        </w:rPr>
        <w:t xml:space="preserve">KPIs:</w:t>
      </w:r>
      <w:r>
        <w:t xml:space="preserve"> Recommendation acceptance rate; recommendation-to-application conversion; career-health score-to-outcome correlation; opportunity match relevance and conversion; simulation usage rate once populated.</w:t>
      </w:r>
    </w:p>
    <w:p>
      <w:pPr>
        <w:spacing w:after="160"/>
        <w:jc w:val="both"/>
      </w:pPr>
      <w:r>
        <w:rPr>
          <w:b/>
          <w:bCs/>
        </w:rPr>
        <w:t xml:space="preserve">Risks:</w:t>
      </w:r>
      <w:r>
        <w:t xml:space="preserve"> Three of this domain's four capabilities inherit Knowledge &amp; Market Intelligence's mock-data ceiling, meaning the domain's real-world credibility is bounded by a dependency it does not control (Section 14).</w:t>
      </w:r>
    </w:p>
    <w:p>
      <w:pPr>
        <w:spacing w:after="160"/>
        <w:jc w:val="both"/>
      </w:pPr>
      <w:r>
        <w:rPr>
          <w:b/>
          <w:bCs/>
        </w:rPr>
        <w:t xml:space="preserve">Future evolution:</w:t>
      </w:r>
      <w:r>
        <w:t xml:space="preserve"> Short-term: make mock-data provenance visible in-product across all affected capabilities. Medium-term: populate Career Digital Twin against real multi-year academic history; define the chiV2 cutover. Long-term: full domain maturity gated on Employer Domain and Knowledge &amp; Market Intelligence Domain both reaching live-data states.</w:t>
      </w:r>
    </w:p>
    <w:p>
      <w:pPr>
        <w:pStyle w:val="Heading3"/>
        <w:spacing w:after="200" w:before="320"/>
      </w:pPr>
      <w:r>
        <w:t xml:space="preserve">5.2 Academic Intelligence Domain [Core]</w:t>
      </w:r>
    </w:p>
    <w:p>
      <w:pPr>
        <w:spacing w:after="160"/>
        <w:jc w:val="both"/>
      </w:pPr>
      <w:r>
        <w:rPr>
          <w:b/>
          <w:bCs/>
        </w:rPr>
        <w:t xml:space="preserve">Purpose:</w:t>
      </w:r>
      <w:r>
        <w:t xml:space="preserve"> Maintain a single, trustworthy, longitudinal academic and demographic profile per student, across countries and education systems, as the foundational data asset the entire platform is built on.</w:t>
      </w:r>
    </w:p>
    <w:p>
      <w:pPr>
        <w:spacing w:after="160"/>
        <w:jc w:val="both"/>
      </w:pPr>
      <w:r>
        <w:rPr>
          <w:b/>
          <w:bCs/>
        </w:rPr>
        <w:t xml:space="preserve">Mission:</w:t>
      </w:r>
      <w:r>
        <w:t xml:space="preserve"> Be the one place every other domain can trust for "who is this student, academically, right now, and how did they get here" — without each downstream domain needing its own copy of that truth.</w:t>
      </w:r>
    </w:p>
    <w:p>
      <w:pPr>
        <w:spacing w:after="160"/>
        <w:jc w:val="both"/>
      </w:pPr>
      <w:r>
        <w:rPr>
          <w:b/>
          <w:bCs/>
        </w:rPr>
        <w:t xml:space="preserve">Business responsibilities:</w:t>
      </w:r>
      <w:r>
        <w:t xml:space="preserve"> Structured intake of documents, qualifications, and onboarding steps; maintenance of a partitioned, versioned, PII-classified academic and demographic record; protective-by-default data handling for a predominantly-minor population.</w:t>
      </w:r>
    </w:p>
    <w:p>
      <w:pPr>
        <w:spacing w:after="160"/>
        <w:jc w:val="both"/>
      </w:pPr>
      <w:r>
        <w:rPr>
          <w:b/>
          <w:bCs/>
        </w:rPr>
        <w:t xml:space="preserve">Capabilities (from EEP-02 Phase A):</w:t>
      </w:r>
      <w:r>
        <w:t xml:space="preserve"> Academic Profile &amp; Context Intelligence; Student Onboarding &amp; Qualification Capture (Phase A Section 7.5, 7.11).</w:t>
      </w:r>
    </w:p>
    <w:p>
      <w:pPr>
        <w:spacing w:after="160"/>
        <w:jc w:val="both"/>
      </w:pPr>
      <w:r>
        <w:rPr>
          <w:b/>
          <w:bCs/>
        </w:rPr>
        <w:t xml:space="preserve">Business services:</w:t>
      </w:r>
      <w:r>
        <w:t xml:space="preserve"> education-intelligence, student-onboarding, school, university backend modules; matching front/src student-onboarding features and hooks.</w:t>
      </w:r>
    </w:p>
    <w:p>
      <w:pPr>
        <w:spacing w:after="160"/>
        <w:jc w:val="both"/>
      </w:pPr>
      <w:r>
        <w:rPr>
          <w:b/>
          <w:bCs/>
        </w:rPr>
        <w:t xml:space="preserve">Primary actors:</w:t>
      </w:r>
      <w:r>
        <w:t xml:space="preserve"> Students; for minors, their guardians (per EEP-01 Phase B's protective posture); schools/universities as target-state data partners.</w:t>
      </w:r>
    </w:p>
    <w:p>
      <w:pPr>
        <w:spacing w:after="160"/>
        <w:jc w:val="both"/>
      </w:pPr>
      <w:r>
        <w:rPr>
          <w:b/>
          <w:bCs/>
        </w:rPr>
        <w:t xml:space="preserve">Consumers:</w:t>
      </w:r>
      <w:r>
        <w:t xml:space="preserve"> Every capability in the Career Intelligence Domain; Skill &amp; Knowledge Graph Management; per EEP-01 Phase B, at least ten named downstream AI/runtime systems overall — the single most widely shared domain output in the platform (Section 7.3).</w:t>
      </w:r>
    </w:p>
    <w:p>
      <w:pPr>
        <w:spacing w:after="160"/>
        <w:jc w:val="both"/>
      </w:pPr>
      <w:r>
        <w:rPr>
          <w:b/>
          <w:bCs/>
        </w:rPr>
        <w:t xml:space="preserve">Business value:</w:t>
      </w:r>
      <w:r>
        <w:t xml:space="preserve"> The foundational data asset every other intelligence domain is built on; its trustworthiness is the platform's single most consequential dependency.</w:t>
      </w:r>
    </w:p>
    <w:p>
      <w:pPr>
        <w:spacing w:after="160"/>
        <w:jc w:val="both"/>
      </w:pPr>
      <w:r>
        <w:rPr>
          <w:b/>
          <w:bCs/>
        </w:rPr>
        <w:t xml:space="preserve">Inputs:</w:t>
      </w:r>
      <w:r>
        <w:t xml:space="preserve"> Onboarding uploads (documents, self-reported data); school/board/curriculum reference data; ongoing academic record updates.</w:t>
      </w:r>
    </w:p>
    <w:p>
      <w:pPr>
        <w:spacing w:after="160"/>
        <w:jc w:val="both"/>
      </w:pPr>
      <w:r>
        <w:rPr>
          <w:b/>
          <w:bCs/>
        </w:rPr>
        <w:t xml:space="preserve">Outputs:</w:t>
      </w:r>
      <w:r>
        <w:t xml:space="preserve"> A trustworthy academic context object consumed by every downstream intelligence domain.</w:t>
      </w:r>
    </w:p>
    <w:p>
      <w:pPr>
        <w:spacing w:after="160"/>
        <w:jc w:val="both"/>
      </w:pPr>
      <w:r>
        <w:rPr>
          <w:b/>
          <w:bCs/>
        </w:rPr>
        <w:t xml:space="preserve">Dependencies:</w:t>
      </w:r>
      <w:r>
        <w:t xml:space="preserve"> None upstream within the business-domain layer — this is a source domain. Operationally depends on Platform Shared Services Domain for identity and access control.</w:t>
      </w:r>
    </w:p>
    <w:p>
      <w:pPr>
        <w:spacing w:after="160"/>
        <w:jc w:val="both"/>
      </w:pPr>
      <w:r>
        <w:rPr>
          <w:b/>
          <w:bCs/>
        </w:rPr>
        <w:t xml:space="preserve">Supporting EEP-01 architecture:</w:t>
      </w:r>
      <w:r>
        <w:t xml:space="preserve"> Direct realization of EEP-01 Phase A (26-table Canonical Student Academic Domain: 10 domain + 16 reference entities) and Phase B (Security Architecture — RLS isolation, column-level protection, minor-protective posture), neither redesigned here.</w:t>
      </w:r>
    </w:p>
    <w:p>
      <w:pPr>
        <w:spacing w:after="160"/>
        <w:jc w:val="both"/>
      </w:pPr>
      <w:r>
        <w:rPr>
          <w:b/>
          <w:bCs/>
        </w:rPr>
        <w:t xml:space="preserve">Current maturity:</w:t>
      </w:r>
      <w:r>
        <w:t xml:space="preserve"> Level 4 — Integrated. A fully specified, partitioned, PII-classified physical model already exists and is explicitly designed as the shared input to ten-plus downstream systems.</w:t>
      </w:r>
    </w:p>
    <w:p>
      <w:pPr>
        <w:spacing w:after="160"/>
        <w:jc w:val="both"/>
      </w:pPr>
      <w:r>
        <w:rPr>
          <w:b/>
          <w:bCs/>
        </w:rPr>
        <w:t xml:space="preserve">Target maturity:</w:t>
      </w:r>
      <w:r>
        <w:t xml:space="preserve"> Level 5 — Optimized, once live partner (school/university) data feeds replace self-reported-only intake for at least a meaningful subset of students.</w:t>
      </w:r>
    </w:p>
    <w:p>
      <w:pPr>
        <w:spacing w:after="160"/>
        <w:jc w:val="both"/>
      </w:pPr>
      <w:r>
        <w:rPr>
          <w:b/>
          <w:bCs/>
        </w:rPr>
        <w:t xml:space="preserve">KPIs:</w:t>
      </w:r>
      <w:r>
        <w:t xml:space="preserve"> Profile completeness rate; data freshness; downstream consumer error rate attributable to stale/incomplete profile data.</w:t>
      </w:r>
    </w:p>
    <w:p>
      <w:pPr>
        <w:spacing w:after="160"/>
        <w:jc w:val="both"/>
      </w:pPr>
      <w:r>
        <w:rPr>
          <w:b/>
          <w:bCs/>
        </w:rPr>
        <w:t xml:space="preserve">Risks:</w:t>
      </w:r>
      <w:r>
        <w:t xml:space="preserve"> As the single most-depended-on domain, any data-quality or availability issue here has the widest blast radius of any domain failure on the platform (Section 14).</w:t>
      </w:r>
    </w:p>
    <w:p>
      <w:pPr>
        <w:spacing w:after="160"/>
        <w:jc w:val="both"/>
      </w:pPr>
      <w:r>
        <w:rPr>
          <w:b/>
          <w:bCs/>
        </w:rPr>
        <w:t xml:space="preserve">Future evolution:</w:t>
      </w:r>
      <w:r>
        <w:t xml:space="preserve"> Short-term: none required at the data-model level (already mature); focus is on downstream consumption quality. Medium-term: first academic-partner live data feed. Long-term: cross-institution academic-profile portability.</w:t>
      </w:r>
    </w:p>
    <w:p>
      <w:pPr>
        <w:pStyle w:val="Heading3"/>
        <w:spacing w:after="200" w:before="320"/>
      </w:pPr>
      <w:r>
        <w:t xml:space="preserve">5.3 Knowledge &amp; Market Intelligence Domain [AI-native / Shared / Knowledge]</w:t>
      </w:r>
    </w:p>
    <w:p>
      <w:pPr>
        <w:spacing w:after="160"/>
        <w:jc w:val="both"/>
      </w:pPr>
      <w:r>
        <w:rPr>
          <w:b/>
          <w:bCs/>
        </w:rPr>
        <w:t xml:space="preserve">Purpose:</w:t>
      </w:r>
      <w:r>
        <w:t xml:space="preserve"> Maintain the living, versioned vocabulary of skills, roles, and job families, and the labor-market and salary data, that every intelligence-producing domain compares a student against.</w:t>
      </w:r>
    </w:p>
    <w:p>
      <w:pPr>
        <w:spacing w:after="160"/>
        <w:jc w:val="both"/>
      </w:pPr>
      <w:r>
        <w:rPr>
          <w:b/>
          <w:bCs/>
        </w:rPr>
        <w:t xml:space="preserve">Mission:</w:t>
      </w:r>
      <w:r>
        <w:t xml:space="preserve"> Be the shared source of truth for "what does the market actually look like" so that every recommendation, match, and score in the platform is grounded in the same structure and the same data, not several competing copies of it.</w:t>
      </w:r>
    </w:p>
    <w:p>
      <w:pPr>
        <w:spacing w:after="160"/>
        <w:jc w:val="both"/>
      </w:pPr>
      <w:r>
        <w:rPr>
          <w:b/>
          <w:bCs/>
        </w:rPr>
        <w:t xml:space="preserve">Business responsibilities:</w:t>
      </w:r>
      <w:r>
        <w:t xml:space="preserve"> Versioned skill/role/job-family graph maintenance; runtime context assembly for AI consumption; salary and labor-market benchmark provision; curation of external data-source quality and provenance.</w:t>
      </w:r>
    </w:p>
    <w:p>
      <w:pPr>
        <w:spacing w:after="160"/>
        <w:jc w:val="both"/>
      </w:pPr>
      <w:r>
        <w:rPr>
          <w:b/>
          <w:bCs/>
        </w:rPr>
        <w:t xml:space="preserve">Capabilities (from EEP-02 Phase A):</w:t>
      </w:r>
      <w:r>
        <w:t xml:space="preserve"> Skill &amp; Knowledge Graph Management; Knowledge Runtime &amp; Context Assembly; Labor Market &amp; Salary Intelligence; Source &amp; Market Intelligence Curation (Phase A Sections 7.6–7.7, 7.11).</w:t>
      </w:r>
    </w:p>
    <w:p>
      <w:pPr>
        <w:spacing w:after="160"/>
        <w:jc w:val="both"/>
      </w:pPr>
      <w:r>
        <w:rPr>
          <w:b/>
          <w:bCs/>
        </w:rPr>
        <w:t xml:space="preserve">Business services:</w:t>
      </w:r>
      <w:r>
        <w:t xml:space="preserve"> skillGraph, skillDemand, skill-evolution, skill-prioritization, knowledge-runtime, labor-market-intelligence, marketIntelligence, salary, salaryImport, source-intelligence backend modules; the populated hirerise_taxonomy.json canonical dataset.</w:t>
      </w:r>
    </w:p>
    <w:p>
      <w:pPr>
        <w:spacing w:after="160"/>
        <w:jc w:val="both"/>
      </w:pPr>
      <w:r>
        <w:rPr>
          <w:b/>
          <w:bCs/>
        </w:rPr>
        <w:t xml:space="preserve">Primary actors:</w:t>
      </w:r>
      <w:r>
        <w:t xml:space="preserve"> No direct end-user actor — this domain is entirely a shared-infrastructure domain serving other domains.</w:t>
      </w:r>
    </w:p>
    <w:p>
      <w:pPr>
        <w:spacing w:after="160"/>
        <w:jc w:val="both"/>
      </w:pPr>
      <w:r>
        <w:rPr>
          <w:b/>
          <w:bCs/>
        </w:rPr>
        <w:t xml:space="preserve">Consumers:</w:t>
      </w:r>
      <w:r>
        <w:t xml:space="preserve"> Career Intelligence Domain (all four capabilities); AI Intelligence Domain (context assembly for agentic advisory); Candidate Experience &amp; Growth Domain (document generation tailoring).</w:t>
      </w:r>
    </w:p>
    <w:p>
      <w:pPr>
        <w:spacing w:after="160"/>
        <w:jc w:val="both"/>
      </w:pPr>
      <w:r>
        <w:rPr>
          <w:b/>
          <w:bCs/>
        </w:rPr>
        <w:t xml:space="preserve">Business value:</w:t>
      </w:r>
      <w:r>
        <w:t xml:space="preserve"> The credibility layer behind every skill claim, role match, and dollar/rupee figure the platform presents to a student; without it, every other intelligence domain would be reasoning in a vacuum.</w:t>
      </w:r>
    </w:p>
    <w:p>
      <w:pPr>
        <w:spacing w:after="160"/>
        <w:jc w:val="both"/>
      </w:pPr>
      <w:r>
        <w:rPr>
          <w:b/>
          <w:bCs/>
        </w:rPr>
        <w:t xml:space="preserve">Inputs:</w:t>
      </w:r>
      <w:r>
        <w:t xml:space="preserve"> Canonical taxonomy seed data; seed CSV salary/benchmark datasets (Career data/salary-benchmarks.csv); target-state live employer/job-board and market feeds.</w:t>
      </w:r>
    </w:p>
    <w:p>
      <w:pPr>
        <w:spacing w:after="160"/>
        <w:jc w:val="both"/>
      </w:pPr>
      <w:r>
        <w:rPr>
          <w:b/>
          <w:bCs/>
        </w:rPr>
        <w:t xml:space="preserve">Outputs:</w:t>
      </w:r>
      <w:r>
        <w:t xml:space="preserve"> A versioned skill/role/job-family graph; skill-demand trend signals; salary benchmarks and demand signals; runtime-assembled knowledge context objects.</w:t>
      </w:r>
    </w:p>
    <w:p>
      <w:pPr>
        <w:spacing w:after="160"/>
        <w:jc w:val="both"/>
      </w:pPr>
      <w:r>
        <w:rPr>
          <w:b/>
          <w:bCs/>
        </w:rPr>
        <w:t xml:space="preserve">Dependencies:</w:t>
      </w:r>
      <w:r>
        <w:t xml:space="preserve"> Employer Domain, as the eventual live-feed source for real labor-market data — currently the domain's binding external constraint (Phase A Section 7.7); no dependency on any other business domain.</w:t>
      </w:r>
    </w:p>
    <w:p>
      <w:pPr>
        <w:spacing w:after="160"/>
        <w:jc w:val="both"/>
      </w:pPr>
      <w:r>
        <w:rPr>
          <w:b/>
          <w:bCs/>
        </w:rPr>
        <w:t xml:space="preserve">Supporting EEP-01 architecture:</w:t>
      </w:r>
      <w:r>
        <w:t xml:space="preserve"> EEP-01 Phase A's taxonomy-versioning convention (every code-reference column paired with a taxonomy_version_id) is this domain's technical backbone; Phase E is authoritative on this domain's current-state ceiling (mock collection, not a live partner feed).</w:t>
      </w:r>
    </w:p>
    <w:p>
      <w:pPr>
        <w:spacing w:after="160"/>
        <w:jc w:val="both"/>
      </w:pPr>
      <w:r>
        <w:rPr>
          <w:b/>
          <w:bCs/>
        </w:rPr>
        <w:t xml:space="preserve">Current maturity:</w:t>
      </w:r>
      <w:r>
        <w:t xml:space="preserve"> Level 3 — Managed for Skill &amp; Knowledge Graph Management and Knowledge Runtime &amp; Context Assembly; Level 2 — Emerging for Labor Market &amp; Salary Intelligence and Source &amp; Market Intelligence Curation, both capped by mock data collection.</w:t>
      </w:r>
    </w:p>
    <w:p>
      <w:pPr>
        <w:spacing w:after="160"/>
        <w:jc w:val="both"/>
      </w:pPr>
      <w:r>
        <w:rPr>
          <w:b/>
          <w:bCs/>
        </w:rPr>
        <w:t xml:space="preserve">Target maturity:</w:t>
      </w:r>
      <w:r>
        <w:t xml:space="preserve"> Level 4 — Integrated across the domain, gated on the same first-signed-partner-contract trigger as the Employer Domain.</w:t>
      </w:r>
    </w:p>
    <w:p>
      <w:pPr>
        <w:spacing w:after="160"/>
        <w:jc w:val="both"/>
      </w:pPr>
      <w:r>
        <w:rPr>
          <w:b/>
          <w:bCs/>
        </w:rPr>
        <w:t xml:space="preserve">KPIs:</w:t>
      </w:r>
      <w:r>
        <w:t xml:space="preserve"> Taxonomy coverage vs. real-world job postings; graph and feed freshness; downstream domain confidence/error rate attributable to this domain's inputs.</w:t>
      </w:r>
    </w:p>
    <w:p>
      <w:pPr>
        <w:spacing w:after="160"/>
        <w:jc w:val="both"/>
      </w:pPr>
      <w:r>
        <w:rPr>
          <w:b/>
          <w:bCs/>
        </w:rPr>
        <w:t xml:space="preserve">Risks:</w:t>
      </w:r>
      <w:r>
        <w:t xml:space="preserve"> This is the single highest-leverage domain-level gap in the current architecture — every domain that reasons about the real world (Career Intelligence, Candidate Experience) inherits this domain's mock-data limitation (Section 14).</w:t>
      </w:r>
    </w:p>
    <w:p>
      <w:pPr>
        <w:spacing w:after="160"/>
        <w:jc w:val="both"/>
      </w:pPr>
      <w:r>
        <w:rPr>
          <w:b/>
          <w:bCs/>
        </w:rPr>
        <w:t xml:space="preserve">Future evolution:</w:t>
      </w:r>
      <w:r>
        <w:t xml:space="preserve"> Short-term: audit taxonomy coverage; make data provenance (seed vs. live) visible wherever consumed. Medium-term: connect to a live market feed once Employer Domain activates. Long-term: multi-source cross-validation; public taxonomy API for academic/employer partners.</w:t>
      </w:r>
    </w:p>
    <w:p>
      <w:pPr>
        <w:pStyle w:val="Heading3"/>
        <w:spacing w:after="200" w:before="320"/>
      </w:pPr>
      <w:r>
        <w:t xml:space="preserve">5.4 AI Intelligence Domain [AI-native / Platform-enabled]</w:t>
      </w:r>
    </w:p>
    <w:p>
      <w:pPr>
        <w:spacing w:after="160"/>
        <w:jc w:val="both"/>
      </w:pPr>
      <w:r>
        <w:rPr>
          <w:b/>
          <w:bCs/>
        </w:rPr>
        <w:t xml:space="preserve">Purpose:</w:t>
      </w:r>
      <w:r>
        <w:t xml:space="preserve"> Deliver conversational, agentic career guidance and AI-driven personalization, coordinated across multiple specialized agents, with governed confidence and quality behavior.</w:t>
      </w:r>
    </w:p>
    <w:p>
      <w:pPr>
        <w:spacing w:after="160"/>
        <w:jc w:val="both"/>
      </w:pPr>
      <w:r>
        <w:rPr>
          <w:b/>
          <w:bCs/>
        </w:rPr>
        <w:t xml:space="preserve">Mission:</w:t>
      </w:r>
      <w:r>
        <w:t xml:space="preserve"> Be the platform's AI-native reasoning layer — the thing that lets HireRise respond, adapt, and reason across a student's situation in real time, rather than only presenting static, pre-computed outputs — while keeping that reasoning provider-resilient, explainable, and auditable.</w:t>
      </w:r>
    </w:p>
    <w:p>
      <w:pPr>
        <w:spacing w:after="160"/>
        <w:jc w:val="both"/>
      </w:pPr>
      <w:r>
        <w:rPr>
          <w:b/>
          <w:bCs/>
        </w:rPr>
        <w:t xml:space="preserve">Business responsibilities:</w:t>
      </w:r>
      <w:r>
        <w:t xml:space="preserve"> Multi-agent conversational advisory and orchestration; per-student adaptive weighting of recommendations and scores; confidence-language management, shadow evaluation, and circuit-breaking of AI outputs.</w:t>
      </w:r>
    </w:p>
    <w:p>
      <w:pPr>
        <w:spacing w:after="160"/>
        <w:jc w:val="both"/>
      </w:pPr>
      <w:r>
        <w:rPr>
          <w:b/>
          <w:bCs/>
        </w:rPr>
        <w:t xml:space="preserve">Capabilities (from EEP-02 Phase A):</w:t>
      </w:r>
      <w:r>
        <w:t xml:space="preserve"> AI Career Advisory &amp; Agentic Orchestration; AI Personalization &amp; Adaptive Weighting; AI Quality &amp; Confidence Governance (Phase A Sections 7.8, 7.11).</w:t>
      </w:r>
    </w:p>
    <w:p>
      <w:pPr>
        <w:spacing w:after="160"/>
        <w:jc w:val="both"/>
      </w:pPr>
      <w:r>
        <w:rPr>
          <w:b/>
          <w:bCs/>
        </w:rPr>
        <w:t xml:space="preserve">Business services:</w:t>
      </w:r>
      <w:r>
        <w:t xml:space="preserve"> ai-career-advisor, ava-memory, career-copilot's six agent classes, careerAgentCoordinator.js, adaptiveWeight, and dedicated confidence/circuit-breaker/shadow-evaluation modules.</w:t>
      </w:r>
    </w:p>
    <w:p>
      <w:pPr>
        <w:spacing w:after="160"/>
        <w:jc w:val="both"/>
      </w:pPr>
      <w:r>
        <w:rPr>
          <w:b/>
          <w:bCs/>
        </w:rPr>
        <w:t xml:space="preserve">Primary actors:</w:t>
      </w:r>
      <w:r>
        <w:t xml:space="preserve"> Students, directly, via conversational advisory.</w:t>
      </w:r>
    </w:p>
    <w:p>
      <w:pPr>
        <w:spacing w:after="160"/>
        <w:jc w:val="both"/>
      </w:pPr>
      <w:r>
        <w:rPr>
          <w:b/>
          <w:bCs/>
        </w:rPr>
        <w:t xml:space="preserve">Consumers:</w:t>
      </w:r>
      <w:r>
        <w:t xml:space="preserve"> Career Intelligence Domain (agent outputs feed recommendations directly); Candidate Experience &amp; Growth Domain (generation quality).</w:t>
      </w:r>
    </w:p>
    <w:p>
      <w:pPr>
        <w:spacing w:after="160"/>
        <w:jc w:val="both"/>
      </w:pPr>
      <w:r>
        <w:rPr>
          <w:b/>
          <w:bCs/>
        </w:rPr>
        <w:t xml:space="preserve">Business value:</w:t>
      </w:r>
      <w:r>
        <w:t xml:space="preserve"> The platform's primary AI-native differentiator — advisory depth and responsiveness a static recommendation list cannot match; by Phase A's own assessment, this domain carries the most mature technical investment on the platform.</w:t>
      </w:r>
    </w:p>
    <w:p>
      <w:pPr>
        <w:spacing w:after="160"/>
        <w:jc w:val="both"/>
      </w:pPr>
      <w:r>
        <w:rPr>
          <w:b/>
          <w:bCs/>
        </w:rPr>
        <w:t xml:space="preserve">Inputs:</w:t>
      </w:r>
      <w:r>
        <w:t xml:space="preserve"> Student conversation/queries; academic and career-recommendation context (from Academic Intelligence and Career Intelligence Domains); memory of prior interactions (ava-memory).</w:t>
      </w:r>
    </w:p>
    <w:p>
      <w:pPr>
        <w:spacing w:after="160"/>
        <w:jc w:val="both"/>
      </w:pPr>
      <w:r>
        <w:rPr>
          <w:b/>
          <w:bCs/>
        </w:rPr>
        <w:t xml:space="preserve">Outputs:</w:t>
      </w:r>
      <w:r>
        <w:t xml:space="preserve"> Conversational guidance; agent-driven task execution; personalization weight adjustments; governed, confidence-scored AI outputs consumed by other domains.</w:t>
      </w:r>
    </w:p>
    <w:p>
      <w:pPr>
        <w:spacing w:after="160"/>
        <w:jc w:val="both"/>
      </w:pPr>
      <w:r>
        <w:rPr>
          <w:b/>
          <w:bCs/>
        </w:rPr>
        <w:t xml:space="preserve">Dependencies:</w:t>
      </w:r>
      <w:r>
        <w:t xml:space="preserve"> Knowledge &amp; Market Intelligence Domain (context assembly); Academic Intelligence Domain (profile context); no dependency on Employer Domain today.</w:t>
      </w:r>
    </w:p>
    <w:p>
      <w:pPr>
        <w:spacing w:after="160"/>
        <w:jc w:val="both"/>
      </w:pPr>
      <w:r>
        <w:rPr>
          <w:b/>
          <w:bCs/>
        </w:rPr>
        <w:t xml:space="preserve">Supporting EEP-01 architecture:</w:t>
      </w:r>
      <w:r>
        <w:t xml:space="preserve"> Direct realization of EEP-01 Phase F (AI &amp; Intelligent Automation Architecture), which records this domain as "materially more mature" than the rest of the codebase; depends on Phase E's provider abstraction and circuit breaker.</w:t>
      </w:r>
    </w:p>
    <w:p>
      <w:pPr>
        <w:spacing w:after="160"/>
        <w:jc w:val="both"/>
      </w:pPr>
      <w:r>
        <w:rPr>
          <w:b/>
          <w:bCs/>
        </w:rPr>
        <w:t xml:space="preserve">Current maturity:</w:t>
      </w:r>
      <w:r>
        <w:t xml:space="preserve"> Level 4 — Integrated for AI Career Advisory &amp; Agentic Orchestration (five-provider fallback and six-agent coordinator already in production); Level 2 — Emerging for AI Personalization &amp; Adaptive Weighting (implemented, not yet outcome-validated); Level 3 — Managed for AI Quality &amp; Confidence Governance.</w:t>
      </w:r>
    </w:p>
    <w:p>
      <w:pPr>
        <w:spacing w:after="160"/>
        <w:jc w:val="both"/>
      </w:pPr>
      <w:r>
        <w:rPr>
          <w:b/>
          <w:bCs/>
        </w:rPr>
        <w:t xml:space="preserve">Target maturity:</w:t>
      </w:r>
      <w:r>
        <w:t xml:space="preserve"> Level 5 — Optimized, reached when agents plan their own multi-step tool sequence (full agentic autonomy) rather than executing a fixed run(), per EEP-01 Phase F Part 8's explicit trigger.</w:t>
      </w:r>
    </w:p>
    <w:p>
      <w:pPr>
        <w:spacing w:after="160"/>
        <w:jc w:val="both"/>
      </w:pPr>
      <w:r>
        <w:rPr>
          <w:b/>
          <w:bCs/>
        </w:rPr>
        <w:t xml:space="preserve">KPIs:</w:t>
      </w:r>
      <w:r>
        <w:t xml:space="preserve"> Advisory session completion rate; agent task success rate; provider fallback frequency; personalization outcome-validation rate; AI Quality flag rate.</w:t>
      </w:r>
    </w:p>
    <w:p>
      <w:pPr>
        <w:spacing w:after="160"/>
        <w:jc w:val="both"/>
      </w:pPr>
      <w:r>
        <w:rPr>
          <w:b/>
          <w:bCs/>
        </w:rPr>
        <w:t xml:space="preserve">Risks:</w:t>
      </w:r>
      <w:r>
        <w:t xml:space="preserve"> Highest AI-vendor concentration risk of any domain, by virtue of being the platform's heaviest external-AI consumer; carries the platform's primary responsible-AI/explainability burden given the minor-heavy user base (Section 14).</w:t>
      </w:r>
    </w:p>
    <w:p>
      <w:pPr>
        <w:spacing w:after="160"/>
        <w:jc w:val="both"/>
      </w:pPr>
      <w:r>
        <w:rPr>
          <w:b/>
          <w:bCs/>
        </w:rPr>
        <w:t xml:space="preserve">Future evolution:</w:t>
      </w:r>
      <w:r>
        <w:t xml:space="preserve"> Short-term: instrument agent task success/failure as a first-class metric. Medium-term: introduce a Supervisor/handoff pattern once more than two agents coordinate on one task. Long-term: dedicated AI Workflow Orchestration Layer once more than ten distinct multi-step workflows exist (Phase F Part 0 trigger).</w:t>
      </w:r>
    </w:p>
    <w:p>
      <w:pPr>
        <w:pStyle w:val="Heading2"/>
        <w:spacing w:after="200" w:before="320"/>
      </w:pPr>
      <w:r>
        <w:t xml:space="preserve">5.5 Supporting, Shared, and Governance Domains (Summary Profiles)</w:t>
      </w:r>
    </w:p>
    <w:p>
      <w:pPr>
        <w:spacing w:after="160"/>
        <w:jc w:val="both"/>
      </w:pPr>
      <w:r>
        <w:t xml:space="preserve">These four domains support the Tier-1 catalog above rather than carrying primary strategic differentiation. Each is real and evidenced in the repository; profiles are condensed to the fields most decision-relevant at this tier, consistent with Section 5's stated methodology.</w:t>
      </w:r>
    </w:p>
    <w:tbl>
      <w:tblPr>
        <w:tblW w:type="dxa" w:w="1160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3600"/>
        <w:gridCol w:w="3000"/>
        <w:gridCol w:w="2600"/>
      </w:tblGrid>
      <w:tr>
        <w:trPr>
          <w:tblHeader/>
        </w:trPr>
        <w:tc>
          <w:tcPr>
            <w:tcW w:type="dxa" w:w="2400"/>
            <w:shd w:fill="1F3864" w:color="auto" w:val="clear"/>
            <w:tcMar>
              <w:top w:type="dxa" w:w="80"/>
              <w:left w:type="dxa" w:w="100"/>
              <w:bottom w:type="dxa" w:w="80"/>
              <w:right w:type="dxa" w:w="100"/>
            </w:tcMar>
            <w:vAlign w:val="center"/>
          </w:tcPr>
          <w:p>
            <w:pPr>
              <w:spacing w:after="40"/>
            </w:pPr>
            <w:r>
              <w:rPr>
                <w:b/>
                <w:bCs/>
                <w:color w:val="FFFFFF"/>
                <w:sz w:val="19"/>
                <w:szCs w:val="19"/>
              </w:rPr>
              <w:t xml:space="preserve"/>
            </w:r>
          </w:p>
        </w:tc>
        <w:tc>
          <w:tcPr>
            <w:tcW w:type="dxa" w:w="3600"/>
            <w:shd w:fill="1F3864" w:color="auto" w:val="clear"/>
            <w:tcMar>
              <w:top w:type="dxa" w:w="80"/>
              <w:left w:type="dxa" w:w="100"/>
              <w:bottom w:type="dxa" w:w="80"/>
              <w:right w:type="dxa" w:w="100"/>
            </w:tcMar>
            <w:vAlign w:val="center"/>
          </w:tcPr>
          <w:p>
            <w:pPr>
              <w:spacing w:after="40"/>
            </w:pPr>
            <w:r>
              <w:rPr>
                <w:b/>
                <w:bCs/>
                <w:color w:val="FFFFFF"/>
                <w:sz w:val="19"/>
                <w:szCs w:val="19"/>
              </w:rPr>
              <w:t xml:space="preserve"/>
            </w:r>
          </w:p>
        </w:tc>
        <w:tc>
          <w:tcPr>
            <w:tcW w:type="dxa" w:w="3000"/>
            <w:shd w:fill="1F3864" w:color="auto" w:val="clear"/>
            <w:tcMar>
              <w:top w:type="dxa" w:w="80"/>
              <w:left w:type="dxa" w:w="100"/>
              <w:bottom w:type="dxa" w:w="80"/>
              <w:right w:type="dxa" w:w="100"/>
            </w:tcMar>
            <w:vAlign w:val="center"/>
          </w:tcPr>
          <w:p>
            <w:pPr>
              <w:spacing w:after="40"/>
            </w:pPr>
            <w:r>
              <w:rPr>
                <w:b/>
                <w:bCs/>
                <w:color w:val="FFFFFF"/>
                <w:sz w:val="19"/>
                <w:szCs w:val="19"/>
              </w:rPr>
              <w:t xml:space="preserve"/>
            </w:r>
          </w:p>
        </w:tc>
        <w:tc>
          <w:tcPr>
            <w:tcW w:type="dxa" w:w="2600"/>
            <w:shd w:fill="1F3864" w:color="auto" w:val="clear"/>
            <w:tcMar>
              <w:top w:type="dxa" w:w="80"/>
              <w:left w:type="dxa" w:w="100"/>
              <w:bottom w:type="dxa" w:w="80"/>
              <w:right w:type="dxa" w:w="100"/>
            </w:tcMar>
            <w:vAlign w:val="center"/>
          </w:tcPr>
          <w:p>
            <w:pPr>
              <w:spacing w:after="40"/>
            </w:pPr>
            <w:r>
              <w:rPr>
                <w:b/>
                <w:bCs/>
                <w:color w:val="FFFFFF"/>
                <w:sz w:val="19"/>
                <w:szCs w:val="19"/>
              </w:rPr>
              <w:t xml:space="preserve"/>
            </w:r>
          </w:p>
        </w:tc>
      </w:tr>
      <w:tr>
        <w:trPr>
          <w:tblHeader w:val="false"/>
        </w:trPr>
        <w:tc>
          <w:tcPr>
            <w:tcW w:type="dxa" w:w="2400"/>
            <w:tcMar>
              <w:top w:type="dxa" w:w="80"/>
              <w:left w:type="dxa" w:w="100"/>
              <w:bottom w:type="dxa" w:w="80"/>
              <w:right w:type="dxa" w:w="100"/>
            </w:tcMar>
            <w:vAlign w:val="center"/>
          </w:tcPr>
          <w:p>
            <w:pPr>
              <w:spacing w:after="40"/>
            </w:pPr>
            <w:r>
              <w:t xml:space="preserve">Candidate Experience &amp; Growth Domain
[Core / Supporting]</w:t>
            </w:r>
          </w:p>
        </w:tc>
        <w:tc>
          <w:tcPr>
            <w:tcW w:type="dxa" w:w="3600"/>
            <w:tcMar>
              <w:top w:type="dxa" w:w="80"/>
              <w:left w:type="dxa" w:w="100"/>
              <w:bottom w:type="dxa" w:w="80"/>
              <w:right w:type="dxa" w:w="100"/>
            </w:tcMar>
            <w:vAlign w:val="center"/>
          </w:tcPr>
          <w:p>
            <w:pPr>
              <w:spacing w:after="40"/>
            </w:pPr>
            <w:r>
              <w:t xml:space="preserve">Convert intelligence into concrete action — resumes, cover letters, and daily engagement — closing the loop from insight to outcome.</w:t>
            </w:r>
          </w:p>
        </w:tc>
        <w:tc>
          <w:tcPr>
            <w:tcW w:type="dxa" w:w="3000"/>
            <w:tcMar>
              <w:top w:type="dxa" w:w="80"/>
              <w:left w:type="dxa" w:w="100"/>
              <w:bottom w:type="dxa" w:w="80"/>
              <w:right w:type="dxa" w:w="100"/>
            </w:tcMar>
            <w:vAlign w:val="center"/>
          </w:tcPr>
          <w:p>
            <w:pPr>
              <w:spacing w:after="40"/>
            </w:pPr>
            <w:r>
              <w:t xml:space="preserve">Candidate Document Generation; Growth &amp; Progress Tracking; Daily Engagement &amp; Conversion</w:t>
            </w:r>
          </w:p>
        </w:tc>
        <w:tc>
          <w:tcPr>
            <w:tcW w:type="dxa" w:w="2600"/>
            <w:tcMar>
              <w:top w:type="dxa" w:w="80"/>
              <w:left w:type="dxa" w:w="100"/>
              <w:bottom w:type="dxa" w:w="80"/>
              <w:right w:type="dxa" w:w="100"/>
            </w:tcMar>
            <w:vAlign w:val="center"/>
          </w:tcPr>
          <w:p>
            <w:pPr>
              <w:spacing w:after="40"/>
            </w:pPr>
            <w:r>
              <w:t xml:space="preserve">L2–L3 Managed / Emerging → L3–L4 target, once role-specific tailoring and outcome-linked KPIs land</w:t>
            </w:r>
          </w:p>
        </w:tc>
      </w:tr>
      <w:tr>
        <w:trPr>
          <w:tblHeader w:val="false"/>
        </w:trPr>
        <w:tc>
          <w:tcPr>
            <w:tcW w:type="dxa" w:w="2400"/>
            <w:shd w:fill="E9EEF5" w:color="auto" w:val="clear"/>
            <w:tcMar>
              <w:top w:type="dxa" w:w="80"/>
              <w:left w:type="dxa" w:w="100"/>
              <w:bottom w:type="dxa" w:w="80"/>
              <w:right w:type="dxa" w:w="100"/>
            </w:tcMar>
            <w:vAlign w:val="center"/>
          </w:tcPr>
          <w:p>
            <w:pPr>
              <w:spacing w:after="40"/>
            </w:pPr>
            <w:r>
              <w:t xml:space="preserve">Employer Domain
[Future / Strategic]</w:t>
            </w:r>
          </w:p>
        </w:tc>
        <w:tc>
          <w:tcPr>
            <w:tcW w:type="dxa" w:w="3600"/>
            <w:shd w:fill="E9EEF5" w:color="auto" w:val="clear"/>
            <w:tcMar>
              <w:top w:type="dxa" w:w="80"/>
              <w:left w:type="dxa" w:w="100"/>
              <w:bottom w:type="dxa" w:w="80"/>
              <w:right w:type="dxa" w:w="100"/>
            </w:tcMar>
            <w:vAlign w:val="center"/>
          </w:tcPr>
          <w:p>
            <w:pPr>
              <w:spacing w:after="40"/>
            </w:pPr>
            <w:r>
              <w:t xml:space="preserve">Bring real employers, job boards, and opportunity data into the platform as live, structured feeds and, eventually, a two-sided marketplace.</w:t>
            </w:r>
          </w:p>
        </w:tc>
        <w:tc>
          <w:tcPr>
            <w:tcW w:type="dxa" w:w="3000"/>
            <w:shd w:fill="E9EEF5" w:color="auto" w:val="clear"/>
            <w:tcMar>
              <w:top w:type="dxa" w:w="80"/>
              <w:left w:type="dxa" w:w="100"/>
              <w:bottom w:type="dxa" w:w="80"/>
              <w:right w:type="dxa" w:w="100"/>
            </w:tcMar>
            <w:vAlign w:val="center"/>
          </w:tcPr>
          <w:p>
            <w:pPr>
              <w:spacing w:after="40"/>
            </w:pPr>
            <w:r>
              <w:t xml:space="preserve">Employer Integration &amp; Opportunity Ingestion</w:t>
            </w:r>
          </w:p>
        </w:tc>
        <w:tc>
          <w:tcPr>
            <w:tcW w:type="dxa" w:w="2600"/>
            <w:shd w:fill="E9EEF5" w:color="auto" w:val="clear"/>
            <w:tcMar>
              <w:top w:type="dxa" w:w="80"/>
              <w:left w:type="dxa" w:w="100"/>
              <w:bottom w:type="dxa" w:w="80"/>
              <w:right w:type="dxa" w:w="100"/>
            </w:tcMar>
            <w:vAlign w:val="center"/>
          </w:tcPr>
          <w:p>
            <w:pPr>
              <w:spacing w:after="40"/>
            </w:pPr>
            <w:r>
              <w:t xml:space="preserve">L1 Initial → L3 Managed at first signed partner contract (explicit external trigger)</w:t>
            </w:r>
          </w:p>
        </w:tc>
      </w:tr>
      <w:tr>
        <w:trPr>
          <w:tblHeader w:val="false"/>
        </w:trPr>
        <w:tc>
          <w:tcPr>
            <w:tcW w:type="dxa" w:w="2400"/>
            <w:tcMar>
              <w:top w:type="dxa" w:w="80"/>
              <w:left w:type="dxa" w:w="100"/>
              <w:bottom w:type="dxa" w:w="80"/>
              <w:right w:type="dxa" w:w="100"/>
            </w:tcMar>
            <w:vAlign w:val="center"/>
          </w:tcPr>
          <w:p>
            <w:pPr>
              <w:spacing w:after="40"/>
            </w:pPr>
            <w:r>
              <w:t xml:space="preserve">Platform Shared Services Domain
[Shared Enterprise]</w:t>
            </w:r>
          </w:p>
        </w:tc>
        <w:tc>
          <w:tcPr>
            <w:tcW w:type="dxa" w:w="3600"/>
            <w:tcMar>
              <w:top w:type="dxa" w:w="80"/>
              <w:left w:type="dxa" w:w="100"/>
              <w:bottom w:type="dxa" w:w="80"/>
              <w:right w:type="dxa" w:w="100"/>
            </w:tcMar>
            <w:vAlign w:val="center"/>
          </w:tcPr>
          <w:p>
            <w:pPr>
              <w:spacing w:after="40"/>
            </w:pPr>
            <w:r>
              <w:t xml:space="preserve">Provide identity/access, configuration/secrets, and behavioral analytics infrastructure that every other domain depends on operationally.</w:t>
            </w:r>
          </w:p>
        </w:tc>
        <w:tc>
          <w:tcPr>
            <w:tcW w:type="dxa" w:w="3000"/>
            <w:tcMar>
              <w:top w:type="dxa" w:w="80"/>
              <w:left w:type="dxa" w:w="100"/>
              <w:bottom w:type="dxa" w:w="80"/>
              <w:right w:type="dxa" w:w="100"/>
            </w:tcMar>
            <w:vAlign w:val="center"/>
          </w:tcPr>
          <w:p>
            <w:pPr>
              <w:spacing w:after="40"/>
            </w:pPr>
            <w:r>
              <w:t xml:space="preserve">Identity, Roles &amp; Access Administration; Platform Configuration &amp; Secrets Stewardship; User Activity &amp; Behavioral Analytics</w:t>
            </w:r>
          </w:p>
        </w:tc>
        <w:tc>
          <w:tcPr>
            <w:tcW w:type="dxa" w:w="2600"/>
            <w:tcMar>
              <w:top w:type="dxa" w:w="80"/>
              <w:left w:type="dxa" w:w="100"/>
              <w:bottom w:type="dxa" w:w="80"/>
              <w:right w:type="dxa" w:w="100"/>
            </w:tcMar>
            <w:vAlign w:val="center"/>
          </w:tcPr>
          <w:p>
            <w:pPr>
              <w:spacing w:after="40"/>
            </w:pPr>
            <w:r>
              <w:t xml:space="preserve">L2–L3 Managed / Emerging across capabilities; sufficient for current scale (Identity, Analytics), improving (Secrets Stewardship — see Section 14 risk note)</w:t>
            </w:r>
          </w:p>
        </w:tc>
      </w:tr>
      <w:tr>
        <w:trPr>
          <w:tblHeader w:val="false"/>
        </w:trPr>
        <w:tc>
          <w:tcPr>
            <w:tcW w:type="dxa" w:w="2400"/>
            <w:shd w:fill="E9EEF5" w:color="auto" w:val="clear"/>
            <w:tcMar>
              <w:top w:type="dxa" w:w="80"/>
              <w:left w:type="dxa" w:w="100"/>
              <w:bottom w:type="dxa" w:w="80"/>
              <w:right w:type="dxa" w:w="100"/>
            </w:tcMar>
            <w:vAlign w:val="center"/>
          </w:tcPr>
          <w:p>
            <w:pPr>
              <w:spacing w:after="40"/>
            </w:pPr>
            <w:r>
              <w:t xml:space="preserve">Governance Domain
[Governance]</w:t>
            </w:r>
          </w:p>
        </w:tc>
        <w:tc>
          <w:tcPr>
            <w:tcW w:type="dxa" w:w="3600"/>
            <w:shd w:fill="E9EEF5" w:color="auto" w:val="clear"/>
            <w:tcMar>
              <w:top w:type="dxa" w:w="80"/>
              <w:left w:type="dxa" w:w="100"/>
              <w:bottom w:type="dxa" w:w="80"/>
              <w:right w:type="dxa" w:w="100"/>
            </w:tcMar>
            <w:vAlign w:val="center"/>
          </w:tcPr>
          <w:p>
            <w:pPr>
              <w:spacing w:after="40"/>
            </w:pPr>
            <w:r>
              <w:t xml:space="preserve">Enforce architectural boundaries and monitor AI/data intelligence quality so every other domain's stated maturity stays true over time.</w:t>
            </w:r>
          </w:p>
        </w:tc>
        <w:tc>
          <w:tcPr>
            <w:tcW w:type="dxa" w:w="3000"/>
            <w:shd w:fill="E9EEF5" w:color="auto" w:val="clear"/>
            <w:tcMar>
              <w:top w:type="dxa" w:w="80"/>
              <w:left w:type="dxa" w:w="100"/>
              <w:bottom w:type="dxa" w:w="80"/>
              <w:right w:type="dxa" w:w="100"/>
            </w:tcMar>
            <w:vAlign w:val="center"/>
          </w:tcPr>
          <w:p>
            <w:pPr>
              <w:spacing w:after="40"/>
            </w:pPr>
            <w:r>
              <w:t xml:space="preserve">Architecture &amp; Engineering Standards Conformance; Intelligence Quality &amp; Drift Monitoring</w:t>
            </w:r>
          </w:p>
        </w:tc>
        <w:tc>
          <w:tcPr>
            <w:tcW w:type="dxa" w:w="2600"/>
            <w:shd w:fill="E9EEF5" w:color="auto" w:val="clear"/>
            <w:tcMar>
              <w:top w:type="dxa" w:w="80"/>
              <w:left w:type="dxa" w:w="100"/>
              <w:bottom w:type="dxa" w:w="80"/>
              <w:right w:type="dxa" w:w="100"/>
            </w:tcMar>
            <w:vAlign w:val="center"/>
          </w:tcPr>
          <w:p>
            <w:pPr>
              <w:spacing w:after="40"/>
            </w:pPr>
            <w:r>
              <w:t xml:space="preserve">L2–L3 Managed, with documented drift (EEP-01 Phase J) → L4 Integrated once drift items are closed</w:t>
            </w:r>
          </w:p>
        </w:tc>
      </w:tr>
    </w:tbl>
    <w:p>
      <w:pPr>
        <w:spacing w:after="200"/>
      </w:pPr>
    </w:p>
    <w:p>
      <w:pPr>
        <w:pStyle w:val="Heading1"/>
        <w:pageBreakBefore/>
        <w:spacing w:after="200" w:before="480"/>
      </w:pPr>
      <w:r>
        <w:t xml:space="preserve">6. Domain Boundaries</w:t>
      </w:r>
    </w:p>
    <w:p>
      <w:pPr>
        <w:spacing w:after="160"/>
        <w:jc w:val="both"/>
      </w:pPr>
      <w:r>
        <w:t xml:space="preserve">This section states, for each domain, what it owns, what it explicitly does not own, what is shared, and the rules governing change and collaboration across the boundary. Boundaries below are drawn at repository-evidenced seams (Section 3.3), not at arbitrary convenience lines.</w:t>
      </w:r>
    </w:p>
    <w:tbl>
      <w:tblPr>
        <w:tblW w:type="dxa" w:w="9500"/>
        <w:tblBorders>
          <w:top w:val="single" w:color="AAAAAA" w:sz="2"/>
          <w:left w:val="single" w:color="AAAAAA" w:sz="2"/>
          <w:bottom w:val="single" w:color="AAAAAA" w:sz="2"/>
          <w:right w:val="single" w:color="AAAAAA" w:sz="2"/>
          <w:insideH w:val="single" w:color="CCCCCC" w:sz="2"/>
          <w:insideV w:val="single" w:color="CCCCCC" w:sz="2"/>
        </w:tblBorders>
      </w:tblPr>
      <w:tblGrid>
        <w:gridCol w:w="1900"/>
        <w:gridCol w:w="2500"/>
        <w:gridCol w:w="2500"/>
        <w:gridCol w:w="2600"/>
      </w:tblGrid>
      <w:tr>
        <w:trPr>
          <w:tblHeader/>
        </w:trPr>
        <w:tc>
          <w:tcPr>
            <w:tcW w:type="dxa" w:w="1900"/>
            <w:shd w:fill="1F3864" w:color="auto" w:val="clear"/>
            <w:tcMar>
              <w:top w:type="dxa" w:w="80"/>
              <w:left w:type="dxa" w:w="100"/>
              <w:bottom w:type="dxa" w:w="80"/>
              <w:right w:type="dxa" w:w="100"/>
            </w:tcMar>
            <w:vAlign w:val="center"/>
          </w:tcPr>
          <w:p>
            <w:pPr>
              <w:spacing w:after="40"/>
            </w:pPr>
            <w:r>
              <w:rPr>
                <w:b/>
                <w:bCs/>
                <w:color w:val="FFFFFF"/>
                <w:sz w:val="19"/>
                <w:szCs w:val="19"/>
              </w:rPr>
              <w:t xml:space="preserve"/>
            </w:r>
          </w:p>
        </w:tc>
        <w:tc>
          <w:tcPr>
            <w:tcW w:type="dxa" w:w="2500"/>
            <w:shd w:fill="1F3864" w:color="auto" w:val="clear"/>
            <w:tcMar>
              <w:top w:type="dxa" w:w="80"/>
              <w:left w:type="dxa" w:w="100"/>
              <w:bottom w:type="dxa" w:w="80"/>
              <w:right w:type="dxa" w:w="100"/>
            </w:tcMar>
            <w:vAlign w:val="center"/>
          </w:tcPr>
          <w:p>
            <w:pPr>
              <w:spacing w:after="40"/>
            </w:pPr>
            <w:r>
              <w:rPr>
                <w:b/>
                <w:bCs/>
                <w:color w:val="FFFFFF"/>
                <w:sz w:val="19"/>
                <w:szCs w:val="19"/>
              </w:rPr>
              <w:t xml:space="preserve"/>
            </w:r>
          </w:p>
        </w:tc>
        <w:tc>
          <w:tcPr>
            <w:tcW w:type="dxa" w:w="2500"/>
            <w:shd w:fill="1F3864" w:color="auto" w:val="clear"/>
            <w:tcMar>
              <w:top w:type="dxa" w:w="80"/>
              <w:left w:type="dxa" w:w="100"/>
              <w:bottom w:type="dxa" w:w="80"/>
              <w:right w:type="dxa" w:w="100"/>
            </w:tcMar>
            <w:vAlign w:val="center"/>
          </w:tcPr>
          <w:p>
            <w:pPr>
              <w:spacing w:after="40"/>
            </w:pPr>
            <w:r>
              <w:rPr>
                <w:b/>
                <w:bCs/>
                <w:color w:val="FFFFFF"/>
                <w:sz w:val="19"/>
                <w:szCs w:val="19"/>
              </w:rPr>
              <w:t xml:space="preserve"/>
            </w:r>
          </w:p>
        </w:tc>
        <w:tc>
          <w:tcPr>
            <w:tcW w:type="dxa" w:w="2600"/>
            <w:shd w:fill="1F3864" w:color="auto" w:val="clear"/>
            <w:tcMar>
              <w:top w:type="dxa" w:w="80"/>
              <w:left w:type="dxa" w:w="100"/>
              <w:bottom w:type="dxa" w:w="80"/>
              <w:right w:type="dxa" w:w="100"/>
            </w:tcMar>
            <w:vAlign w:val="center"/>
          </w:tcPr>
          <w:p>
            <w:pPr>
              <w:spacing w:after="40"/>
            </w:pPr>
            <w:r>
              <w:rPr>
                <w:b/>
                <w:bCs/>
                <w:color w:val="FFFFFF"/>
                <w:sz w:val="19"/>
                <w:szCs w:val="19"/>
              </w:rPr>
              <w:t xml:space="preserve"/>
            </w:r>
          </w:p>
        </w:tc>
      </w:tr>
      <w:tr>
        <w:trPr>
          <w:tblHeader w:val="false"/>
        </w:trPr>
        <w:tc>
          <w:tcPr>
            <w:tcW w:type="dxa" w:w="1900"/>
            <w:tcMar>
              <w:top w:type="dxa" w:w="80"/>
              <w:left w:type="dxa" w:w="100"/>
              <w:bottom w:type="dxa" w:w="80"/>
              <w:right w:type="dxa" w:w="100"/>
            </w:tcMar>
            <w:vAlign w:val="center"/>
          </w:tcPr>
          <w:p>
            <w:pPr>
              <w:spacing w:after="40"/>
            </w:pPr>
            <w:r>
              <w:t xml:space="preserve">Career Intelligence</w:t>
            </w:r>
          </w:p>
        </w:tc>
        <w:tc>
          <w:tcPr>
            <w:tcW w:type="dxa" w:w="2500"/>
            <w:tcMar>
              <w:top w:type="dxa" w:w="80"/>
              <w:left w:type="dxa" w:w="100"/>
              <w:bottom w:type="dxa" w:w="80"/>
              <w:right w:type="dxa" w:w="100"/>
            </w:tcMar>
            <w:vAlign w:val="center"/>
          </w:tcPr>
          <w:p>
            <w:pPr>
              <w:spacing w:after="40"/>
            </w:pPr>
            <w:r>
              <w:t xml:space="preserve">Recommendation ranking/explanation logic; trajectory simulation; health-score computation; opportunity ranking</w:t>
            </w:r>
          </w:p>
        </w:tc>
        <w:tc>
          <w:tcPr>
            <w:tcW w:type="dxa" w:w="2500"/>
            <w:tcMar>
              <w:top w:type="dxa" w:w="80"/>
              <w:left w:type="dxa" w:w="100"/>
              <w:bottom w:type="dxa" w:w="80"/>
              <w:right w:type="dxa" w:w="100"/>
            </w:tcMar>
            <w:vAlign w:val="center"/>
          </w:tcPr>
          <w:p>
            <w:pPr>
              <w:spacing w:after="40"/>
            </w:pPr>
            <w:r>
              <w:t xml:space="preserve">Raw academic data storage (owned by Academic Intelligence); raw taxonomy/market data storage (owned by Knowledge &amp; Market Intelligence); conversational reasoning mechanics (owned by AI Intelligence)</w:t>
            </w:r>
          </w:p>
        </w:tc>
        <w:tc>
          <w:tcPr>
            <w:tcW w:type="dxa" w:w="2600"/>
            <w:tcMar>
              <w:top w:type="dxa" w:w="80"/>
              <w:left w:type="dxa" w:w="100"/>
              <w:bottom w:type="dxa" w:w="80"/>
              <w:right w:type="dxa" w:w="100"/>
            </w:tcMar>
            <w:vAlign w:val="center"/>
          </w:tcPr>
          <w:p>
            <w:pPr>
              <w:spacing w:after="40"/>
            </w:pPr>
            <w:r>
              <w:t xml:space="preserve">Explanation model shared conceptually with AI Intelligence Domain's confidence-governance capability (Phase A 7.1 future enhancement)</w:t>
            </w:r>
          </w:p>
        </w:tc>
      </w:tr>
      <w:tr>
        <w:trPr>
          <w:tblHeader w:val="false"/>
        </w:trPr>
        <w:tc>
          <w:tcPr>
            <w:tcW w:type="dxa" w:w="1900"/>
            <w:shd w:fill="E9EEF5" w:color="auto" w:val="clear"/>
            <w:tcMar>
              <w:top w:type="dxa" w:w="80"/>
              <w:left w:type="dxa" w:w="100"/>
              <w:bottom w:type="dxa" w:w="80"/>
              <w:right w:type="dxa" w:w="100"/>
            </w:tcMar>
            <w:vAlign w:val="center"/>
          </w:tcPr>
          <w:p>
            <w:pPr>
              <w:spacing w:after="40"/>
            </w:pPr>
            <w:r>
              <w:t xml:space="preserve">Academic Intelligence</w:t>
            </w:r>
          </w:p>
        </w:tc>
        <w:tc>
          <w:tcPr>
            <w:tcW w:type="dxa" w:w="2500"/>
            <w:shd w:fill="E9EEF5" w:color="auto" w:val="clear"/>
            <w:tcMar>
              <w:top w:type="dxa" w:w="80"/>
              <w:left w:type="dxa" w:w="100"/>
              <w:bottom w:type="dxa" w:w="80"/>
              <w:right w:type="dxa" w:w="100"/>
            </w:tcMar>
            <w:vAlign w:val="center"/>
          </w:tcPr>
          <w:p>
            <w:pPr>
              <w:spacing w:after="40"/>
            </w:pPr>
            <w:r>
              <w:t xml:space="preserve">Academic/demographic profile schema and lifecycle; onboarding and qualification-capture flow</w:t>
            </w:r>
          </w:p>
        </w:tc>
        <w:tc>
          <w:tcPr>
            <w:tcW w:type="dxa" w:w="2500"/>
            <w:shd w:fill="E9EEF5" w:color="auto" w:val="clear"/>
            <w:tcMar>
              <w:top w:type="dxa" w:w="80"/>
              <w:left w:type="dxa" w:w="100"/>
              <w:bottom w:type="dxa" w:w="80"/>
              <w:right w:type="dxa" w:w="100"/>
            </w:tcMar>
            <w:vAlign w:val="center"/>
          </w:tcPr>
          <w:p>
            <w:pPr>
              <w:spacing w:after="40"/>
            </w:pPr>
            <w:r>
              <w:t xml:space="preserve">Any career reasoning over the profile (owned by Career Intelligence); identity/auth mechanics (owned by Platform Shared Services)</w:t>
            </w:r>
          </w:p>
        </w:tc>
        <w:tc>
          <w:tcPr>
            <w:tcW w:type="dxa" w:w="2600"/>
            <w:shd w:fill="E9EEF5" w:color="auto" w:val="clear"/>
            <w:tcMar>
              <w:top w:type="dxa" w:w="80"/>
              <w:left w:type="dxa" w:w="100"/>
              <w:bottom w:type="dxa" w:w="80"/>
              <w:right w:type="dxa" w:w="100"/>
            </w:tcMar>
            <w:vAlign w:val="center"/>
          </w:tcPr>
          <w:p>
            <w:pPr>
              <w:spacing w:after="40"/>
            </w:pPr>
            <w:r>
              <w:t xml:space="preserve">Guardian/minor consent handling is shared with Governance Domain's security-conformance oversight</w:t>
            </w:r>
          </w:p>
        </w:tc>
      </w:tr>
      <w:tr>
        <w:trPr>
          <w:tblHeader w:val="false"/>
        </w:trPr>
        <w:tc>
          <w:tcPr>
            <w:tcW w:type="dxa" w:w="1900"/>
            <w:tcMar>
              <w:top w:type="dxa" w:w="80"/>
              <w:left w:type="dxa" w:w="100"/>
              <w:bottom w:type="dxa" w:w="80"/>
              <w:right w:type="dxa" w:w="100"/>
            </w:tcMar>
            <w:vAlign w:val="center"/>
          </w:tcPr>
          <w:p>
            <w:pPr>
              <w:spacing w:after="40"/>
            </w:pPr>
            <w:r>
              <w:t xml:space="preserve">Knowledge &amp; Market Intelligence</w:t>
            </w:r>
          </w:p>
        </w:tc>
        <w:tc>
          <w:tcPr>
            <w:tcW w:type="dxa" w:w="2500"/>
            <w:tcMar>
              <w:top w:type="dxa" w:w="80"/>
              <w:left w:type="dxa" w:w="100"/>
              <w:bottom w:type="dxa" w:w="80"/>
              <w:right w:type="dxa" w:w="100"/>
            </w:tcMar>
            <w:vAlign w:val="center"/>
          </w:tcPr>
          <w:p>
            <w:pPr>
              <w:spacing w:after="40"/>
            </w:pPr>
            <w:r>
              <w:t xml:space="preserve">Skill/role/job-family taxonomy; salary and market benchmark data; source curation</w:t>
            </w:r>
          </w:p>
        </w:tc>
        <w:tc>
          <w:tcPr>
            <w:tcW w:type="dxa" w:w="2500"/>
            <w:tcMar>
              <w:top w:type="dxa" w:w="80"/>
              <w:left w:type="dxa" w:w="100"/>
              <w:bottom w:type="dxa" w:w="80"/>
              <w:right w:type="dxa" w:w="100"/>
            </w:tcMar>
            <w:vAlign w:val="center"/>
          </w:tcPr>
          <w:p>
            <w:pPr>
              <w:spacing w:after="40"/>
            </w:pPr>
            <w:r>
              <w:t xml:space="preserve">Applying that data to a specific student (owned by Career Intelligence); acquiring live employer feeds (owned by Employer Domain)</w:t>
            </w:r>
          </w:p>
        </w:tc>
        <w:tc>
          <w:tcPr>
            <w:tcW w:type="dxa" w:w="2600"/>
            <w:tcMar>
              <w:top w:type="dxa" w:w="80"/>
              <w:left w:type="dxa" w:w="100"/>
              <w:bottom w:type="dxa" w:w="80"/>
              <w:right w:type="dxa" w:w="100"/>
            </w:tcMar>
            <w:vAlign w:val="center"/>
          </w:tcPr>
          <w:p>
            <w:pPr>
              <w:spacing w:after="40"/>
            </w:pPr>
            <w:r>
              <w:t xml:space="preserve">Taxonomy versioning discipline is a shared contract with every consuming domain (Section 8.3)</w:t>
            </w:r>
          </w:p>
        </w:tc>
      </w:tr>
      <w:tr>
        <w:trPr>
          <w:tblHeader w:val="false"/>
        </w:trPr>
        <w:tc>
          <w:tcPr>
            <w:tcW w:type="dxa" w:w="1900"/>
            <w:shd w:fill="E9EEF5" w:color="auto" w:val="clear"/>
            <w:tcMar>
              <w:top w:type="dxa" w:w="80"/>
              <w:left w:type="dxa" w:w="100"/>
              <w:bottom w:type="dxa" w:w="80"/>
              <w:right w:type="dxa" w:w="100"/>
            </w:tcMar>
            <w:vAlign w:val="center"/>
          </w:tcPr>
          <w:p>
            <w:pPr>
              <w:spacing w:after="40"/>
            </w:pPr>
            <w:r>
              <w:t xml:space="preserve">AI Intelligence</w:t>
            </w:r>
          </w:p>
        </w:tc>
        <w:tc>
          <w:tcPr>
            <w:tcW w:type="dxa" w:w="2500"/>
            <w:shd w:fill="E9EEF5" w:color="auto" w:val="clear"/>
            <w:tcMar>
              <w:top w:type="dxa" w:w="80"/>
              <w:left w:type="dxa" w:w="100"/>
              <w:bottom w:type="dxa" w:w="80"/>
              <w:right w:type="dxa" w:w="100"/>
            </w:tcMar>
            <w:vAlign w:val="center"/>
          </w:tcPr>
          <w:p>
            <w:pPr>
              <w:spacing w:after="40"/>
            </w:pPr>
            <w:r>
              <w:t xml:space="preserve">Agent orchestration, conversational reasoning, personalization weighting, AI output governance</w:t>
            </w:r>
          </w:p>
        </w:tc>
        <w:tc>
          <w:tcPr>
            <w:tcW w:type="dxa" w:w="2500"/>
            <w:shd w:fill="E9EEF5" w:color="auto" w:val="clear"/>
            <w:tcMar>
              <w:top w:type="dxa" w:w="80"/>
              <w:left w:type="dxa" w:w="100"/>
              <w:bottom w:type="dxa" w:w="80"/>
              <w:right w:type="dxa" w:w="100"/>
            </w:tcMar>
            <w:vAlign w:val="center"/>
          </w:tcPr>
          <w:p>
            <w:pPr>
              <w:spacing w:after="40"/>
            </w:pPr>
            <w:r>
              <w:t xml:space="preserve">The business content of recommendations themselves (owned by Career Intelligence); the data the agents reason over (owned by Academic and Knowledge domains)</w:t>
            </w:r>
          </w:p>
        </w:tc>
        <w:tc>
          <w:tcPr>
            <w:tcW w:type="dxa" w:w="2600"/>
            <w:shd w:fill="E9EEF5" w:color="auto" w:val="clear"/>
            <w:tcMar>
              <w:top w:type="dxa" w:w="80"/>
              <w:left w:type="dxa" w:w="100"/>
              <w:bottom w:type="dxa" w:w="80"/>
              <w:right w:type="dxa" w:w="100"/>
            </w:tcMar>
            <w:vAlign w:val="center"/>
          </w:tcPr>
          <w:p>
            <w:pPr>
              <w:spacing w:after="40"/>
            </w:pPr>
            <w:r>
              <w:t xml:space="preserve">AI Quality &amp; Confidence Governance's output standards are a shared contract consumed by Career Intelligence and Candidate Experience &amp; Growth</w:t>
            </w:r>
          </w:p>
        </w:tc>
      </w:tr>
      <w:tr>
        <w:trPr>
          <w:tblHeader w:val="false"/>
        </w:trPr>
        <w:tc>
          <w:tcPr>
            <w:tcW w:type="dxa" w:w="1900"/>
            <w:tcMar>
              <w:top w:type="dxa" w:w="80"/>
              <w:left w:type="dxa" w:w="100"/>
              <w:bottom w:type="dxa" w:w="80"/>
              <w:right w:type="dxa" w:w="100"/>
            </w:tcMar>
            <w:vAlign w:val="center"/>
          </w:tcPr>
          <w:p>
            <w:pPr>
              <w:spacing w:after="40"/>
            </w:pPr>
            <w:r>
              <w:t xml:space="preserve">Candidate Experience &amp; Growth</w:t>
            </w:r>
          </w:p>
        </w:tc>
        <w:tc>
          <w:tcPr>
            <w:tcW w:type="dxa" w:w="2500"/>
            <w:tcMar>
              <w:top w:type="dxa" w:w="80"/>
              <w:left w:type="dxa" w:w="100"/>
              <w:bottom w:type="dxa" w:w="80"/>
              <w:right w:type="dxa" w:w="100"/>
            </w:tcMar>
            <w:vAlign w:val="center"/>
          </w:tcPr>
          <w:p>
            <w:pPr>
              <w:spacing w:after="40"/>
            </w:pPr>
            <w:r>
              <w:t xml:space="preserve">Document generation and refinement; growth tracking; engagement/conversion mechanics</w:t>
            </w:r>
          </w:p>
        </w:tc>
        <w:tc>
          <w:tcPr>
            <w:tcW w:type="dxa" w:w="2500"/>
            <w:tcMar>
              <w:top w:type="dxa" w:w="80"/>
              <w:left w:type="dxa" w:w="100"/>
              <w:bottom w:type="dxa" w:w="80"/>
              <w:right w:type="dxa" w:w="100"/>
            </w:tcMar>
            <w:vAlign w:val="center"/>
          </w:tcPr>
          <w:p>
            <w:pPr>
              <w:spacing w:after="40"/>
            </w:pPr>
            <w:r>
              <w:t xml:space="preserve">Career recommendation logic (owned by Career Intelligence); academic data (owned by Academic Intelligence)</w:t>
            </w:r>
          </w:p>
        </w:tc>
        <w:tc>
          <w:tcPr>
            <w:tcW w:type="dxa" w:w="2600"/>
            <w:tcMar>
              <w:top w:type="dxa" w:w="80"/>
              <w:left w:type="dxa" w:w="100"/>
              <w:bottom w:type="dxa" w:w="80"/>
              <w:right w:type="dxa" w:w="100"/>
            </w:tcMar>
            <w:vAlign w:val="center"/>
          </w:tcPr>
          <w:p>
            <w:pPr>
              <w:spacing w:after="40"/>
            </w:pPr>
            <w:r>
              <w:t xml:space="preserve">None material at current maturity</w:t>
            </w:r>
          </w:p>
        </w:tc>
      </w:tr>
      <w:tr>
        <w:trPr>
          <w:tblHeader w:val="false"/>
        </w:trPr>
        <w:tc>
          <w:tcPr>
            <w:tcW w:type="dxa" w:w="1900"/>
            <w:shd w:fill="E9EEF5" w:color="auto" w:val="clear"/>
            <w:tcMar>
              <w:top w:type="dxa" w:w="80"/>
              <w:left w:type="dxa" w:w="100"/>
              <w:bottom w:type="dxa" w:w="80"/>
              <w:right w:type="dxa" w:w="100"/>
            </w:tcMar>
            <w:vAlign w:val="center"/>
          </w:tcPr>
          <w:p>
            <w:pPr>
              <w:spacing w:after="40"/>
            </w:pPr>
            <w:r>
              <w:t xml:space="preserve">Employer Domain</w:t>
            </w:r>
          </w:p>
        </w:tc>
        <w:tc>
          <w:tcPr>
            <w:tcW w:type="dxa" w:w="2500"/>
            <w:shd w:fill="E9EEF5" w:color="auto" w:val="clear"/>
            <w:tcMar>
              <w:top w:type="dxa" w:w="80"/>
              <w:left w:type="dxa" w:w="100"/>
              <w:bottom w:type="dxa" w:w="80"/>
              <w:right w:type="dxa" w:w="100"/>
            </w:tcMar>
            <w:vAlign w:val="center"/>
          </w:tcPr>
          <w:p>
            <w:pPr>
              <w:spacing w:after="40"/>
            </w:pPr>
            <w:r>
              <w:t xml:space="preserve">Employer/job-board partner integration and structured opportunity ingestion</w:t>
            </w:r>
          </w:p>
        </w:tc>
        <w:tc>
          <w:tcPr>
            <w:tcW w:type="dxa" w:w="2500"/>
            <w:shd w:fill="E9EEF5" w:color="auto" w:val="clear"/>
            <w:tcMar>
              <w:top w:type="dxa" w:w="80"/>
              <w:left w:type="dxa" w:w="100"/>
              <w:bottom w:type="dxa" w:w="80"/>
              <w:right w:type="dxa" w:w="100"/>
            </w:tcMar>
            <w:vAlign w:val="center"/>
          </w:tcPr>
          <w:p>
            <w:pPr>
              <w:spacing w:after="40"/>
            </w:pPr>
            <w:r>
              <w:t xml:space="preserve">Consuming or ranking opportunities for a student (owned by Career Intelligence); market benchmark computation (owned by Knowledge &amp; Market Intelligence)</w:t>
            </w:r>
          </w:p>
        </w:tc>
        <w:tc>
          <w:tcPr>
            <w:tcW w:type="dxa" w:w="2600"/>
            <w:shd w:fill="E9EEF5" w:color="auto" w:val="clear"/>
            <w:tcMar>
              <w:top w:type="dxa" w:w="80"/>
              <w:left w:type="dxa" w:w="100"/>
              <w:bottom w:type="dxa" w:w="80"/>
              <w:right w:type="dxa" w:w="100"/>
            </w:tcMar>
            <w:vAlign w:val="center"/>
          </w:tcPr>
          <w:p>
            <w:pPr>
              <w:spacing w:after="40"/>
            </w:pPr>
            <w:r>
              <w:t xml:space="preserve">Feed data format is a shared contract with Knowledge &amp; Market Intelligence and Career Opportunity Radar, not yet exercised live</w:t>
            </w:r>
          </w:p>
        </w:tc>
      </w:tr>
      <w:tr>
        <w:trPr>
          <w:tblHeader w:val="false"/>
        </w:trPr>
        <w:tc>
          <w:tcPr>
            <w:tcW w:type="dxa" w:w="1900"/>
            <w:tcMar>
              <w:top w:type="dxa" w:w="80"/>
              <w:left w:type="dxa" w:w="100"/>
              <w:bottom w:type="dxa" w:w="80"/>
              <w:right w:type="dxa" w:w="100"/>
            </w:tcMar>
            <w:vAlign w:val="center"/>
          </w:tcPr>
          <w:p>
            <w:pPr>
              <w:spacing w:after="40"/>
            </w:pPr>
            <w:r>
              <w:t xml:space="preserve">Platform Shared Services</w:t>
            </w:r>
          </w:p>
        </w:tc>
        <w:tc>
          <w:tcPr>
            <w:tcW w:type="dxa" w:w="2500"/>
            <w:tcMar>
              <w:top w:type="dxa" w:w="80"/>
              <w:left w:type="dxa" w:w="100"/>
              <w:bottom w:type="dxa" w:w="80"/>
              <w:right w:type="dxa" w:w="100"/>
            </w:tcMar>
            <w:vAlign w:val="center"/>
          </w:tcPr>
          <w:p>
            <w:pPr>
              <w:spacing w:after="40"/>
            </w:pPr>
            <w:r>
              <w:t xml:space="preserve">Identity, roles, access; configuration and secrets lifecycle; behavioral analytics capture</w:t>
            </w:r>
          </w:p>
        </w:tc>
        <w:tc>
          <w:tcPr>
            <w:tcW w:type="dxa" w:w="2500"/>
            <w:tcMar>
              <w:top w:type="dxa" w:w="80"/>
              <w:left w:type="dxa" w:w="100"/>
              <w:bottom w:type="dxa" w:w="80"/>
              <w:right w:type="dxa" w:w="100"/>
            </w:tcMar>
            <w:vAlign w:val="center"/>
          </w:tcPr>
          <w:p>
            <w:pPr>
              <w:spacing w:after="40"/>
            </w:pPr>
            <w:r>
              <w:t xml:space="preserve">Any domain-specific business logic (explicitly out of scope by design — this domain is infrastructure, not business reasoning)</w:t>
            </w:r>
          </w:p>
        </w:tc>
        <w:tc>
          <w:tcPr>
            <w:tcW w:type="dxa" w:w="2600"/>
            <w:tcMar>
              <w:top w:type="dxa" w:w="80"/>
              <w:left w:type="dxa" w:w="100"/>
              <w:bottom w:type="dxa" w:w="80"/>
              <w:right w:type="dxa" w:w="100"/>
            </w:tcMar>
            <w:vAlign w:val="center"/>
          </w:tcPr>
          <w:p>
            <w:pPr>
              <w:spacing w:after="40"/>
            </w:pPr>
            <w:r>
              <w:t xml:space="preserve">Consumed as a cross-cutting shared service by all seven other domains</w:t>
            </w:r>
          </w:p>
        </w:tc>
      </w:tr>
      <w:tr>
        <w:trPr>
          <w:tblHeader w:val="false"/>
        </w:trPr>
        <w:tc>
          <w:tcPr>
            <w:tcW w:type="dxa" w:w="1900"/>
            <w:shd w:fill="E9EEF5" w:color="auto" w:val="clear"/>
            <w:tcMar>
              <w:top w:type="dxa" w:w="80"/>
              <w:left w:type="dxa" w:w="100"/>
              <w:bottom w:type="dxa" w:w="80"/>
              <w:right w:type="dxa" w:w="100"/>
            </w:tcMar>
            <w:vAlign w:val="center"/>
          </w:tcPr>
          <w:p>
            <w:pPr>
              <w:spacing w:after="40"/>
            </w:pPr>
            <w:r>
              <w:t xml:space="preserve">Governance</w:t>
            </w:r>
          </w:p>
        </w:tc>
        <w:tc>
          <w:tcPr>
            <w:tcW w:type="dxa" w:w="2500"/>
            <w:shd w:fill="E9EEF5" w:color="auto" w:val="clear"/>
            <w:tcMar>
              <w:top w:type="dxa" w:w="80"/>
              <w:left w:type="dxa" w:w="100"/>
              <w:bottom w:type="dxa" w:w="80"/>
              <w:right w:type="dxa" w:w="100"/>
            </w:tcMar>
            <w:vAlign w:val="center"/>
          </w:tcPr>
          <w:p>
            <w:pPr>
              <w:spacing w:after="40"/>
            </w:pPr>
            <w:r>
              <w:t xml:space="preserve">Architectural/coding-standard conformance tooling; AI and data intelligence-quality/drift monitoring</w:t>
            </w:r>
          </w:p>
        </w:tc>
        <w:tc>
          <w:tcPr>
            <w:tcW w:type="dxa" w:w="2500"/>
            <w:shd w:fill="E9EEF5" w:color="auto" w:val="clear"/>
            <w:tcMar>
              <w:top w:type="dxa" w:w="80"/>
              <w:left w:type="dxa" w:w="100"/>
              <w:bottom w:type="dxa" w:w="80"/>
              <w:right w:type="dxa" w:w="100"/>
            </w:tcMar>
            <w:vAlign w:val="center"/>
          </w:tcPr>
          <w:p>
            <w:pPr>
              <w:spacing w:after="40"/>
            </w:pPr>
            <w:r>
              <w:t xml:space="preserve">Fixing the drift or quality issues themselves (owned by the domain where the drift occurs) — Governance detects and reports, it does not silently remediate</w:t>
            </w:r>
          </w:p>
        </w:tc>
        <w:tc>
          <w:tcPr>
            <w:tcW w:type="dxa" w:w="2600"/>
            <w:shd w:fill="E9EEF5" w:color="auto" w:val="clear"/>
            <w:tcMar>
              <w:top w:type="dxa" w:w="80"/>
              <w:left w:type="dxa" w:w="100"/>
              <w:bottom w:type="dxa" w:w="80"/>
              <w:right w:type="dxa" w:w="100"/>
            </w:tcMar>
            <w:vAlign w:val="center"/>
          </w:tcPr>
          <w:p>
            <w:pPr>
              <w:spacing w:after="40"/>
            </w:pPr>
            <w:r>
              <w:t xml:space="preserve">Shared oversight touchpoint with every technical domain owner</w:t>
            </w:r>
          </w:p>
        </w:tc>
      </w:tr>
    </w:tbl>
    <w:p>
      <w:pPr>
        <w:spacing w:after="200"/>
      </w:pPr>
    </w:p>
    <w:p>
      <w:pPr>
        <w:pStyle w:val="Heading2"/>
        <w:spacing w:after="200" w:before="320"/>
      </w:pPr>
      <w:r>
        <w:t xml:space="preserve">6.1 Boundary Rules</w:t>
      </w:r>
    </w:p>
    <w:p>
      <w:pPr>
        <w:pStyle w:val="ListParagraph"/>
        <w:numPr>
          <w:ilvl w:val="0"/>
          <w:numId w:val="2"/>
        </w:numPr>
        <w:spacing w:after="100"/>
      </w:pPr>
      <w:r>
        <w:t xml:space="preserve">A domain may read another domain's published output (e.g., Career Intelligence reading the Academic Intelligence profile object) but must not reach into or assume the internal schema of another domain's data store.</w:t>
      </w:r>
    </w:p>
    <w:p>
      <w:pPr>
        <w:pStyle w:val="ListParagraph"/>
        <w:numPr>
          <w:ilvl w:val="0"/>
          <w:numId w:val="2"/>
        </w:numPr>
        <w:spacing w:after="100"/>
      </w:pPr>
      <w:r>
        <w:t xml:space="preserve">Any new capability is placed in the domain whose business responsibility it most directly serves, per Section 3.3 — not the domain of the engineer or team that happens to build it first.</w:t>
      </w:r>
    </w:p>
    <w:p>
      <w:pPr>
        <w:pStyle w:val="ListParagraph"/>
        <w:numPr>
          <w:ilvl w:val="0"/>
          <w:numId w:val="2"/>
        </w:numPr>
        <w:spacing w:after="100"/>
      </w:pPr>
      <w:r>
        <w:t xml:space="preserve">Boundary changes (a capability moving domains, or a domain splitting/merging) require the same evidence bar used to establish the boundary originally (Section 3.5), not a unilateral team decision.</w:t>
      </w:r>
    </w:p>
    <w:p>
      <w:pPr>
        <w:pStyle w:val="Heading2"/>
        <w:spacing w:after="200" w:before="320"/>
      </w:pPr>
      <w:r>
        <w:t xml:space="preserve">6.2 Change Ownership and Boundary Evolution</w:t>
      </w:r>
    </w:p>
    <w:p>
      <w:pPr>
        <w:spacing w:after="160"/>
        <w:jc w:val="both"/>
      </w:pPr>
      <w:r>
        <w:t xml:space="preserve">Because current ownership across all eight domains sits with one general product/engineering function (Section 9), boundary changes today are, in practice, a single-team decision. This document records that honestly rather than describing a cross-team change-control process the organization does not yet have. As target-state ownership separation triggers fire (Section 9, Section 13), boundary changes should move to a lightweight joint decision between the affected domains' business and technical stewards.</w:t>
      </w:r>
    </w:p>
    <w:p>
      <w:pPr>
        <w:pStyle w:val="Heading1"/>
        <w:pageBreakBefore/>
        <w:spacing w:after="200" w:before="480"/>
      </w:pPr>
      <w:r>
        <w:t xml:space="preserve">7. Domain Relationships</w:t>
      </w:r>
    </w:p>
    <w:p>
      <w:pPr>
        <w:pStyle w:val="Heading2"/>
        <w:spacing w:after="200" w:before="320"/>
      </w:pPr>
      <w:r>
        <w:t xml:space="preserve">7.1 Domain Interaction Map</w:t>
      </w:r>
    </w:p>
    <w:tbl>
      <w:tblPr>
        <w:tblW w:type="dxa" w:w="9200"/>
        <w:tblBorders>
          <w:top w:val="single" w:color="AAAAAA" w:sz="2"/>
          <w:left w:val="single" w:color="AAAAAA" w:sz="2"/>
          <w:bottom w:val="single" w:color="AAAAAA" w:sz="2"/>
          <w:right w:val="single" w:color="AAAAAA" w:sz="2"/>
          <w:insideH w:val="single" w:color="CCCCCC" w:sz="2"/>
          <w:insideV w:val="single" w:color="CCCCCC" w:sz="2"/>
        </w:tblBorders>
      </w:tblPr>
      <w:tblGrid>
        <w:gridCol w:w="3600"/>
        <w:gridCol w:w="5600"/>
      </w:tblGrid>
      <w:tr>
        <w:trPr>
          <w:tblHeader/>
        </w:trPr>
        <w:tc>
          <w:tcPr>
            <w:tcW w:type="dxa" w:w="3600"/>
            <w:shd w:fill="1F3864" w:color="auto" w:val="clear"/>
            <w:tcMar>
              <w:top w:type="dxa" w:w="80"/>
              <w:left w:type="dxa" w:w="100"/>
              <w:bottom w:type="dxa" w:w="80"/>
              <w:right w:type="dxa" w:w="100"/>
            </w:tcMar>
            <w:vAlign w:val="center"/>
          </w:tcPr>
          <w:p>
            <w:pPr>
              <w:spacing w:after="40"/>
            </w:pPr>
            <w:r>
              <w:rPr>
                <w:b/>
                <w:bCs/>
                <w:color w:val="FFFFFF"/>
                <w:sz w:val="19"/>
                <w:szCs w:val="19"/>
              </w:rPr>
              <w:t xml:space="preserve"/>
            </w:r>
          </w:p>
        </w:tc>
        <w:tc>
          <w:tcPr>
            <w:tcW w:type="dxa" w:w="5600"/>
            <w:shd w:fill="1F3864" w:color="auto" w:val="clear"/>
            <w:tcMar>
              <w:top w:type="dxa" w:w="80"/>
              <w:left w:type="dxa" w:w="100"/>
              <w:bottom w:type="dxa" w:w="80"/>
              <w:right w:type="dxa" w:w="100"/>
            </w:tcMar>
            <w:vAlign w:val="center"/>
          </w:tcPr>
          <w:p>
            <w:pPr>
              <w:spacing w:after="40"/>
            </w:pPr>
            <w:r>
              <w:rPr>
                <w:b/>
                <w:bCs/>
                <w:color w:val="FFFFFF"/>
                <w:sz w:val="19"/>
                <w:szCs w:val="19"/>
              </w:rPr>
              <w:t xml:space="preserve"/>
            </w:r>
          </w:p>
        </w:tc>
      </w:tr>
      <w:tr>
        <w:trPr>
          <w:tblHeader w:val="false"/>
        </w:trPr>
        <w:tc>
          <w:tcPr>
            <w:tcW w:type="dxa" w:w="3600"/>
            <w:tcMar>
              <w:top w:type="dxa" w:w="80"/>
              <w:left w:type="dxa" w:w="100"/>
              <w:bottom w:type="dxa" w:w="80"/>
              <w:right w:type="dxa" w:w="100"/>
            </w:tcMar>
            <w:vAlign w:val="center"/>
          </w:tcPr>
          <w:p>
            <w:pPr>
              <w:spacing w:after="40"/>
            </w:pPr>
            <w:r>
              <w:t xml:space="preserve">Career Intelligence</w:t>
            </w:r>
          </w:p>
        </w:tc>
        <w:tc>
          <w:tcPr>
            <w:tcW w:type="dxa" w:w="5600"/>
            <w:tcMar>
              <w:top w:type="dxa" w:w="80"/>
              <w:left w:type="dxa" w:w="100"/>
              <w:bottom w:type="dxa" w:w="80"/>
              <w:right w:type="dxa" w:w="100"/>
            </w:tcMar>
            <w:vAlign w:val="center"/>
          </w:tcPr>
          <w:p>
            <w:pPr>
              <w:spacing w:after="40"/>
            </w:pPr>
            <w:r>
              <w:t xml:space="preserve">Academic Intelligence; Knowledge &amp; Market Intelligence; AI Intelligence; Employer Domain (Opportunity Radar only, currently unmet)</w:t>
            </w:r>
          </w:p>
        </w:tc>
      </w:tr>
      <w:tr>
        <w:trPr>
          <w:tblHeader w:val="false"/>
        </w:trPr>
        <w:tc>
          <w:tcPr>
            <w:tcW w:type="dxa" w:w="3600"/>
            <w:shd w:fill="E9EEF5" w:color="auto" w:val="clear"/>
            <w:tcMar>
              <w:top w:type="dxa" w:w="80"/>
              <w:left w:type="dxa" w:w="100"/>
              <w:bottom w:type="dxa" w:w="80"/>
              <w:right w:type="dxa" w:w="100"/>
            </w:tcMar>
            <w:vAlign w:val="center"/>
          </w:tcPr>
          <w:p>
            <w:pPr>
              <w:spacing w:after="40"/>
            </w:pPr>
            <w:r>
              <w:t xml:space="preserve">Academic Intelligence</w:t>
            </w:r>
          </w:p>
        </w:tc>
        <w:tc>
          <w:tcPr>
            <w:tcW w:type="dxa" w:w="5600"/>
            <w:shd w:fill="E9EEF5" w:color="auto" w:val="clear"/>
            <w:tcMar>
              <w:top w:type="dxa" w:w="80"/>
              <w:left w:type="dxa" w:w="100"/>
              <w:bottom w:type="dxa" w:w="80"/>
              <w:right w:type="dxa" w:w="100"/>
            </w:tcMar>
            <w:vAlign w:val="center"/>
          </w:tcPr>
          <w:p>
            <w:pPr>
              <w:spacing w:after="40"/>
            </w:pPr>
            <w:r>
              <w:t xml:space="preserve">None (source domain); Platform Shared Services for identity/access</w:t>
            </w:r>
          </w:p>
        </w:tc>
      </w:tr>
      <w:tr>
        <w:trPr>
          <w:tblHeader w:val="false"/>
        </w:trPr>
        <w:tc>
          <w:tcPr>
            <w:tcW w:type="dxa" w:w="3600"/>
            <w:tcMar>
              <w:top w:type="dxa" w:w="80"/>
              <w:left w:type="dxa" w:w="100"/>
              <w:bottom w:type="dxa" w:w="80"/>
              <w:right w:type="dxa" w:w="100"/>
            </w:tcMar>
            <w:vAlign w:val="center"/>
          </w:tcPr>
          <w:p>
            <w:pPr>
              <w:spacing w:after="40"/>
            </w:pPr>
            <w:r>
              <w:t xml:space="preserve">Knowledge &amp; Market Intelligence</w:t>
            </w:r>
          </w:p>
        </w:tc>
        <w:tc>
          <w:tcPr>
            <w:tcW w:type="dxa" w:w="5600"/>
            <w:tcMar>
              <w:top w:type="dxa" w:w="80"/>
              <w:left w:type="dxa" w:w="100"/>
              <w:bottom w:type="dxa" w:w="80"/>
              <w:right w:type="dxa" w:w="100"/>
            </w:tcMar>
            <w:vAlign w:val="center"/>
          </w:tcPr>
          <w:p>
            <w:pPr>
              <w:spacing w:after="40"/>
            </w:pPr>
            <w:r>
              <w:t xml:space="preserve">Employer Domain (for live data, currently unmet)</w:t>
            </w:r>
          </w:p>
        </w:tc>
      </w:tr>
      <w:tr>
        <w:trPr>
          <w:tblHeader w:val="false"/>
        </w:trPr>
        <w:tc>
          <w:tcPr>
            <w:tcW w:type="dxa" w:w="3600"/>
            <w:shd w:fill="E9EEF5" w:color="auto" w:val="clear"/>
            <w:tcMar>
              <w:top w:type="dxa" w:w="80"/>
              <w:left w:type="dxa" w:w="100"/>
              <w:bottom w:type="dxa" w:w="80"/>
              <w:right w:type="dxa" w:w="100"/>
            </w:tcMar>
            <w:vAlign w:val="center"/>
          </w:tcPr>
          <w:p>
            <w:pPr>
              <w:spacing w:after="40"/>
            </w:pPr>
            <w:r>
              <w:t xml:space="preserve">AI Intelligence</w:t>
            </w:r>
          </w:p>
        </w:tc>
        <w:tc>
          <w:tcPr>
            <w:tcW w:type="dxa" w:w="5600"/>
            <w:shd w:fill="E9EEF5" w:color="auto" w:val="clear"/>
            <w:tcMar>
              <w:top w:type="dxa" w:w="80"/>
              <w:left w:type="dxa" w:w="100"/>
              <w:bottom w:type="dxa" w:w="80"/>
              <w:right w:type="dxa" w:w="100"/>
            </w:tcMar>
            <w:vAlign w:val="center"/>
          </w:tcPr>
          <w:p>
            <w:pPr>
              <w:spacing w:after="40"/>
            </w:pPr>
            <w:r>
              <w:t xml:space="preserve">Academic Intelligence; Knowledge &amp; Market Intelligence</w:t>
            </w:r>
          </w:p>
        </w:tc>
      </w:tr>
      <w:tr>
        <w:trPr>
          <w:tblHeader w:val="false"/>
        </w:trPr>
        <w:tc>
          <w:tcPr>
            <w:tcW w:type="dxa" w:w="3600"/>
            <w:tcMar>
              <w:top w:type="dxa" w:w="80"/>
              <w:left w:type="dxa" w:w="100"/>
              <w:bottom w:type="dxa" w:w="80"/>
              <w:right w:type="dxa" w:w="100"/>
            </w:tcMar>
            <w:vAlign w:val="center"/>
          </w:tcPr>
          <w:p>
            <w:pPr>
              <w:spacing w:after="40"/>
            </w:pPr>
            <w:r>
              <w:t xml:space="preserve">Candidate Experience &amp; Growth</w:t>
            </w:r>
          </w:p>
        </w:tc>
        <w:tc>
          <w:tcPr>
            <w:tcW w:type="dxa" w:w="5600"/>
            <w:tcMar>
              <w:top w:type="dxa" w:w="80"/>
              <w:left w:type="dxa" w:w="100"/>
              <w:bottom w:type="dxa" w:w="80"/>
              <w:right w:type="dxa" w:w="100"/>
            </w:tcMar>
            <w:vAlign w:val="center"/>
          </w:tcPr>
          <w:p>
            <w:pPr>
              <w:spacing w:after="40"/>
            </w:pPr>
            <w:r>
              <w:t xml:space="preserve">Academic Intelligence; Career Intelligence; AI Intelligence (generation quality)</w:t>
            </w:r>
          </w:p>
        </w:tc>
      </w:tr>
      <w:tr>
        <w:trPr>
          <w:tblHeader w:val="false"/>
        </w:trPr>
        <w:tc>
          <w:tcPr>
            <w:tcW w:type="dxa" w:w="3600"/>
            <w:shd w:fill="E9EEF5" w:color="auto" w:val="clear"/>
            <w:tcMar>
              <w:top w:type="dxa" w:w="80"/>
              <w:left w:type="dxa" w:w="100"/>
              <w:bottom w:type="dxa" w:w="80"/>
              <w:right w:type="dxa" w:w="100"/>
            </w:tcMar>
            <w:vAlign w:val="center"/>
          </w:tcPr>
          <w:p>
            <w:pPr>
              <w:spacing w:after="40"/>
            </w:pPr>
            <w:r>
              <w:t xml:space="preserve">Employer Domain</w:t>
            </w:r>
          </w:p>
        </w:tc>
        <w:tc>
          <w:tcPr>
            <w:tcW w:type="dxa" w:w="5600"/>
            <w:shd w:fill="E9EEF5" w:color="auto" w:val="clear"/>
            <w:tcMar>
              <w:top w:type="dxa" w:w="80"/>
              <w:left w:type="dxa" w:w="100"/>
              <w:bottom w:type="dxa" w:w="80"/>
              <w:right w:type="dxa" w:w="100"/>
            </w:tcMar>
            <w:vAlign w:val="center"/>
          </w:tcPr>
          <w:p>
            <w:pPr>
              <w:spacing w:after="40"/>
            </w:pPr>
            <w:r>
              <w:t xml:space="preserve">None upstream (source domain)</w:t>
            </w:r>
          </w:p>
        </w:tc>
      </w:tr>
      <w:tr>
        <w:trPr>
          <w:tblHeader w:val="false"/>
        </w:trPr>
        <w:tc>
          <w:tcPr>
            <w:tcW w:type="dxa" w:w="3600"/>
            <w:tcMar>
              <w:top w:type="dxa" w:w="80"/>
              <w:left w:type="dxa" w:w="100"/>
              <w:bottom w:type="dxa" w:w="80"/>
              <w:right w:type="dxa" w:w="100"/>
            </w:tcMar>
            <w:vAlign w:val="center"/>
          </w:tcPr>
          <w:p>
            <w:pPr>
              <w:spacing w:after="40"/>
            </w:pPr>
            <w:r>
              <w:t xml:space="preserve">Platform Shared Services</w:t>
            </w:r>
          </w:p>
        </w:tc>
        <w:tc>
          <w:tcPr>
            <w:tcW w:type="dxa" w:w="5600"/>
            <w:tcMar>
              <w:top w:type="dxa" w:w="80"/>
              <w:left w:type="dxa" w:w="100"/>
              <w:bottom w:type="dxa" w:w="80"/>
              <w:right w:type="dxa" w:w="100"/>
            </w:tcMar>
            <w:vAlign w:val="center"/>
          </w:tcPr>
          <w:p>
            <w:pPr>
              <w:spacing w:after="40"/>
            </w:pPr>
            <w:r>
              <w:t xml:space="preserve">None upstream (source/infrastructure domain)</w:t>
            </w:r>
          </w:p>
        </w:tc>
      </w:tr>
      <w:tr>
        <w:trPr>
          <w:tblHeader w:val="false"/>
        </w:trPr>
        <w:tc>
          <w:tcPr>
            <w:tcW w:type="dxa" w:w="3600"/>
            <w:shd w:fill="E9EEF5" w:color="auto" w:val="clear"/>
            <w:tcMar>
              <w:top w:type="dxa" w:w="80"/>
              <w:left w:type="dxa" w:w="100"/>
              <w:bottom w:type="dxa" w:w="80"/>
              <w:right w:type="dxa" w:w="100"/>
            </w:tcMar>
            <w:vAlign w:val="center"/>
          </w:tcPr>
          <w:p>
            <w:pPr>
              <w:spacing w:after="40"/>
            </w:pPr>
            <w:r>
              <w:t xml:space="preserve">Governance</w:t>
            </w:r>
          </w:p>
        </w:tc>
        <w:tc>
          <w:tcPr>
            <w:tcW w:type="dxa" w:w="5600"/>
            <w:shd w:fill="E9EEF5" w:color="auto" w:val="clear"/>
            <w:tcMar>
              <w:top w:type="dxa" w:w="80"/>
              <w:left w:type="dxa" w:w="100"/>
              <w:bottom w:type="dxa" w:w="80"/>
              <w:right w:type="dxa" w:w="100"/>
            </w:tcMar>
            <w:vAlign w:val="center"/>
          </w:tcPr>
          <w:p>
            <w:pPr>
              <w:spacing w:after="40"/>
            </w:pPr>
            <w:r>
              <w:t xml:space="preserve">All seven other domains (oversight relationship, not a data dependency)</w:t>
            </w:r>
          </w:p>
        </w:tc>
      </w:tr>
    </w:tbl>
    <w:p>
      <w:pPr>
        <w:spacing w:after="200"/>
      </w:pPr>
    </w:p>
    <w:p>
      <w:pPr>
        <w:pStyle w:val="Heading2"/>
        <w:spacing w:after="200" w:before="320"/>
      </w:pPr>
      <w:r>
        <w:t xml:space="preserve">7.2 Business Dependencies and Information Flow</w:t>
      </w:r>
    </w:p>
    <w:p>
      <w:pPr>
        <w:spacing w:after="160"/>
        <w:jc w:val="both"/>
      </w:pPr>
      <w:r>
        <w:t xml:space="preserve">A typical student journey exercises domains in this order, illustrating business collaboration rather than isolated operation, directly inherited from Phase A Section 8.4: Academic Intelligence (onboarding, profile capture) → Knowledge &amp; Market Intelligence (context assembly) → Career Intelligence (recommendation) → AI Intelligence (conversational refinement) → Career Intelligence again (Opportunity Radar) → Candidate Experience &amp; Growth (document generation). Career Intelligence's health-assessment and simulation capabilities run alongside this flow continuously rather than at a single step, consistent with their longitudinal purpose. Platform Shared Services underlies every step as cross-cutting identity and analytics infrastructure; Governance observes every step without participating in the transactional flow itself.</w:t>
      </w:r>
    </w:p>
    <w:p>
      <w:pPr>
        <w:pStyle w:val="Heading2"/>
        <w:spacing w:after="200" w:before="320"/>
      </w:pPr>
      <w:r>
        <w:t xml:space="preserve">7.3 Knowledge Flow and Decision Flow</w:t>
      </w:r>
    </w:p>
    <w:p>
      <w:pPr>
        <w:pStyle w:val="ListParagraph"/>
        <w:numPr>
          <w:ilvl w:val="0"/>
          <w:numId w:val="2"/>
        </w:numPr>
        <w:spacing w:after="100"/>
      </w:pPr>
      <w:r>
        <w:rPr>
          <w:b/>
          <w:bCs/>
        </w:rPr>
        <w:t xml:space="preserve">Knowledge flow:</w:t>
      </w:r>
      <w:r>
        <w:t xml:space="preserve"> Knowledge &amp; Market Intelligence Domain publishes the versioned taxonomy and market data that both Career Intelligence and AI Intelligence read at decision time; this is a one-directional publish relationship — consuming domains do not write back into the taxonomy.</w:t>
      </w:r>
    </w:p>
    <w:p>
      <w:pPr>
        <w:pStyle w:val="ListParagraph"/>
        <w:numPr>
          <w:ilvl w:val="0"/>
          <w:numId w:val="2"/>
        </w:numPr>
        <w:spacing w:after="100"/>
      </w:pPr>
      <w:r>
        <w:rPr>
          <w:b/>
          <w:bCs/>
        </w:rPr>
        <w:t xml:space="preserve">Decision flow:</w:t>
      </w:r>
      <w:r>
        <w:t xml:space="preserve"> Career Intelligence Domain is where student-facing career decisions (recommendations, health scores, opportunity ranking) are actually made; AI Intelligence Domain supplies the reasoning substrate those decisions run on, but does not itself own the business decision output.</w:t>
      </w:r>
    </w:p>
    <w:p>
      <w:pPr>
        <w:pStyle w:val="Heading2"/>
        <w:spacing w:after="200" w:before="320"/>
      </w:pPr>
      <w:r>
        <w:t xml:space="preserve">7.4 AI Interactions</w:t>
      </w:r>
    </w:p>
    <w:p>
      <w:pPr>
        <w:spacing w:after="160"/>
        <w:jc w:val="both"/>
      </w:pPr>
      <w:r>
        <w:t xml:space="preserve">AI Intelligence Domain is best modeled as a horizontal domain threading through Career Intelligence and Candidate Experience &amp; Growth, rather than a domain that sits cleanly beside them (Section 2.5). Its governance capability (AI Quality &amp; Confidence Governance) is the shared control point through which all AI-mediated output — recommendations, generated documents, conversational advisory — should pass, whichever domain nominally owns the business outcome.</w:t>
      </w:r>
    </w:p>
    <w:p>
      <w:pPr>
        <w:pStyle w:val="Heading2"/>
        <w:spacing w:after="200" w:before="320"/>
      </w:pPr>
      <w:r>
        <w:t xml:space="preserve">7.5 Business Collaboration Summary</w:t>
      </w:r>
    </w:p>
    <w:tbl>
      <w:tblPr>
        <w:tblW w:type="dxa" w:w="920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3400"/>
        <w:gridCol w:w="2800"/>
      </w:tblGrid>
      <w:tr>
        <w:trPr>
          <w:tblHeader/>
        </w:trPr>
        <w:tc>
          <w:tcPr>
            <w:tcW w:type="dxa" w:w="3000"/>
            <w:shd w:fill="1F3864" w:color="auto" w:val="clear"/>
            <w:tcMar>
              <w:top w:type="dxa" w:w="80"/>
              <w:left w:type="dxa" w:w="100"/>
              <w:bottom w:type="dxa" w:w="80"/>
              <w:right w:type="dxa" w:w="100"/>
            </w:tcMar>
            <w:vAlign w:val="center"/>
          </w:tcPr>
          <w:p>
            <w:pPr>
              <w:spacing w:after="40"/>
            </w:pPr>
            <w:r>
              <w:rPr>
                <w:b/>
                <w:bCs/>
                <w:color w:val="FFFFFF"/>
                <w:sz w:val="19"/>
                <w:szCs w:val="19"/>
              </w:rPr>
              <w:t xml:space="preserve"/>
            </w:r>
          </w:p>
        </w:tc>
        <w:tc>
          <w:tcPr>
            <w:tcW w:type="dxa" w:w="3400"/>
            <w:shd w:fill="1F3864" w:color="auto" w:val="clear"/>
            <w:tcMar>
              <w:top w:type="dxa" w:w="80"/>
              <w:left w:type="dxa" w:w="100"/>
              <w:bottom w:type="dxa" w:w="80"/>
              <w:right w:type="dxa" w:w="100"/>
            </w:tcMar>
            <w:vAlign w:val="center"/>
          </w:tcPr>
          <w:p>
            <w:pPr>
              <w:spacing w:after="40"/>
            </w:pPr>
            <w:r>
              <w:rPr>
                <w:b/>
                <w:bCs/>
                <w:color w:val="FFFFFF"/>
                <w:sz w:val="19"/>
                <w:szCs w:val="19"/>
              </w:rPr>
              <w:t xml:space="preserve"/>
            </w:r>
          </w:p>
        </w:tc>
        <w:tc>
          <w:tcPr>
            <w:tcW w:type="dxa" w:w="2800"/>
            <w:shd w:fill="1F3864" w:color="auto" w:val="clear"/>
            <w:tcMar>
              <w:top w:type="dxa" w:w="80"/>
              <w:left w:type="dxa" w:w="100"/>
              <w:bottom w:type="dxa" w:w="80"/>
              <w:right w:type="dxa" w:w="100"/>
            </w:tcMar>
            <w:vAlign w:val="center"/>
          </w:tcPr>
          <w:p>
            <w:pPr>
              <w:spacing w:after="40"/>
            </w:pPr>
            <w:r>
              <w:rPr>
                <w:b/>
                <w:bCs/>
                <w:color w:val="FFFFFF"/>
                <w:sz w:val="19"/>
                <w:szCs w:val="19"/>
              </w:rPr>
              <w:t xml:space="preserve"/>
            </w:r>
          </w:p>
        </w:tc>
      </w:tr>
      <w:tr>
        <w:trPr>
          <w:tblHeader w:val="false"/>
        </w:trPr>
        <w:tc>
          <w:tcPr>
            <w:tcW w:type="dxa" w:w="3000"/>
            <w:tcMar>
              <w:top w:type="dxa" w:w="80"/>
              <w:left w:type="dxa" w:w="100"/>
              <w:bottom w:type="dxa" w:w="80"/>
              <w:right w:type="dxa" w:w="100"/>
            </w:tcMar>
            <w:vAlign w:val="center"/>
          </w:tcPr>
          <w:p>
            <w:pPr>
              <w:spacing w:after="40"/>
            </w:pPr>
            <w:r>
              <w:t xml:space="preserve">Profile-to-recommendation</w:t>
            </w:r>
          </w:p>
        </w:tc>
        <w:tc>
          <w:tcPr>
            <w:tcW w:type="dxa" w:w="3400"/>
            <w:tcMar>
              <w:top w:type="dxa" w:w="80"/>
              <w:left w:type="dxa" w:w="100"/>
              <w:bottom w:type="dxa" w:w="80"/>
              <w:right w:type="dxa" w:w="100"/>
            </w:tcMar>
            <w:vAlign w:val="center"/>
          </w:tcPr>
          <w:p>
            <w:pPr>
              <w:spacing w:after="40"/>
            </w:pPr>
            <w:r>
              <w:t xml:space="preserve">Academic Intelligence → Career Intelligence</w:t>
            </w:r>
          </w:p>
        </w:tc>
        <w:tc>
          <w:tcPr>
            <w:tcW w:type="dxa" w:w="2800"/>
            <w:tcMar>
              <w:top w:type="dxa" w:w="80"/>
              <w:left w:type="dxa" w:w="100"/>
              <w:bottom w:type="dxa" w:w="80"/>
              <w:right w:type="dxa" w:w="100"/>
            </w:tcMar>
            <w:vAlign w:val="center"/>
          </w:tcPr>
          <w:p>
            <w:pPr>
              <w:spacing w:after="40"/>
            </w:pPr>
            <w:r>
              <w:t xml:space="preserve">One-directional data publish</w:t>
            </w:r>
          </w:p>
        </w:tc>
      </w:tr>
      <w:tr>
        <w:trPr>
          <w:tblHeader w:val="false"/>
        </w:trPr>
        <w:tc>
          <w:tcPr>
            <w:tcW w:type="dxa" w:w="3000"/>
            <w:shd w:fill="E9EEF5" w:color="auto" w:val="clear"/>
            <w:tcMar>
              <w:top w:type="dxa" w:w="80"/>
              <w:left w:type="dxa" w:w="100"/>
              <w:bottom w:type="dxa" w:w="80"/>
              <w:right w:type="dxa" w:w="100"/>
            </w:tcMar>
            <w:vAlign w:val="center"/>
          </w:tcPr>
          <w:p>
            <w:pPr>
              <w:spacing w:after="40"/>
            </w:pPr>
            <w:r>
              <w:t xml:space="preserve">Context assembly for reasoning</w:t>
            </w:r>
          </w:p>
        </w:tc>
        <w:tc>
          <w:tcPr>
            <w:tcW w:type="dxa" w:w="3400"/>
            <w:shd w:fill="E9EEF5" w:color="auto" w:val="clear"/>
            <w:tcMar>
              <w:top w:type="dxa" w:w="80"/>
              <w:left w:type="dxa" w:w="100"/>
              <w:bottom w:type="dxa" w:w="80"/>
              <w:right w:type="dxa" w:w="100"/>
            </w:tcMar>
            <w:vAlign w:val="center"/>
          </w:tcPr>
          <w:p>
            <w:pPr>
              <w:spacing w:after="40"/>
            </w:pPr>
            <w:r>
              <w:t xml:space="preserve">Knowledge &amp; Market Intelligence → AI Intelligence → Career Intelligence</w:t>
            </w:r>
          </w:p>
        </w:tc>
        <w:tc>
          <w:tcPr>
            <w:tcW w:type="dxa" w:w="2800"/>
            <w:shd w:fill="E9EEF5" w:color="auto" w:val="clear"/>
            <w:tcMar>
              <w:top w:type="dxa" w:w="80"/>
              <w:left w:type="dxa" w:w="100"/>
              <w:bottom w:type="dxa" w:w="80"/>
              <w:right w:type="dxa" w:w="100"/>
            </w:tcMar>
            <w:vAlign w:val="center"/>
          </w:tcPr>
          <w:p>
            <w:pPr>
              <w:spacing w:after="40"/>
            </w:pPr>
            <w:r>
              <w:t xml:space="preserve">Chained data publish and reasoning</w:t>
            </w:r>
          </w:p>
        </w:tc>
      </w:tr>
      <w:tr>
        <w:trPr>
          <w:tblHeader w:val="false"/>
        </w:trPr>
        <w:tc>
          <w:tcPr>
            <w:tcW w:type="dxa" w:w="3000"/>
            <w:tcMar>
              <w:top w:type="dxa" w:w="80"/>
              <w:left w:type="dxa" w:w="100"/>
              <w:bottom w:type="dxa" w:w="80"/>
              <w:right w:type="dxa" w:w="100"/>
            </w:tcMar>
            <w:vAlign w:val="center"/>
          </w:tcPr>
          <w:p>
            <w:pPr>
              <w:spacing w:after="40"/>
            </w:pPr>
            <w:r>
              <w:t xml:space="preserve">Insight-to-action</w:t>
            </w:r>
          </w:p>
        </w:tc>
        <w:tc>
          <w:tcPr>
            <w:tcW w:type="dxa" w:w="3400"/>
            <w:tcMar>
              <w:top w:type="dxa" w:w="80"/>
              <w:left w:type="dxa" w:w="100"/>
              <w:bottom w:type="dxa" w:w="80"/>
              <w:right w:type="dxa" w:w="100"/>
            </w:tcMar>
            <w:vAlign w:val="center"/>
          </w:tcPr>
          <w:p>
            <w:pPr>
              <w:spacing w:after="40"/>
            </w:pPr>
            <w:r>
              <w:t xml:space="preserve">Career Intelligence → Candidate Experience &amp; Growth</w:t>
            </w:r>
          </w:p>
        </w:tc>
        <w:tc>
          <w:tcPr>
            <w:tcW w:type="dxa" w:w="2800"/>
            <w:tcMar>
              <w:top w:type="dxa" w:w="80"/>
              <w:left w:type="dxa" w:w="100"/>
              <w:bottom w:type="dxa" w:w="80"/>
              <w:right w:type="dxa" w:w="100"/>
            </w:tcMar>
            <w:vAlign w:val="center"/>
          </w:tcPr>
          <w:p>
            <w:pPr>
              <w:spacing w:after="40"/>
            </w:pPr>
            <w:r>
              <w:t xml:space="preserve">One-directional output consumption</w:t>
            </w:r>
          </w:p>
        </w:tc>
      </w:tr>
      <w:tr>
        <w:trPr>
          <w:tblHeader w:val="false"/>
        </w:trPr>
        <w:tc>
          <w:tcPr>
            <w:tcW w:type="dxa" w:w="3000"/>
            <w:shd w:fill="E9EEF5" w:color="auto" w:val="clear"/>
            <w:tcMar>
              <w:top w:type="dxa" w:w="80"/>
              <w:left w:type="dxa" w:w="100"/>
              <w:bottom w:type="dxa" w:w="80"/>
              <w:right w:type="dxa" w:w="100"/>
            </w:tcMar>
            <w:vAlign w:val="center"/>
          </w:tcPr>
          <w:p>
            <w:pPr>
              <w:spacing w:after="40"/>
            </w:pPr>
            <w:r>
              <w:t xml:space="preserve">Future live-feed activation</w:t>
            </w:r>
          </w:p>
        </w:tc>
        <w:tc>
          <w:tcPr>
            <w:tcW w:type="dxa" w:w="3400"/>
            <w:shd w:fill="E9EEF5" w:color="auto" w:val="clear"/>
            <w:tcMar>
              <w:top w:type="dxa" w:w="80"/>
              <w:left w:type="dxa" w:w="100"/>
              <w:bottom w:type="dxa" w:w="80"/>
              <w:right w:type="dxa" w:w="100"/>
            </w:tcMar>
            <w:vAlign w:val="center"/>
          </w:tcPr>
          <w:p>
            <w:pPr>
              <w:spacing w:after="40"/>
            </w:pPr>
            <w:r>
              <w:t xml:space="preserve">Employer Domain → Knowledge &amp; Market Intelligence → Career Intelligence</w:t>
            </w:r>
          </w:p>
        </w:tc>
        <w:tc>
          <w:tcPr>
            <w:tcW w:type="dxa" w:w="2800"/>
            <w:shd w:fill="E9EEF5" w:color="auto" w:val="clear"/>
            <w:tcMar>
              <w:top w:type="dxa" w:w="80"/>
              <w:left w:type="dxa" w:w="100"/>
              <w:bottom w:type="dxa" w:w="80"/>
              <w:right w:type="dxa" w:w="100"/>
            </w:tcMar>
            <w:vAlign w:val="center"/>
          </w:tcPr>
          <w:p>
            <w:pPr>
              <w:spacing w:after="40"/>
            </w:pPr>
            <w:r>
              <w:t xml:space="preserve">Currently theoretical (Section 2.5); becomes a real, governed contract at first signed partner</w:t>
            </w:r>
          </w:p>
        </w:tc>
      </w:tr>
      <w:tr>
        <w:trPr>
          <w:tblHeader w:val="false"/>
        </w:trPr>
        <w:tc>
          <w:tcPr>
            <w:tcW w:type="dxa" w:w="3000"/>
            <w:tcMar>
              <w:top w:type="dxa" w:w="80"/>
              <w:left w:type="dxa" w:w="100"/>
              <w:bottom w:type="dxa" w:w="80"/>
              <w:right w:type="dxa" w:w="100"/>
            </w:tcMar>
            <w:vAlign w:val="center"/>
          </w:tcPr>
          <w:p>
            <w:pPr>
              <w:spacing w:after="40"/>
            </w:pPr>
            <w:r>
              <w:t xml:space="preserve">Cross-cutting infrastructure</w:t>
            </w:r>
          </w:p>
        </w:tc>
        <w:tc>
          <w:tcPr>
            <w:tcW w:type="dxa" w:w="3400"/>
            <w:tcMar>
              <w:top w:type="dxa" w:w="80"/>
              <w:left w:type="dxa" w:w="100"/>
              <w:bottom w:type="dxa" w:w="80"/>
              <w:right w:type="dxa" w:w="100"/>
            </w:tcMar>
            <w:vAlign w:val="center"/>
          </w:tcPr>
          <w:p>
            <w:pPr>
              <w:spacing w:after="40"/>
            </w:pPr>
            <w:r>
              <w:t xml:space="preserve">Platform Shared Services → all domains</w:t>
            </w:r>
          </w:p>
        </w:tc>
        <w:tc>
          <w:tcPr>
            <w:tcW w:type="dxa" w:w="2800"/>
            <w:tcMar>
              <w:top w:type="dxa" w:w="80"/>
              <w:left w:type="dxa" w:w="100"/>
              <w:bottom w:type="dxa" w:w="80"/>
              <w:right w:type="dxa" w:w="100"/>
            </w:tcMar>
            <w:vAlign w:val="center"/>
          </w:tcPr>
          <w:p>
            <w:pPr>
              <w:spacing w:after="40"/>
            </w:pPr>
            <w:r>
              <w:t xml:space="preserve">Many-directional, infrastructure-level</w:t>
            </w:r>
          </w:p>
        </w:tc>
      </w:tr>
      <w:tr>
        <w:trPr>
          <w:tblHeader w:val="false"/>
        </w:trPr>
        <w:tc>
          <w:tcPr>
            <w:tcW w:type="dxa" w:w="3000"/>
            <w:shd w:fill="E9EEF5" w:color="auto" w:val="clear"/>
            <w:tcMar>
              <w:top w:type="dxa" w:w="80"/>
              <w:left w:type="dxa" w:w="100"/>
              <w:bottom w:type="dxa" w:w="80"/>
              <w:right w:type="dxa" w:w="100"/>
            </w:tcMar>
            <w:vAlign w:val="center"/>
          </w:tcPr>
          <w:p>
            <w:pPr>
              <w:spacing w:after="40"/>
            </w:pPr>
            <w:r>
              <w:t xml:space="preserve">Cross-cutting oversight</w:t>
            </w:r>
          </w:p>
        </w:tc>
        <w:tc>
          <w:tcPr>
            <w:tcW w:type="dxa" w:w="3400"/>
            <w:shd w:fill="E9EEF5" w:color="auto" w:val="clear"/>
            <w:tcMar>
              <w:top w:type="dxa" w:w="80"/>
              <w:left w:type="dxa" w:w="100"/>
              <w:bottom w:type="dxa" w:w="80"/>
              <w:right w:type="dxa" w:w="100"/>
            </w:tcMar>
            <w:vAlign w:val="center"/>
          </w:tcPr>
          <w:p>
            <w:pPr>
              <w:spacing w:after="40"/>
            </w:pPr>
            <w:r>
              <w:t xml:space="preserve">Governance → all domains</w:t>
            </w:r>
          </w:p>
        </w:tc>
        <w:tc>
          <w:tcPr>
            <w:tcW w:type="dxa" w:w="2800"/>
            <w:shd w:fill="E9EEF5" w:color="auto" w:val="clear"/>
            <w:tcMar>
              <w:top w:type="dxa" w:w="80"/>
              <w:left w:type="dxa" w:w="100"/>
              <w:bottom w:type="dxa" w:w="80"/>
              <w:right w:type="dxa" w:w="100"/>
            </w:tcMar>
            <w:vAlign w:val="center"/>
          </w:tcPr>
          <w:p>
            <w:pPr>
              <w:spacing w:after="40"/>
            </w:pPr>
            <w:r>
              <w:t xml:space="preserve">Many-directional, observational, non-transactional</w:t>
            </w:r>
          </w:p>
        </w:tc>
      </w:tr>
    </w:tbl>
    <w:p>
      <w:pPr>
        <w:spacing w:after="200"/>
      </w:pPr>
    </w:p>
    <w:p>
      <w:pPr>
        <w:pStyle w:val="Heading1"/>
        <w:pageBreakBefore/>
        <w:spacing w:after="200" w:before="480"/>
      </w:pPr>
      <w:r>
        <w:t xml:space="preserve">8. Bounded Contexts</w:t>
      </w:r>
    </w:p>
    <w:p>
      <w:pPr>
        <w:spacing w:after="160"/>
        <w:jc w:val="both"/>
      </w:pPr>
      <w:r>
        <w:t xml:space="preserve">Per the source program's Business Domain Principles, tactical DDD apparatus is used only where it improves clarity, and bounded-context decomposition is applied only where the repository shows an independently evidenced sub-part — the same discipline Phase A applied via ADR-BC-06 at the capability level. Below, each domain's internal bounded contexts are named only where the underlying capabilities are separately evidenced (distinct modules, distinct data shapes, or distinct consumer bases per Phase A Section 7); domains with a single internally cohesive capability set are not artificially subdivided.</w:t>
      </w:r>
    </w:p>
    <w:p>
      <w:pPr>
        <w:pStyle w:val="Heading2"/>
        <w:spacing w:after="200" w:before="320"/>
      </w:pPr>
      <w:r>
        <w:t xml:space="preserve">8.1 Career Intelligence Domain — Bounded Contexts</w:t>
      </w:r>
    </w:p>
    <w:p>
      <w:pPr>
        <w:pStyle w:val="ListParagraph"/>
        <w:numPr>
          <w:ilvl w:val="0"/>
          <w:numId w:val="2"/>
        </w:numPr>
        <w:spacing w:after="100"/>
      </w:pPr>
      <w:r>
        <w:rPr>
          <w:b/>
          <w:bCs/>
        </w:rPr>
        <w:t xml:space="preserve">Recommendation Context</w:t>
      </w:r>
      <w:r>
        <w:t xml:space="preserve"> — owns career-copilot, careerGraph, roles, roleAliases, jobMatchPremium, qualification; published language is a ranked, explained recommendation object.</w:t>
      </w:r>
    </w:p>
    <w:p>
      <w:pPr>
        <w:pStyle w:val="ListParagraph"/>
        <w:numPr>
          <w:ilvl w:val="0"/>
          <w:numId w:val="2"/>
        </w:numPr>
        <w:spacing w:after="100"/>
      </w:pPr>
      <w:r>
        <w:rPr>
          <w:b/>
          <w:bCs/>
        </w:rPr>
        <w:t xml:space="preserve">Simulation Context</w:t>
      </w:r>
      <w:r>
        <w:t xml:space="preserve"> — owns career-digital-twin; currently an interface/export shell (Level 1) with no populated engine; published language will be a simulated-trajectory object once populated.</w:t>
      </w:r>
    </w:p>
    <w:p>
      <w:pPr>
        <w:pStyle w:val="ListParagraph"/>
        <w:numPr>
          <w:ilvl w:val="0"/>
          <w:numId w:val="2"/>
        </w:numPr>
        <w:spacing w:after="100"/>
      </w:pPr>
      <w:r>
        <w:rPr>
          <w:b/>
          <w:bCs/>
        </w:rPr>
        <w:t xml:space="preserve">Health Assessment Context</w:t>
      </w:r>
      <w:r>
        <w:t xml:space="preserve"> — owns careerHealthIndex and the in-flight chiV2; published language is a composite health-score object with contributing factors.</w:t>
      </w:r>
    </w:p>
    <w:p>
      <w:pPr>
        <w:pStyle w:val="ListParagraph"/>
        <w:numPr>
          <w:ilvl w:val="0"/>
          <w:numId w:val="2"/>
        </w:numPr>
        <w:spacing w:after="100"/>
      </w:pPr>
      <w:r>
        <w:rPr>
          <w:b/>
          <w:bCs/>
        </w:rPr>
        <w:t xml:space="preserve">Opportunity Context</w:t>
      </w:r>
      <w:r>
        <w:t xml:space="preserve"> — owns opportunityRadar and jobMatchPremium; published language is a ranked opportunity-match object.</w:t>
      </w:r>
    </w:p>
    <w:p>
      <w:pPr>
        <w:pStyle w:val="ListParagraph"/>
        <w:numPr>
          <w:ilvl w:val="0"/>
          <w:numId w:val="2"/>
        </w:numPr>
        <w:spacing w:after="100"/>
      </w:pPr>
      <w:r>
        <w:t xml:space="preserve">These four contexts share concepts (student profile reference, skill/role identifiers from the taxonomy) but each owns its own output object; no anti-corruption layer is currently evidenced between them because they are developed as one integrated module set today — a target-state consideration only if the domain's ownership ever separates (Section 9).</w:t>
      </w:r>
    </w:p>
    <w:p>
      <w:pPr>
        <w:pStyle w:val="Heading2"/>
        <w:spacing w:after="200" w:before="320"/>
      </w:pPr>
      <w:r>
        <w:t xml:space="preserve">8.2 AI Intelligence Domain — Bounded Contexts</w:t>
      </w:r>
    </w:p>
    <w:p>
      <w:pPr>
        <w:pStyle w:val="ListParagraph"/>
        <w:numPr>
          <w:ilvl w:val="0"/>
          <w:numId w:val="2"/>
        </w:numPr>
        <w:spacing w:after="100"/>
      </w:pPr>
      <w:r>
        <w:rPr>
          <w:b/>
          <w:bCs/>
        </w:rPr>
        <w:t xml:space="preserve">Conversational Advisory Context</w:t>
      </w:r>
      <w:r>
        <w:t xml:space="preserve"> — owns ai-career-advisor and ava-memory; published language is a conversational response plus memory-referenced context.</w:t>
      </w:r>
    </w:p>
    <w:p>
      <w:pPr>
        <w:pStyle w:val="ListParagraph"/>
        <w:numPr>
          <w:ilvl w:val="0"/>
          <w:numId w:val="2"/>
        </w:numPr>
        <w:spacing w:after="100"/>
      </w:pPr>
      <w:r>
        <w:rPr>
          <w:b/>
          <w:bCs/>
        </w:rPr>
        <w:t xml:space="preserve">Agent Coordination Context</w:t>
      </w:r>
      <w:r>
        <w:t xml:space="preserve"> — owns career-copilot's six agent classes and careerAgentCoordinator.js; published language is a coordinated multi-agent task result (Phase A Section 8.1's evidenced Level-2 decomposition).</w:t>
      </w:r>
    </w:p>
    <w:p>
      <w:pPr>
        <w:pStyle w:val="ListParagraph"/>
        <w:numPr>
          <w:ilvl w:val="0"/>
          <w:numId w:val="2"/>
        </w:numPr>
        <w:spacing w:after="100"/>
      </w:pPr>
      <w:r>
        <w:rPr>
          <w:b/>
          <w:bCs/>
        </w:rPr>
        <w:t xml:space="preserve">Quality Governance Context</w:t>
      </w:r>
      <w:r>
        <w:t xml:space="preserve"> — owns the confidence-language, shadow-evaluation, and circuit-breaker modules; acts as an anti-corruption boundary between raw AI-provider output and every consuming domain, translating provider-specific responses into a governed, confidence-scored published language.</w:t>
      </w:r>
    </w:p>
    <w:p>
      <w:pPr>
        <w:pStyle w:val="Heading2"/>
        <w:spacing w:after="200" w:before="320"/>
      </w:pPr>
      <w:r>
        <w:t xml:space="preserve">8.3 Shared Concepts and Published Language Across Domains</w:t>
      </w:r>
    </w:p>
    <w:tbl>
      <w:tblPr>
        <w:tblW w:type="dxa" w:w="920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800"/>
        <w:gridCol w:w="3400"/>
      </w:tblGrid>
      <w:tr>
        <w:trPr>
          <w:tblHeader/>
        </w:trPr>
        <w:tc>
          <w:tcPr>
            <w:tcW w:type="dxa" w:w="3000"/>
            <w:shd w:fill="1F3864" w:color="auto" w:val="clear"/>
            <w:tcMar>
              <w:top w:type="dxa" w:w="80"/>
              <w:left w:type="dxa" w:w="100"/>
              <w:bottom w:type="dxa" w:w="80"/>
              <w:right w:type="dxa" w:w="100"/>
            </w:tcMar>
            <w:vAlign w:val="center"/>
          </w:tcPr>
          <w:p>
            <w:pPr>
              <w:spacing w:after="40"/>
            </w:pPr>
            <w:r>
              <w:rPr>
                <w:b/>
                <w:bCs/>
                <w:color w:val="FFFFFF"/>
                <w:sz w:val="19"/>
                <w:szCs w:val="19"/>
              </w:rPr>
              <w:t xml:space="preserve"/>
            </w:r>
          </w:p>
        </w:tc>
        <w:tc>
          <w:tcPr>
            <w:tcW w:type="dxa" w:w="2800"/>
            <w:shd w:fill="1F3864" w:color="auto" w:val="clear"/>
            <w:tcMar>
              <w:top w:type="dxa" w:w="80"/>
              <w:left w:type="dxa" w:w="100"/>
              <w:bottom w:type="dxa" w:w="80"/>
              <w:right w:type="dxa" w:w="100"/>
            </w:tcMar>
            <w:vAlign w:val="center"/>
          </w:tcPr>
          <w:p>
            <w:pPr>
              <w:spacing w:after="40"/>
            </w:pPr>
            <w:r>
              <w:rPr>
                <w:b/>
                <w:bCs/>
                <w:color w:val="FFFFFF"/>
                <w:sz w:val="19"/>
                <w:szCs w:val="19"/>
              </w:rPr>
              <w:t xml:space="preserve"/>
            </w:r>
          </w:p>
        </w:tc>
        <w:tc>
          <w:tcPr>
            <w:tcW w:type="dxa" w:w="3400"/>
            <w:shd w:fill="1F3864" w:color="auto" w:val="clear"/>
            <w:tcMar>
              <w:top w:type="dxa" w:w="80"/>
              <w:left w:type="dxa" w:w="100"/>
              <w:bottom w:type="dxa" w:w="80"/>
              <w:right w:type="dxa" w:w="100"/>
            </w:tcMar>
            <w:vAlign w:val="center"/>
          </w:tcPr>
          <w:p>
            <w:pPr>
              <w:spacing w:after="40"/>
            </w:pPr>
            <w:r>
              <w:rPr>
                <w:b/>
                <w:bCs/>
                <w:color w:val="FFFFFF"/>
                <w:sz w:val="19"/>
                <w:szCs w:val="19"/>
              </w:rPr>
              <w:t xml:space="preserve"/>
            </w:r>
          </w:p>
        </w:tc>
      </w:tr>
      <w:tr>
        <w:trPr>
          <w:tblHeader w:val="false"/>
        </w:trPr>
        <w:tc>
          <w:tcPr>
            <w:tcW w:type="dxa" w:w="3000"/>
            <w:tcMar>
              <w:top w:type="dxa" w:w="80"/>
              <w:left w:type="dxa" w:w="100"/>
              <w:bottom w:type="dxa" w:w="80"/>
              <w:right w:type="dxa" w:w="100"/>
            </w:tcMar>
            <w:vAlign w:val="center"/>
          </w:tcPr>
          <w:p>
            <w:pPr>
              <w:spacing w:after="40"/>
            </w:pPr>
            <w:r>
              <w:t xml:space="preserve">Academic profile object</w:t>
            </w:r>
          </w:p>
        </w:tc>
        <w:tc>
          <w:tcPr>
            <w:tcW w:type="dxa" w:w="2800"/>
            <w:tcMar>
              <w:top w:type="dxa" w:w="80"/>
              <w:left w:type="dxa" w:w="100"/>
              <w:bottom w:type="dxa" w:w="80"/>
              <w:right w:type="dxa" w:w="100"/>
            </w:tcMar>
            <w:vAlign w:val="center"/>
          </w:tcPr>
          <w:p>
            <w:pPr>
              <w:spacing w:after="40"/>
            </w:pPr>
            <w:r>
              <w:t xml:space="preserve">Academic Intelligence</w:t>
            </w:r>
          </w:p>
        </w:tc>
        <w:tc>
          <w:tcPr>
            <w:tcW w:type="dxa" w:w="3400"/>
            <w:tcMar>
              <w:top w:type="dxa" w:w="80"/>
              <w:left w:type="dxa" w:w="100"/>
              <w:bottom w:type="dxa" w:w="80"/>
              <w:right w:type="dxa" w:w="100"/>
            </w:tcMar>
            <w:vAlign w:val="center"/>
          </w:tcPr>
          <w:p>
            <w:pPr>
              <w:spacing w:after="40"/>
            </w:pPr>
            <w:r>
              <w:t xml:space="preserve">Career Intelligence; AI Intelligence; Candidate Experience &amp; Growth</w:t>
            </w:r>
          </w:p>
        </w:tc>
      </w:tr>
      <w:tr>
        <w:trPr>
          <w:tblHeader w:val="false"/>
        </w:trPr>
        <w:tc>
          <w:tcPr>
            <w:tcW w:type="dxa" w:w="3000"/>
            <w:shd w:fill="E9EEF5" w:color="auto" w:val="clear"/>
            <w:tcMar>
              <w:top w:type="dxa" w:w="80"/>
              <w:left w:type="dxa" w:w="100"/>
              <w:bottom w:type="dxa" w:w="80"/>
              <w:right w:type="dxa" w:w="100"/>
            </w:tcMar>
            <w:vAlign w:val="center"/>
          </w:tcPr>
          <w:p>
            <w:pPr>
              <w:spacing w:after="40"/>
            </w:pPr>
            <w:r>
              <w:t xml:space="preserve">Skill/role/job-family taxonomy (versioned)</w:t>
            </w:r>
          </w:p>
        </w:tc>
        <w:tc>
          <w:tcPr>
            <w:tcW w:type="dxa" w:w="2800"/>
            <w:shd w:fill="E9EEF5" w:color="auto" w:val="clear"/>
            <w:tcMar>
              <w:top w:type="dxa" w:w="80"/>
              <w:left w:type="dxa" w:w="100"/>
              <w:bottom w:type="dxa" w:w="80"/>
              <w:right w:type="dxa" w:w="100"/>
            </w:tcMar>
            <w:vAlign w:val="center"/>
          </w:tcPr>
          <w:p>
            <w:pPr>
              <w:spacing w:after="40"/>
            </w:pPr>
            <w:r>
              <w:t xml:space="preserve">Knowledge &amp; Market Intelligence</w:t>
            </w:r>
          </w:p>
        </w:tc>
        <w:tc>
          <w:tcPr>
            <w:tcW w:type="dxa" w:w="3400"/>
            <w:shd w:fill="E9EEF5" w:color="auto" w:val="clear"/>
            <w:tcMar>
              <w:top w:type="dxa" w:w="80"/>
              <w:left w:type="dxa" w:w="100"/>
              <w:bottom w:type="dxa" w:w="80"/>
              <w:right w:type="dxa" w:w="100"/>
            </w:tcMar>
            <w:vAlign w:val="center"/>
          </w:tcPr>
          <w:p>
            <w:pPr>
              <w:spacing w:after="40"/>
            </w:pPr>
            <w:r>
              <w:t xml:space="preserve">Career Intelligence; AI Intelligence; Candidate Experience &amp; Growth</w:t>
            </w:r>
          </w:p>
        </w:tc>
      </w:tr>
      <w:tr>
        <w:trPr>
          <w:tblHeader w:val="false"/>
        </w:trPr>
        <w:tc>
          <w:tcPr>
            <w:tcW w:type="dxa" w:w="3000"/>
            <w:tcMar>
              <w:top w:type="dxa" w:w="80"/>
              <w:left w:type="dxa" w:w="100"/>
              <w:bottom w:type="dxa" w:w="80"/>
              <w:right w:type="dxa" w:w="100"/>
            </w:tcMar>
            <w:vAlign w:val="center"/>
          </w:tcPr>
          <w:p>
            <w:pPr>
              <w:spacing w:after="40"/>
            </w:pPr>
            <w:r>
              <w:t xml:space="preserve">Recommendation object</w:t>
            </w:r>
          </w:p>
        </w:tc>
        <w:tc>
          <w:tcPr>
            <w:tcW w:type="dxa" w:w="2800"/>
            <w:tcMar>
              <w:top w:type="dxa" w:w="80"/>
              <w:left w:type="dxa" w:w="100"/>
              <w:bottom w:type="dxa" w:w="80"/>
              <w:right w:type="dxa" w:w="100"/>
            </w:tcMar>
            <w:vAlign w:val="center"/>
          </w:tcPr>
          <w:p>
            <w:pPr>
              <w:spacing w:after="40"/>
            </w:pPr>
            <w:r>
              <w:t xml:space="preserve">Career Intelligence (Recommendation Context)</w:t>
            </w:r>
          </w:p>
        </w:tc>
        <w:tc>
          <w:tcPr>
            <w:tcW w:type="dxa" w:w="3400"/>
            <w:tcMar>
              <w:top w:type="dxa" w:w="80"/>
              <w:left w:type="dxa" w:w="100"/>
              <w:bottom w:type="dxa" w:w="80"/>
              <w:right w:type="dxa" w:w="100"/>
            </w:tcMar>
            <w:vAlign w:val="center"/>
          </w:tcPr>
          <w:p>
            <w:pPr>
              <w:spacing w:after="40"/>
            </w:pPr>
            <w:r>
              <w:t xml:space="preserve">AI Intelligence (as conversational grounding); Candidate Experience &amp; Growth</w:t>
            </w:r>
          </w:p>
        </w:tc>
      </w:tr>
      <w:tr>
        <w:trPr>
          <w:tblHeader w:val="false"/>
        </w:trPr>
        <w:tc>
          <w:tcPr>
            <w:tcW w:type="dxa" w:w="3000"/>
            <w:shd w:fill="E9EEF5" w:color="auto" w:val="clear"/>
            <w:tcMar>
              <w:top w:type="dxa" w:w="80"/>
              <w:left w:type="dxa" w:w="100"/>
              <w:bottom w:type="dxa" w:w="80"/>
              <w:right w:type="dxa" w:w="100"/>
            </w:tcMar>
            <w:vAlign w:val="center"/>
          </w:tcPr>
          <w:p>
            <w:pPr>
              <w:spacing w:after="40"/>
            </w:pPr>
            <w:r>
              <w:t xml:space="preserve">AI-governed output object</w:t>
            </w:r>
          </w:p>
        </w:tc>
        <w:tc>
          <w:tcPr>
            <w:tcW w:type="dxa" w:w="2800"/>
            <w:shd w:fill="E9EEF5" w:color="auto" w:val="clear"/>
            <w:tcMar>
              <w:top w:type="dxa" w:w="80"/>
              <w:left w:type="dxa" w:w="100"/>
              <w:bottom w:type="dxa" w:w="80"/>
              <w:right w:type="dxa" w:w="100"/>
            </w:tcMar>
            <w:vAlign w:val="center"/>
          </w:tcPr>
          <w:p>
            <w:pPr>
              <w:spacing w:after="40"/>
            </w:pPr>
            <w:r>
              <w:t xml:space="preserve">AI Intelligence (Quality Governance Context)</w:t>
            </w:r>
          </w:p>
        </w:tc>
        <w:tc>
          <w:tcPr>
            <w:tcW w:type="dxa" w:w="3400"/>
            <w:shd w:fill="E9EEF5" w:color="auto" w:val="clear"/>
            <w:tcMar>
              <w:top w:type="dxa" w:w="80"/>
              <w:left w:type="dxa" w:w="100"/>
              <w:bottom w:type="dxa" w:w="80"/>
              <w:right w:type="dxa" w:w="100"/>
            </w:tcMar>
            <w:vAlign w:val="center"/>
          </w:tcPr>
          <w:p>
            <w:pPr>
              <w:spacing w:after="40"/>
            </w:pPr>
            <w:r>
              <w:t xml:space="preserve">Career Intelligence; Candidate Experience &amp; Growth</w:t>
            </w:r>
          </w:p>
        </w:tc>
      </w:tr>
      <w:tr>
        <w:trPr>
          <w:tblHeader w:val="false"/>
        </w:trPr>
        <w:tc>
          <w:tcPr>
            <w:tcW w:type="dxa" w:w="3000"/>
            <w:tcMar>
              <w:top w:type="dxa" w:w="80"/>
              <w:left w:type="dxa" w:w="100"/>
              <w:bottom w:type="dxa" w:w="80"/>
              <w:right w:type="dxa" w:w="100"/>
            </w:tcMar>
            <w:vAlign w:val="center"/>
          </w:tcPr>
          <w:p>
            <w:pPr>
              <w:spacing w:after="40"/>
            </w:pPr>
            <w:r>
              <w:t xml:space="preserve">Identity/session context</w:t>
            </w:r>
          </w:p>
        </w:tc>
        <w:tc>
          <w:tcPr>
            <w:tcW w:type="dxa" w:w="2800"/>
            <w:tcMar>
              <w:top w:type="dxa" w:w="80"/>
              <w:left w:type="dxa" w:w="100"/>
              <w:bottom w:type="dxa" w:w="80"/>
              <w:right w:type="dxa" w:w="100"/>
            </w:tcMar>
            <w:vAlign w:val="center"/>
          </w:tcPr>
          <w:p>
            <w:pPr>
              <w:spacing w:after="40"/>
            </w:pPr>
            <w:r>
              <w:t xml:space="preserve">Platform Shared Services</w:t>
            </w:r>
          </w:p>
        </w:tc>
        <w:tc>
          <w:tcPr>
            <w:tcW w:type="dxa" w:w="3400"/>
            <w:tcMar>
              <w:top w:type="dxa" w:w="80"/>
              <w:left w:type="dxa" w:w="100"/>
              <w:bottom w:type="dxa" w:w="80"/>
              <w:right w:type="dxa" w:w="100"/>
            </w:tcMar>
            <w:vAlign w:val="center"/>
          </w:tcPr>
          <w:p>
            <w:pPr>
              <w:spacing w:after="40"/>
            </w:pPr>
            <w:r>
              <w:t xml:space="preserve">All domains</w:t>
            </w:r>
          </w:p>
        </w:tc>
      </w:tr>
    </w:tbl>
    <w:p>
      <w:pPr>
        <w:spacing w:after="200"/>
      </w:pPr>
    </w:p>
    <w:p>
      <w:pPr>
        <w:pStyle w:val="Heading2"/>
        <w:spacing w:after="200" w:before="320"/>
      </w:pPr>
      <w:r>
        <w:t xml:space="preserve">8.4 Anti-Corruption Boundaries</w:t>
      </w:r>
    </w:p>
    <w:p>
      <w:pPr>
        <w:spacing w:after="160"/>
        <w:jc w:val="both"/>
      </w:pPr>
      <w:r>
        <w:t xml:space="preserve">The clearest evidenced anti-corruption boundary in the platform is inside the AI Intelligence Domain: its Quality Governance Context exists specifically to prevent raw, provider-specific AI output (from any of the five fallback providers) from leaking un-normalized into Career Intelligence or Candidate Experience &amp; Growth. No other domain boundary in the current repository shows an equivalent explicit translation layer; the Employer Domain's eventual live-feed boundary (Section 2.5, Section 6) is the next place such a layer will be needed, and its absence today is a design gap to close before, not after, the first partner integration goes live.</w:t>
      </w:r>
    </w:p>
    <w:p>
      <w:pPr>
        <w:pStyle w:val="Heading1"/>
        <w:pageBreakBefore/>
        <w:spacing w:after="200" w:before="480"/>
      </w:pPr>
      <w:r>
        <w:t xml:space="preserve">9. Domain Ownership</w:t>
      </w:r>
    </w:p>
    <w:p>
      <w:pPr>
        <w:spacing w:after="160"/>
        <w:jc w:val="both"/>
      </w:pPr>
      <w:r>
        <w:t xml:space="preserve">Consistent with EEP-01 Phase H and Phase A Section 12, this section states current ownership honestly — frequently "the general product/engineering function," because no separated business functions are evidenced in the repository — rather than inventing a large-organization RACI. Target ownership is the structure to grow into, each with its own adoption trigger.</w:t>
      </w:r>
    </w:p>
    <w:tbl>
      <w:tblPr>
        <w:tblW w:type="dxa" w:w="9800"/>
        <w:tblBorders>
          <w:top w:val="single" w:color="AAAAAA" w:sz="2"/>
          <w:left w:val="single" w:color="AAAAAA" w:sz="2"/>
          <w:bottom w:val="single" w:color="AAAAAA" w:sz="2"/>
          <w:right w:val="single" w:color="AAAAAA" w:sz="2"/>
          <w:insideH w:val="single" w:color="CCCCCC" w:sz="2"/>
          <w:insideV w:val="single" w:color="CCCCCC" w:sz="2"/>
        </w:tblBorders>
      </w:tblPr>
      <w:tblGrid>
        <w:gridCol w:w="1700"/>
        <w:gridCol w:w="1500"/>
        <w:gridCol w:w="1500"/>
        <w:gridCol w:w="1500"/>
        <w:gridCol w:w="1500"/>
        <w:gridCol w:w="2100"/>
      </w:tblGrid>
      <w:tr>
        <w:trPr>
          <w:tblHeader/>
        </w:trPr>
        <w:tc>
          <w:tcPr>
            <w:tcW w:type="dxa" w:w="1700"/>
            <w:shd w:fill="1F3864" w:color="auto" w:val="clear"/>
            <w:tcMar>
              <w:top w:type="dxa" w:w="80"/>
              <w:left w:type="dxa" w:w="100"/>
              <w:bottom w:type="dxa" w:w="80"/>
              <w:right w:type="dxa" w:w="100"/>
            </w:tcMar>
            <w:vAlign w:val="center"/>
          </w:tcPr>
          <w:p>
            <w:pPr>
              <w:spacing w:after="40"/>
            </w:pPr>
            <w:r>
              <w:rPr>
                <w:b/>
                <w:bCs/>
                <w:color w:val="FFFFFF"/>
                <w:sz w:val="19"/>
                <w:szCs w:val="19"/>
              </w:rPr>
              <w:t xml:space="preserve"/>
            </w:r>
          </w:p>
        </w:tc>
        <w:tc>
          <w:tcPr>
            <w:tcW w:type="dxa" w:w="1500"/>
            <w:shd w:fill="1F3864" w:color="auto" w:val="clear"/>
            <w:tcMar>
              <w:top w:type="dxa" w:w="80"/>
              <w:left w:type="dxa" w:w="100"/>
              <w:bottom w:type="dxa" w:w="80"/>
              <w:right w:type="dxa" w:w="100"/>
            </w:tcMar>
            <w:vAlign w:val="center"/>
          </w:tcPr>
          <w:p>
            <w:pPr>
              <w:spacing w:after="40"/>
            </w:pPr>
            <w:r>
              <w:rPr>
                <w:b/>
                <w:bCs/>
                <w:color w:val="FFFFFF"/>
                <w:sz w:val="19"/>
                <w:szCs w:val="19"/>
              </w:rPr>
              <w:t xml:space="preserve"/>
            </w:r>
          </w:p>
        </w:tc>
        <w:tc>
          <w:tcPr>
            <w:tcW w:type="dxa" w:w="1500"/>
            <w:shd w:fill="1F3864" w:color="auto" w:val="clear"/>
            <w:tcMar>
              <w:top w:type="dxa" w:w="80"/>
              <w:left w:type="dxa" w:w="100"/>
              <w:bottom w:type="dxa" w:w="80"/>
              <w:right w:type="dxa" w:w="100"/>
            </w:tcMar>
            <w:vAlign w:val="center"/>
          </w:tcPr>
          <w:p>
            <w:pPr>
              <w:spacing w:after="40"/>
            </w:pPr>
            <w:r>
              <w:rPr>
                <w:b/>
                <w:bCs/>
                <w:color w:val="FFFFFF"/>
                <w:sz w:val="19"/>
                <w:szCs w:val="19"/>
              </w:rPr>
              <w:t xml:space="preserve"/>
            </w:r>
          </w:p>
        </w:tc>
        <w:tc>
          <w:tcPr>
            <w:tcW w:type="dxa" w:w="1500"/>
            <w:shd w:fill="1F3864" w:color="auto" w:val="clear"/>
            <w:tcMar>
              <w:top w:type="dxa" w:w="80"/>
              <w:left w:type="dxa" w:w="100"/>
              <w:bottom w:type="dxa" w:w="80"/>
              <w:right w:type="dxa" w:w="100"/>
            </w:tcMar>
            <w:vAlign w:val="center"/>
          </w:tcPr>
          <w:p>
            <w:pPr>
              <w:spacing w:after="40"/>
            </w:pPr>
            <w:r>
              <w:rPr>
                <w:b/>
                <w:bCs/>
                <w:color w:val="FFFFFF"/>
                <w:sz w:val="19"/>
                <w:szCs w:val="19"/>
              </w:rPr>
              <w:t xml:space="preserve"/>
            </w:r>
          </w:p>
        </w:tc>
        <w:tc>
          <w:tcPr>
            <w:tcW w:type="dxa" w:w="1500"/>
            <w:shd w:fill="1F3864" w:color="auto" w:val="clear"/>
            <w:tcMar>
              <w:top w:type="dxa" w:w="80"/>
              <w:left w:type="dxa" w:w="100"/>
              <w:bottom w:type="dxa" w:w="80"/>
              <w:right w:type="dxa" w:w="100"/>
            </w:tcMar>
            <w:vAlign w:val="center"/>
          </w:tcPr>
          <w:p>
            <w:pPr>
              <w:spacing w:after="40"/>
            </w:pPr>
            <w:r>
              <w:rPr>
                <w:b/>
                <w:bCs/>
                <w:color w:val="FFFFFF"/>
                <w:sz w:val="19"/>
                <w:szCs w:val="19"/>
              </w:rPr>
              <w:t xml:space="preserve"/>
            </w:r>
          </w:p>
        </w:tc>
        <w:tc>
          <w:tcPr>
            <w:tcW w:type="dxa" w:w="2100"/>
            <w:shd w:fill="1F3864" w:color="auto" w:val="clear"/>
            <w:tcMar>
              <w:top w:type="dxa" w:w="80"/>
              <w:left w:type="dxa" w:w="100"/>
              <w:bottom w:type="dxa" w:w="80"/>
              <w:right w:type="dxa" w:w="100"/>
            </w:tcMar>
            <w:vAlign w:val="center"/>
          </w:tcPr>
          <w:p>
            <w:pPr>
              <w:spacing w:after="40"/>
            </w:pPr>
            <w:r>
              <w:rPr>
                <w:b/>
                <w:bCs/>
                <w:color w:val="FFFFFF"/>
                <w:sz w:val="19"/>
                <w:szCs w:val="19"/>
              </w:rPr>
              <w:t xml:space="preserve"/>
            </w:r>
          </w:p>
        </w:tc>
      </w:tr>
      <w:tr>
        <w:trPr>
          <w:tblHeader w:val="false"/>
        </w:trPr>
        <w:tc>
          <w:tcPr>
            <w:tcW w:type="dxa" w:w="1700"/>
            <w:tcMar>
              <w:top w:type="dxa" w:w="80"/>
              <w:left w:type="dxa" w:w="100"/>
              <w:bottom w:type="dxa" w:w="80"/>
              <w:right w:type="dxa" w:w="100"/>
            </w:tcMar>
            <w:vAlign w:val="center"/>
          </w:tcPr>
          <w:p>
            <w:pPr>
              <w:spacing w:after="40"/>
            </w:pPr>
            <w:r>
              <w:t xml:space="preserve">Career Intelligence</w:t>
            </w:r>
          </w:p>
        </w:tc>
        <w:tc>
          <w:tcPr>
            <w:tcW w:type="dxa" w:w="1500"/>
            <w:tcMar>
              <w:top w:type="dxa" w:w="80"/>
              <w:left w:type="dxa" w:w="100"/>
              <w:bottom w:type="dxa" w:w="80"/>
              <w:right w:type="dxa" w:w="100"/>
            </w:tcMar>
            <w:vAlign w:val="center"/>
          </w:tcPr>
          <w:p>
            <w:pPr>
              <w:spacing w:after="40"/>
            </w:pPr>
            <w:r>
              <w:t xml:space="preserve">General product/eng function</w:t>
            </w:r>
          </w:p>
        </w:tc>
        <w:tc>
          <w:tcPr>
            <w:tcW w:type="dxa" w:w="1500"/>
            <w:tcMar>
              <w:top w:type="dxa" w:w="80"/>
              <w:left w:type="dxa" w:w="100"/>
              <w:bottom w:type="dxa" w:w="80"/>
              <w:right w:type="dxa" w:w="100"/>
            </w:tcMar>
            <w:vAlign w:val="center"/>
          </w:tcPr>
          <w:p>
            <w:pPr>
              <w:spacing w:after="40"/>
            </w:pPr>
            <w:r>
              <w:t xml:space="preserve">General product/eng function</w:t>
            </w:r>
          </w:p>
        </w:tc>
        <w:tc>
          <w:tcPr>
            <w:tcW w:type="dxa" w:w="1500"/>
            <w:tcMar>
              <w:top w:type="dxa" w:w="80"/>
              <w:left w:type="dxa" w:w="100"/>
              <w:bottom w:type="dxa" w:w="80"/>
              <w:right w:type="dxa" w:w="100"/>
            </w:tcMar>
            <w:vAlign w:val="center"/>
          </w:tcPr>
          <w:p>
            <w:pPr>
              <w:spacing w:after="40"/>
            </w:pPr>
            <w:r>
              <w:t xml:space="preserve">General product/eng function</w:t>
            </w:r>
          </w:p>
        </w:tc>
        <w:tc>
          <w:tcPr>
            <w:tcW w:type="dxa" w:w="1500"/>
            <w:tcMar>
              <w:top w:type="dxa" w:w="80"/>
              <w:left w:type="dxa" w:w="100"/>
              <w:bottom w:type="dxa" w:w="80"/>
              <w:right w:type="dxa" w:w="100"/>
            </w:tcMar>
            <w:vAlign w:val="center"/>
          </w:tcPr>
          <w:p>
            <w:pPr>
              <w:spacing w:after="40"/>
            </w:pPr>
            <w:r>
              <w:t xml:space="preserve">Governance Domain (conformance tooling)</w:t>
            </w:r>
          </w:p>
        </w:tc>
        <w:tc>
          <w:tcPr>
            <w:tcW w:type="dxa" w:w="2100"/>
            <w:tcMar>
              <w:top w:type="dxa" w:w="80"/>
              <w:left w:type="dxa" w:w="100"/>
              <w:bottom w:type="dxa" w:w="80"/>
              <w:right w:type="dxa" w:w="100"/>
            </w:tcMar>
            <w:vAlign w:val="center"/>
          </w:tcPr>
          <w:p>
            <w:pPr>
              <w:spacing w:after="40"/>
            </w:pPr>
            <w:r>
              <w:t xml:space="preserve">Team size where one person can no longer credibly own both product direction and delivery for this domain</w:t>
            </w:r>
          </w:p>
        </w:tc>
      </w:tr>
      <w:tr>
        <w:trPr>
          <w:tblHeader w:val="false"/>
        </w:trPr>
        <w:tc>
          <w:tcPr>
            <w:tcW w:type="dxa" w:w="1700"/>
            <w:shd w:fill="E9EEF5" w:color="auto" w:val="clear"/>
            <w:tcMar>
              <w:top w:type="dxa" w:w="80"/>
              <w:left w:type="dxa" w:w="100"/>
              <w:bottom w:type="dxa" w:w="80"/>
              <w:right w:type="dxa" w:w="100"/>
            </w:tcMar>
            <w:vAlign w:val="center"/>
          </w:tcPr>
          <w:p>
            <w:pPr>
              <w:spacing w:after="40"/>
            </w:pPr>
            <w:r>
              <w:t xml:space="preserve">Academic Intelligence</w:t>
            </w:r>
          </w:p>
        </w:tc>
        <w:tc>
          <w:tcPr>
            <w:tcW w:type="dxa" w:w="1500"/>
            <w:shd w:fill="E9EEF5" w:color="auto" w:val="clear"/>
            <w:tcMar>
              <w:top w:type="dxa" w:w="80"/>
              <w:left w:type="dxa" w:w="100"/>
              <w:bottom w:type="dxa" w:w="80"/>
              <w:right w:type="dxa" w:w="100"/>
            </w:tcMar>
            <w:vAlign w:val="center"/>
          </w:tcPr>
          <w:p>
            <w:pPr>
              <w:spacing w:after="40"/>
            </w:pPr>
            <w:r>
              <w:t xml:space="preserve">General product/eng function</w:t>
            </w:r>
          </w:p>
        </w:tc>
        <w:tc>
          <w:tcPr>
            <w:tcW w:type="dxa" w:w="1500"/>
            <w:shd w:fill="E9EEF5" w:color="auto" w:val="clear"/>
            <w:tcMar>
              <w:top w:type="dxa" w:w="80"/>
              <w:left w:type="dxa" w:w="100"/>
              <w:bottom w:type="dxa" w:w="80"/>
              <w:right w:type="dxa" w:w="100"/>
            </w:tcMar>
            <w:vAlign w:val="center"/>
          </w:tcPr>
          <w:p>
            <w:pPr>
              <w:spacing w:after="40"/>
            </w:pPr>
            <w:r>
              <w:t xml:space="preserve">General product/eng function</w:t>
            </w:r>
          </w:p>
        </w:tc>
        <w:tc>
          <w:tcPr>
            <w:tcW w:type="dxa" w:w="1500"/>
            <w:shd w:fill="E9EEF5" w:color="auto" w:val="clear"/>
            <w:tcMar>
              <w:top w:type="dxa" w:w="80"/>
              <w:left w:type="dxa" w:w="100"/>
              <w:bottom w:type="dxa" w:w="80"/>
              <w:right w:type="dxa" w:w="100"/>
            </w:tcMar>
            <w:vAlign w:val="center"/>
          </w:tcPr>
          <w:p>
            <w:pPr>
              <w:spacing w:after="40"/>
            </w:pPr>
            <w:r>
              <w:t xml:space="preserve">General product/eng function</w:t>
            </w:r>
          </w:p>
        </w:tc>
        <w:tc>
          <w:tcPr>
            <w:tcW w:type="dxa" w:w="1500"/>
            <w:shd w:fill="E9EEF5" w:color="auto" w:val="clear"/>
            <w:tcMar>
              <w:top w:type="dxa" w:w="80"/>
              <w:left w:type="dxa" w:w="100"/>
              <w:bottom w:type="dxa" w:w="80"/>
              <w:right w:type="dxa" w:w="100"/>
            </w:tcMar>
            <w:vAlign w:val="center"/>
          </w:tcPr>
          <w:p>
            <w:pPr>
              <w:spacing w:after="40"/>
            </w:pPr>
            <w:r>
              <w:t xml:space="preserve">Governance Domain</w:t>
            </w:r>
          </w:p>
        </w:tc>
        <w:tc>
          <w:tcPr>
            <w:tcW w:type="dxa" w:w="2100"/>
            <w:shd w:fill="E9EEF5" w:color="auto" w:val="clear"/>
            <w:tcMar>
              <w:top w:type="dxa" w:w="80"/>
              <w:left w:type="dxa" w:w="100"/>
              <w:bottom w:type="dxa" w:w="80"/>
              <w:right w:type="dxa" w:w="100"/>
            </w:tcMar>
            <w:vAlign w:val="center"/>
          </w:tcPr>
          <w:p>
            <w:pPr>
              <w:spacing w:after="40"/>
            </w:pPr>
            <w:r>
              <w:t xml:space="preserve">First academic institutional partner signed</w:t>
            </w:r>
          </w:p>
        </w:tc>
      </w:tr>
      <w:tr>
        <w:trPr>
          <w:tblHeader w:val="false"/>
        </w:trPr>
        <w:tc>
          <w:tcPr>
            <w:tcW w:type="dxa" w:w="1700"/>
            <w:tcMar>
              <w:top w:type="dxa" w:w="80"/>
              <w:left w:type="dxa" w:w="100"/>
              <w:bottom w:type="dxa" w:w="80"/>
              <w:right w:type="dxa" w:w="100"/>
            </w:tcMar>
            <w:vAlign w:val="center"/>
          </w:tcPr>
          <w:p>
            <w:pPr>
              <w:spacing w:after="40"/>
            </w:pPr>
            <w:r>
              <w:t xml:space="preserve">Knowledge &amp; Market Intelligence</w:t>
            </w:r>
          </w:p>
        </w:tc>
        <w:tc>
          <w:tcPr>
            <w:tcW w:type="dxa" w:w="1500"/>
            <w:tcMar>
              <w:top w:type="dxa" w:w="80"/>
              <w:left w:type="dxa" w:w="100"/>
              <w:bottom w:type="dxa" w:w="80"/>
              <w:right w:type="dxa" w:w="100"/>
            </w:tcMar>
            <w:vAlign w:val="center"/>
          </w:tcPr>
          <w:p>
            <w:pPr>
              <w:spacing w:after="40"/>
            </w:pPr>
            <w:r>
              <w:t xml:space="preserve">General product/eng function</w:t>
            </w:r>
          </w:p>
        </w:tc>
        <w:tc>
          <w:tcPr>
            <w:tcW w:type="dxa" w:w="1500"/>
            <w:tcMar>
              <w:top w:type="dxa" w:w="80"/>
              <w:left w:type="dxa" w:w="100"/>
              <w:bottom w:type="dxa" w:w="80"/>
              <w:right w:type="dxa" w:w="100"/>
            </w:tcMar>
            <w:vAlign w:val="center"/>
          </w:tcPr>
          <w:p>
            <w:pPr>
              <w:spacing w:after="40"/>
            </w:pPr>
            <w:r>
              <w:t xml:space="preserve">General product/eng function</w:t>
            </w:r>
          </w:p>
        </w:tc>
        <w:tc>
          <w:tcPr>
            <w:tcW w:type="dxa" w:w="1500"/>
            <w:tcMar>
              <w:top w:type="dxa" w:w="80"/>
              <w:left w:type="dxa" w:w="100"/>
              <w:bottom w:type="dxa" w:w="80"/>
              <w:right w:type="dxa" w:w="100"/>
            </w:tcMar>
            <w:vAlign w:val="center"/>
          </w:tcPr>
          <w:p>
            <w:pPr>
              <w:spacing w:after="40"/>
            </w:pPr>
            <w:r>
              <w:t xml:space="preserve">General product/eng function</w:t>
            </w:r>
          </w:p>
        </w:tc>
        <w:tc>
          <w:tcPr>
            <w:tcW w:type="dxa" w:w="1500"/>
            <w:tcMar>
              <w:top w:type="dxa" w:w="80"/>
              <w:left w:type="dxa" w:w="100"/>
              <w:bottom w:type="dxa" w:w="80"/>
              <w:right w:type="dxa" w:w="100"/>
            </w:tcMar>
            <w:vAlign w:val="center"/>
          </w:tcPr>
          <w:p>
            <w:pPr>
              <w:spacing w:after="40"/>
            </w:pPr>
            <w:r>
              <w:t xml:space="preserve">Governance Domain</w:t>
            </w:r>
          </w:p>
        </w:tc>
        <w:tc>
          <w:tcPr>
            <w:tcW w:type="dxa" w:w="2100"/>
            <w:tcMar>
              <w:top w:type="dxa" w:w="80"/>
              <w:left w:type="dxa" w:w="100"/>
              <w:bottom w:type="dxa" w:w="80"/>
              <w:right w:type="dxa" w:w="100"/>
            </w:tcMar>
            <w:vAlign w:val="center"/>
          </w:tcPr>
          <w:p>
            <w:pPr>
              <w:spacing w:after="40"/>
            </w:pPr>
            <w:r>
              <w:t xml:space="preserve">Skill/taxonomy or market-data workload large enough to need dedicated curation attention</w:t>
            </w:r>
          </w:p>
        </w:tc>
      </w:tr>
      <w:tr>
        <w:trPr>
          <w:tblHeader w:val="false"/>
        </w:trPr>
        <w:tc>
          <w:tcPr>
            <w:tcW w:type="dxa" w:w="1700"/>
            <w:shd w:fill="E9EEF5" w:color="auto" w:val="clear"/>
            <w:tcMar>
              <w:top w:type="dxa" w:w="80"/>
              <w:left w:type="dxa" w:w="100"/>
              <w:bottom w:type="dxa" w:w="80"/>
              <w:right w:type="dxa" w:w="100"/>
            </w:tcMar>
            <w:vAlign w:val="center"/>
          </w:tcPr>
          <w:p>
            <w:pPr>
              <w:spacing w:after="40"/>
            </w:pPr>
            <w:r>
              <w:t xml:space="preserve">AI Intelligence</w:t>
            </w:r>
          </w:p>
        </w:tc>
        <w:tc>
          <w:tcPr>
            <w:tcW w:type="dxa" w:w="1500"/>
            <w:shd w:fill="E9EEF5" w:color="auto" w:val="clear"/>
            <w:tcMar>
              <w:top w:type="dxa" w:w="80"/>
              <w:left w:type="dxa" w:w="100"/>
              <w:bottom w:type="dxa" w:w="80"/>
              <w:right w:type="dxa" w:w="100"/>
            </w:tcMar>
            <w:vAlign w:val="center"/>
          </w:tcPr>
          <w:p>
            <w:pPr>
              <w:spacing w:after="40"/>
            </w:pPr>
            <w:r>
              <w:t xml:space="preserve">General product/eng function (most mature technical investment already)</w:t>
            </w:r>
          </w:p>
        </w:tc>
        <w:tc>
          <w:tcPr>
            <w:tcW w:type="dxa" w:w="1500"/>
            <w:shd w:fill="E9EEF5" w:color="auto" w:val="clear"/>
            <w:tcMar>
              <w:top w:type="dxa" w:w="80"/>
              <w:left w:type="dxa" w:w="100"/>
              <w:bottom w:type="dxa" w:w="80"/>
              <w:right w:type="dxa" w:w="100"/>
            </w:tcMar>
            <w:vAlign w:val="center"/>
          </w:tcPr>
          <w:p>
            <w:pPr>
              <w:spacing w:after="40"/>
            </w:pPr>
            <w:r>
              <w:t xml:space="preserve">General product/eng function</w:t>
            </w:r>
          </w:p>
        </w:tc>
        <w:tc>
          <w:tcPr>
            <w:tcW w:type="dxa" w:w="1500"/>
            <w:shd w:fill="E9EEF5" w:color="auto" w:val="clear"/>
            <w:tcMar>
              <w:top w:type="dxa" w:w="80"/>
              <w:left w:type="dxa" w:w="100"/>
              <w:bottom w:type="dxa" w:w="80"/>
              <w:right w:type="dxa" w:w="100"/>
            </w:tcMar>
            <w:vAlign w:val="center"/>
          </w:tcPr>
          <w:p>
            <w:pPr>
              <w:spacing w:after="40"/>
            </w:pPr>
            <w:r>
              <w:t xml:space="preserve">General product/eng function</w:t>
            </w:r>
          </w:p>
        </w:tc>
        <w:tc>
          <w:tcPr>
            <w:tcW w:type="dxa" w:w="1500"/>
            <w:shd w:fill="E9EEF5" w:color="auto" w:val="clear"/>
            <w:tcMar>
              <w:top w:type="dxa" w:w="80"/>
              <w:left w:type="dxa" w:w="100"/>
              <w:bottom w:type="dxa" w:w="80"/>
              <w:right w:type="dxa" w:w="100"/>
            </w:tcMar>
            <w:vAlign w:val="center"/>
          </w:tcPr>
          <w:p>
            <w:pPr>
              <w:spacing w:after="40"/>
            </w:pPr>
            <w:r>
              <w:t xml:space="preserve">Governance Domain</w:t>
            </w:r>
          </w:p>
        </w:tc>
        <w:tc>
          <w:tcPr>
            <w:tcW w:type="dxa" w:w="2100"/>
            <w:shd w:fill="E9EEF5" w:color="auto" w:val="clear"/>
            <w:tcMar>
              <w:top w:type="dxa" w:w="80"/>
              <w:left w:type="dxa" w:w="100"/>
              <w:bottom w:type="dxa" w:w="80"/>
              <w:right w:type="dxa" w:w="100"/>
            </w:tcMar>
            <w:vAlign w:val="center"/>
          </w:tcPr>
          <w:p>
            <w:pPr>
              <w:spacing w:after="40"/>
            </w:pPr>
            <w:r>
              <w:t xml:space="preserve">More than ~10 distinct multi-step AI workflows (same trigger as EEP-01 Phase F's orchestration-layer trigger)</w:t>
            </w:r>
          </w:p>
        </w:tc>
      </w:tr>
      <w:tr>
        <w:trPr>
          <w:tblHeader w:val="false"/>
        </w:trPr>
        <w:tc>
          <w:tcPr>
            <w:tcW w:type="dxa" w:w="1700"/>
            <w:tcMar>
              <w:top w:type="dxa" w:w="80"/>
              <w:left w:type="dxa" w:w="100"/>
              <w:bottom w:type="dxa" w:w="80"/>
              <w:right w:type="dxa" w:w="100"/>
            </w:tcMar>
            <w:vAlign w:val="center"/>
          </w:tcPr>
          <w:p>
            <w:pPr>
              <w:spacing w:after="40"/>
            </w:pPr>
            <w:r>
              <w:t xml:space="preserve">Candidate Experience &amp; Growth</w:t>
            </w:r>
          </w:p>
        </w:tc>
        <w:tc>
          <w:tcPr>
            <w:tcW w:type="dxa" w:w="1500"/>
            <w:tcMar>
              <w:top w:type="dxa" w:w="80"/>
              <w:left w:type="dxa" w:w="100"/>
              <w:bottom w:type="dxa" w:w="80"/>
              <w:right w:type="dxa" w:w="100"/>
            </w:tcMar>
            <w:vAlign w:val="center"/>
          </w:tcPr>
          <w:p>
            <w:pPr>
              <w:spacing w:after="40"/>
            </w:pPr>
            <w:r>
              <w:t xml:space="preserve">General product/eng function</w:t>
            </w:r>
          </w:p>
        </w:tc>
        <w:tc>
          <w:tcPr>
            <w:tcW w:type="dxa" w:w="1500"/>
            <w:tcMar>
              <w:top w:type="dxa" w:w="80"/>
              <w:left w:type="dxa" w:w="100"/>
              <w:bottom w:type="dxa" w:w="80"/>
              <w:right w:type="dxa" w:w="100"/>
            </w:tcMar>
            <w:vAlign w:val="center"/>
          </w:tcPr>
          <w:p>
            <w:pPr>
              <w:spacing w:after="40"/>
            </w:pPr>
            <w:r>
              <w:t xml:space="preserve">General product/eng function</w:t>
            </w:r>
          </w:p>
        </w:tc>
        <w:tc>
          <w:tcPr>
            <w:tcW w:type="dxa" w:w="1500"/>
            <w:tcMar>
              <w:top w:type="dxa" w:w="80"/>
              <w:left w:type="dxa" w:w="100"/>
              <w:bottom w:type="dxa" w:w="80"/>
              <w:right w:type="dxa" w:w="100"/>
            </w:tcMar>
            <w:vAlign w:val="center"/>
          </w:tcPr>
          <w:p>
            <w:pPr>
              <w:spacing w:after="40"/>
            </w:pPr>
            <w:r>
              <w:t xml:space="preserve">General product/eng function</w:t>
            </w:r>
          </w:p>
        </w:tc>
        <w:tc>
          <w:tcPr>
            <w:tcW w:type="dxa" w:w="1500"/>
            <w:tcMar>
              <w:top w:type="dxa" w:w="80"/>
              <w:left w:type="dxa" w:w="100"/>
              <w:bottom w:type="dxa" w:w="80"/>
              <w:right w:type="dxa" w:w="100"/>
            </w:tcMar>
            <w:vAlign w:val="center"/>
          </w:tcPr>
          <w:p>
            <w:pPr>
              <w:spacing w:after="40"/>
            </w:pPr>
            <w:r>
              <w:t xml:space="preserve">Governance Domain</w:t>
            </w:r>
          </w:p>
        </w:tc>
        <w:tc>
          <w:tcPr>
            <w:tcW w:type="dxa" w:w="2100"/>
            <w:tcMar>
              <w:top w:type="dxa" w:w="80"/>
              <w:left w:type="dxa" w:w="100"/>
              <w:bottom w:type="dxa" w:w="80"/>
              <w:right w:type="dxa" w:w="100"/>
            </w:tcMar>
            <w:vAlign w:val="center"/>
          </w:tcPr>
          <w:p>
            <w:pPr>
              <w:spacing w:after="40"/>
            </w:pPr>
            <w:r>
              <w:t xml:space="preserve">Growth/engagement capability set requires dedicated experimentation cadence</w:t>
            </w:r>
          </w:p>
        </w:tc>
      </w:tr>
      <w:tr>
        <w:trPr>
          <w:tblHeader w:val="false"/>
        </w:trPr>
        <w:tc>
          <w:tcPr>
            <w:tcW w:type="dxa" w:w="1700"/>
            <w:shd w:fill="E9EEF5" w:color="auto" w:val="clear"/>
            <w:tcMar>
              <w:top w:type="dxa" w:w="80"/>
              <w:left w:type="dxa" w:w="100"/>
              <w:bottom w:type="dxa" w:w="80"/>
              <w:right w:type="dxa" w:w="100"/>
            </w:tcMar>
            <w:vAlign w:val="center"/>
          </w:tcPr>
          <w:p>
            <w:pPr>
              <w:spacing w:after="40"/>
            </w:pPr>
            <w:r>
              <w:t xml:space="preserve">Employer Domain</w:t>
            </w:r>
          </w:p>
        </w:tc>
        <w:tc>
          <w:tcPr>
            <w:tcW w:type="dxa" w:w="1500"/>
            <w:shd w:fill="E9EEF5" w:color="auto" w:val="clear"/>
            <w:tcMar>
              <w:top w:type="dxa" w:w="80"/>
              <w:left w:type="dxa" w:w="100"/>
              <w:bottom w:type="dxa" w:w="80"/>
              <w:right w:type="dxa" w:w="100"/>
            </w:tcMar>
            <w:vAlign w:val="center"/>
          </w:tcPr>
          <w:p>
            <w:pPr>
              <w:spacing w:after="40"/>
            </w:pPr>
            <w:r>
              <w:t xml:space="preserve">General product/eng function (currently pre-activation)</w:t>
            </w:r>
          </w:p>
        </w:tc>
        <w:tc>
          <w:tcPr>
            <w:tcW w:type="dxa" w:w="1500"/>
            <w:shd w:fill="E9EEF5" w:color="auto" w:val="clear"/>
            <w:tcMar>
              <w:top w:type="dxa" w:w="80"/>
              <w:left w:type="dxa" w:w="100"/>
              <w:bottom w:type="dxa" w:w="80"/>
              <w:right w:type="dxa" w:w="100"/>
            </w:tcMar>
            <w:vAlign w:val="center"/>
          </w:tcPr>
          <w:p>
            <w:pPr>
              <w:spacing w:after="40"/>
            </w:pPr>
            <w:r>
              <w:t xml:space="preserve">General product/eng function</w:t>
            </w:r>
          </w:p>
        </w:tc>
        <w:tc>
          <w:tcPr>
            <w:tcW w:type="dxa" w:w="1500"/>
            <w:shd w:fill="E9EEF5" w:color="auto" w:val="clear"/>
            <w:tcMar>
              <w:top w:type="dxa" w:w="80"/>
              <w:left w:type="dxa" w:w="100"/>
              <w:bottom w:type="dxa" w:w="80"/>
              <w:right w:type="dxa" w:w="100"/>
            </w:tcMar>
            <w:vAlign w:val="center"/>
          </w:tcPr>
          <w:p>
            <w:pPr>
              <w:spacing w:after="40"/>
            </w:pPr>
            <w:r>
              <w:t xml:space="preserve">General product/eng function</w:t>
            </w:r>
          </w:p>
        </w:tc>
        <w:tc>
          <w:tcPr>
            <w:tcW w:type="dxa" w:w="1500"/>
            <w:shd w:fill="E9EEF5" w:color="auto" w:val="clear"/>
            <w:tcMar>
              <w:top w:type="dxa" w:w="80"/>
              <w:left w:type="dxa" w:w="100"/>
              <w:bottom w:type="dxa" w:w="80"/>
              <w:right w:type="dxa" w:w="100"/>
            </w:tcMar>
            <w:vAlign w:val="center"/>
          </w:tcPr>
          <w:p>
            <w:pPr>
              <w:spacing w:after="40"/>
            </w:pPr>
            <w:r>
              <w:t xml:space="preserve">Governance Domain</w:t>
            </w:r>
          </w:p>
        </w:tc>
        <w:tc>
          <w:tcPr>
            <w:tcW w:type="dxa" w:w="2100"/>
            <w:shd w:fill="E9EEF5" w:color="auto" w:val="clear"/>
            <w:tcMar>
              <w:top w:type="dxa" w:w="80"/>
              <w:left w:type="dxa" w:w="100"/>
              <w:bottom w:type="dxa" w:w="80"/>
              <w:right w:type="dxa" w:w="100"/>
            </w:tcMar>
            <w:vAlign w:val="center"/>
          </w:tcPr>
          <w:p>
            <w:pPr>
              <w:spacing w:after="40"/>
            </w:pPr>
            <w:r>
              <w:t xml:space="preserve">First signed employer/job-board partner contract</w:t>
            </w:r>
          </w:p>
        </w:tc>
      </w:tr>
      <w:tr>
        <w:trPr>
          <w:tblHeader w:val="false"/>
        </w:trPr>
        <w:tc>
          <w:tcPr>
            <w:tcW w:type="dxa" w:w="1700"/>
            <w:tcMar>
              <w:top w:type="dxa" w:w="80"/>
              <w:left w:type="dxa" w:w="100"/>
              <w:bottom w:type="dxa" w:w="80"/>
              <w:right w:type="dxa" w:w="100"/>
            </w:tcMar>
            <w:vAlign w:val="center"/>
          </w:tcPr>
          <w:p>
            <w:pPr>
              <w:spacing w:after="40"/>
            </w:pPr>
            <w:r>
              <w:t xml:space="preserve">Platform Shared Services</w:t>
            </w:r>
          </w:p>
        </w:tc>
        <w:tc>
          <w:tcPr>
            <w:tcW w:type="dxa" w:w="1500"/>
            <w:tcMar>
              <w:top w:type="dxa" w:w="80"/>
              <w:left w:type="dxa" w:w="100"/>
              <w:bottom w:type="dxa" w:w="80"/>
              <w:right w:type="dxa" w:w="100"/>
            </w:tcMar>
            <w:vAlign w:val="center"/>
          </w:tcPr>
          <w:p>
            <w:pPr>
              <w:spacing w:after="40"/>
            </w:pPr>
            <w:r>
              <w:t xml:space="preserve">General product/eng function</w:t>
            </w:r>
          </w:p>
        </w:tc>
        <w:tc>
          <w:tcPr>
            <w:tcW w:type="dxa" w:w="1500"/>
            <w:tcMar>
              <w:top w:type="dxa" w:w="80"/>
              <w:left w:type="dxa" w:w="100"/>
              <w:bottom w:type="dxa" w:w="80"/>
              <w:right w:type="dxa" w:w="100"/>
            </w:tcMar>
            <w:vAlign w:val="center"/>
          </w:tcPr>
          <w:p>
            <w:pPr>
              <w:spacing w:after="40"/>
            </w:pPr>
            <w:r>
              <w:t xml:space="preserve">General product/eng function</w:t>
            </w:r>
          </w:p>
        </w:tc>
        <w:tc>
          <w:tcPr>
            <w:tcW w:type="dxa" w:w="1500"/>
            <w:tcMar>
              <w:top w:type="dxa" w:w="80"/>
              <w:left w:type="dxa" w:w="100"/>
              <w:bottom w:type="dxa" w:w="80"/>
              <w:right w:type="dxa" w:w="100"/>
            </w:tcMar>
            <w:vAlign w:val="center"/>
          </w:tcPr>
          <w:p>
            <w:pPr>
              <w:spacing w:after="40"/>
            </w:pPr>
            <w:r>
              <w:t xml:space="preserve">General product/eng function</w:t>
            </w:r>
          </w:p>
        </w:tc>
        <w:tc>
          <w:tcPr>
            <w:tcW w:type="dxa" w:w="1500"/>
            <w:tcMar>
              <w:top w:type="dxa" w:w="80"/>
              <w:left w:type="dxa" w:w="100"/>
              <w:bottom w:type="dxa" w:w="80"/>
              <w:right w:type="dxa" w:w="100"/>
            </w:tcMar>
            <w:vAlign w:val="center"/>
          </w:tcPr>
          <w:p>
            <w:pPr>
              <w:spacing w:after="40"/>
            </w:pPr>
            <w:r>
              <w:t xml:space="preserve">Governance Domain</w:t>
            </w:r>
          </w:p>
        </w:tc>
        <w:tc>
          <w:tcPr>
            <w:tcW w:type="dxa" w:w="2100"/>
            <w:tcMar>
              <w:top w:type="dxa" w:w="80"/>
              <w:left w:type="dxa" w:w="100"/>
              <w:bottom w:type="dxa" w:w="80"/>
              <w:right w:type="dxa" w:w="100"/>
            </w:tcMar>
            <w:vAlign w:val="center"/>
          </w:tcPr>
          <w:p>
            <w:pPr>
              <w:spacing w:after="40"/>
            </w:pPr>
            <w:r>
              <w:t xml:space="preserve">Container/service-count trigger from EEP-01 Phase G Part 0</w:t>
            </w:r>
          </w:p>
        </w:tc>
      </w:tr>
      <w:tr>
        <w:trPr>
          <w:tblHeader w:val="false"/>
        </w:trPr>
        <w:tc>
          <w:tcPr>
            <w:tcW w:type="dxa" w:w="1700"/>
            <w:shd w:fill="E9EEF5" w:color="auto" w:val="clear"/>
            <w:tcMar>
              <w:top w:type="dxa" w:w="80"/>
              <w:left w:type="dxa" w:w="100"/>
              <w:bottom w:type="dxa" w:w="80"/>
              <w:right w:type="dxa" w:w="100"/>
            </w:tcMar>
            <w:vAlign w:val="center"/>
          </w:tcPr>
          <w:p>
            <w:pPr>
              <w:spacing w:after="40"/>
            </w:pPr>
            <w:r>
              <w:t xml:space="preserve">Governance</w:t>
            </w:r>
          </w:p>
        </w:tc>
        <w:tc>
          <w:tcPr>
            <w:tcW w:type="dxa" w:w="1500"/>
            <w:shd w:fill="E9EEF5" w:color="auto" w:val="clear"/>
            <w:tcMar>
              <w:top w:type="dxa" w:w="80"/>
              <w:left w:type="dxa" w:w="100"/>
              <w:bottom w:type="dxa" w:w="80"/>
              <w:right w:type="dxa" w:w="100"/>
            </w:tcMar>
            <w:vAlign w:val="center"/>
          </w:tcPr>
          <w:p>
            <w:pPr>
              <w:spacing w:after="40"/>
            </w:pPr>
            <w:r>
              <w:t xml:space="preserve">General product/eng function, encoded partly as automation (lint rules, CI) per EEP-01 Phase I</w:t>
            </w:r>
          </w:p>
        </w:tc>
        <w:tc>
          <w:tcPr>
            <w:tcW w:type="dxa" w:w="1500"/>
            <w:shd w:fill="E9EEF5" w:color="auto" w:val="clear"/>
            <w:tcMar>
              <w:top w:type="dxa" w:w="80"/>
              <w:left w:type="dxa" w:w="100"/>
              <w:bottom w:type="dxa" w:w="80"/>
              <w:right w:type="dxa" w:w="100"/>
            </w:tcMar>
            <w:vAlign w:val="center"/>
          </w:tcPr>
          <w:p>
            <w:pPr>
              <w:spacing w:after="40"/>
            </w:pPr>
            <w:r>
              <w:t xml:space="preserve">General product/eng function</w:t>
            </w:r>
          </w:p>
        </w:tc>
        <w:tc>
          <w:tcPr>
            <w:tcW w:type="dxa" w:w="1500"/>
            <w:shd w:fill="E9EEF5" w:color="auto" w:val="clear"/>
            <w:tcMar>
              <w:top w:type="dxa" w:w="80"/>
              <w:left w:type="dxa" w:w="100"/>
              <w:bottom w:type="dxa" w:w="80"/>
              <w:right w:type="dxa" w:w="100"/>
            </w:tcMar>
            <w:vAlign w:val="center"/>
          </w:tcPr>
          <w:p>
            <w:pPr>
              <w:spacing w:after="40"/>
            </w:pPr>
            <w:r>
              <w:t xml:space="preserve">General product/eng function</w:t>
            </w:r>
          </w:p>
        </w:tc>
        <w:tc>
          <w:tcPr>
            <w:tcW w:type="dxa" w:w="1500"/>
            <w:shd w:fill="E9EEF5" w:color="auto" w:val="clear"/>
            <w:tcMar>
              <w:top w:type="dxa" w:w="80"/>
              <w:left w:type="dxa" w:w="100"/>
              <w:bottom w:type="dxa" w:w="80"/>
              <w:right w:type="dxa" w:w="100"/>
            </w:tcMar>
            <w:vAlign w:val="center"/>
          </w:tcPr>
          <w:p>
            <w:pPr>
              <w:spacing w:after="40"/>
            </w:pPr>
            <w:r>
              <w:t xml:space="preserve">Self-governing</w:t>
            </w:r>
          </w:p>
        </w:tc>
        <w:tc>
          <w:tcPr>
            <w:tcW w:type="dxa" w:w="2100"/>
            <w:shd w:fill="E9EEF5" w:color="auto" w:val="clear"/>
            <w:tcMar>
              <w:top w:type="dxa" w:w="80"/>
              <w:left w:type="dxa" w:w="100"/>
              <w:bottom w:type="dxa" w:w="80"/>
              <w:right w:type="dxa" w:w="100"/>
            </w:tcMar>
            <w:vAlign w:val="center"/>
          </w:tcPr>
          <w:p>
            <w:pPr>
              <w:spacing w:after="40"/>
            </w:pPr>
            <w:r>
              <w:t xml:space="preserve">Team size where conflicting technical proposals can no longer be resolved by automated rules and documentation alone (Phase I's own stated trigger)</w:t>
            </w:r>
          </w:p>
        </w:tc>
      </w:tr>
    </w:tbl>
    <w:p>
      <w:pPr>
        <w:spacing w:after="200"/>
      </w:pPr>
    </w:p>
    <w:p>
      <w:pPr>
        <w:spacing w:after="160"/>
        <w:jc w:val="both"/>
      </w:pPr>
      <w:r>
        <w:t xml:space="preserve">This document intentionally repeats the same current-owner entry across every domain and every steward column. That repetition is not an error — it is the accurate picture of an integrated, small, high-leverage team, and smoothing it into a more elaborate-looking table would misstate the organization for the sake of appearing more "enterprise."</w:t>
      </w:r>
    </w:p>
    <w:p>
      <w:pPr>
        <w:pStyle w:val="Heading1"/>
        <w:pageBreakBefore/>
        <w:spacing w:after="200" w:before="480"/>
      </w:pPr>
      <w:r>
        <w:t xml:space="preserve">10. Domain Maturity Assessment</w:t>
      </w:r>
    </w:p>
    <w:p>
      <w:pPr>
        <w:spacing w:after="160"/>
        <w:jc w:val="both"/>
      </w:pPr>
      <w:r>
        <w:t xml:space="preserve">Maturity model, unchanged from Phase A Section 9: Level 1 Initial (exists as an idea or structural placeholder only) · Level 2 Emerging (implemented but data- or dependency-limited) · Level 3 Managed (implemented, in active use, production-oriented) · Level 4 Integrated (implemented, in use, and consumed reliably by multiple other domains) · Level 5 Optimized (integrated and validated against real outcome data, with continuous improvement evidenced). Domain-level maturity is the evidence-weighted composite of its contained capabilities' maturity (Phase A Section 9), not a separate assessment.</w:t>
      </w:r>
    </w:p>
    <w:tbl>
      <w:tblPr>
        <w:tblW w:type="dxa" w:w="1000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2200"/>
        <w:gridCol w:w="5200"/>
      </w:tblGrid>
      <w:tr>
        <w:trPr>
          <w:tblHeader/>
        </w:trPr>
        <w:tc>
          <w:tcPr>
            <w:tcW w:type="dxa" w:w="2600"/>
            <w:shd w:fill="1F3864" w:color="auto" w:val="clear"/>
            <w:tcMar>
              <w:top w:type="dxa" w:w="80"/>
              <w:left w:type="dxa" w:w="100"/>
              <w:bottom w:type="dxa" w:w="80"/>
              <w:right w:type="dxa" w:w="100"/>
            </w:tcMar>
            <w:vAlign w:val="center"/>
          </w:tcPr>
          <w:p>
            <w:pPr>
              <w:spacing w:after="40"/>
            </w:pPr>
            <w:r>
              <w:rPr>
                <w:b/>
                <w:bCs/>
                <w:color w:val="FFFFFF"/>
                <w:sz w:val="19"/>
                <w:szCs w:val="19"/>
              </w:rPr>
              <w:t xml:space="preserve"/>
            </w:r>
          </w:p>
        </w:tc>
        <w:tc>
          <w:tcPr>
            <w:tcW w:type="dxa" w:w="2200"/>
            <w:shd w:fill="1F3864" w:color="auto" w:val="clear"/>
            <w:tcMar>
              <w:top w:type="dxa" w:w="80"/>
              <w:left w:type="dxa" w:w="100"/>
              <w:bottom w:type="dxa" w:w="80"/>
              <w:right w:type="dxa" w:w="100"/>
            </w:tcMar>
            <w:vAlign w:val="center"/>
          </w:tcPr>
          <w:p>
            <w:pPr>
              <w:spacing w:after="40"/>
            </w:pPr>
            <w:r>
              <w:rPr>
                <w:b/>
                <w:bCs/>
                <w:color w:val="FFFFFF"/>
                <w:sz w:val="19"/>
                <w:szCs w:val="19"/>
              </w:rPr>
              <w:t xml:space="preserve"/>
            </w:r>
          </w:p>
        </w:tc>
        <w:tc>
          <w:tcPr>
            <w:tcW w:type="dxa" w:w="5200"/>
            <w:shd w:fill="1F3864" w:color="auto" w:val="clear"/>
            <w:tcMar>
              <w:top w:type="dxa" w:w="80"/>
              <w:left w:type="dxa" w:w="100"/>
              <w:bottom w:type="dxa" w:w="80"/>
              <w:right w:type="dxa" w:w="100"/>
            </w:tcMar>
            <w:vAlign w:val="center"/>
          </w:tcPr>
          <w:p>
            <w:pPr>
              <w:spacing w:after="40"/>
            </w:pPr>
            <w:r>
              <w:rPr>
                <w:b/>
                <w:bCs/>
                <w:color w:val="FFFFFF"/>
                <w:sz w:val="19"/>
                <w:szCs w:val="19"/>
              </w:rPr>
              <w:t xml:space="preserve"/>
            </w:r>
          </w:p>
        </w:tc>
      </w:tr>
      <w:tr>
        <w:trPr>
          <w:tblHeader w:val="false"/>
        </w:trPr>
        <w:tc>
          <w:tcPr>
            <w:tcW w:type="dxa" w:w="2600"/>
            <w:tcMar>
              <w:top w:type="dxa" w:w="80"/>
              <w:left w:type="dxa" w:w="100"/>
              <w:bottom w:type="dxa" w:w="80"/>
              <w:right w:type="dxa" w:w="100"/>
            </w:tcMar>
            <w:vAlign w:val="center"/>
          </w:tcPr>
          <w:p>
            <w:pPr>
              <w:spacing w:after="40"/>
            </w:pPr>
            <w:r>
              <w:t xml:space="preserve">Academic Intelligence</w:t>
            </w:r>
          </w:p>
        </w:tc>
        <w:tc>
          <w:tcPr>
            <w:tcW w:type="dxa" w:w="2200"/>
            <w:tcMar>
              <w:top w:type="dxa" w:w="80"/>
              <w:left w:type="dxa" w:w="100"/>
              <w:bottom w:type="dxa" w:w="80"/>
              <w:right w:type="dxa" w:w="100"/>
            </w:tcMar>
            <w:vAlign w:val="center"/>
          </w:tcPr>
          <w:p>
            <w:pPr>
              <w:spacing w:after="40"/>
            </w:pPr>
            <w:r>
              <w:t xml:space="preserve">4 — Integrated</w:t>
            </w:r>
          </w:p>
        </w:tc>
        <w:tc>
          <w:tcPr>
            <w:tcW w:type="dxa" w:w="5200"/>
            <w:tcMar>
              <w:top w:type="dxa" w:w="80"/>
              <w:left w:type="dxa" w:w="100"/>
              <w:bottom w:type="dxa" w:w="80"/>
              <w:right w:type="dxa" w:w="100"/>
            </w:tcMar>
            <w:vAlign w:val="center"/>
          </w:tcPr>
          <w:p>
            <w:pPr>
              <w:spacing w:after="40"/>
            </w:pPr>
            <w:r>
              <w:t xml:space="preserve">Full 26-table physical model; named as input to 10+ downstream systems (EEP-01 Phase B).</w:t>
            </w:r>
          </w:p>
        </w:tc>
      </w:tr>
      <w:tr>
        <w:trPr>
          <w:tblHeader w:val="false"/>
        </w:trPr>
        <w:tc>
          <w:tcPr>
            <w:tcW w:type="dxa" w:w="2600"/>
            <w:shd w:fill="E9EEF5" w:color="auto" w:val="clear"/>
            <w:tcMar>
              <w:top w:type="dxa" w:w="80"/>
              <w:left w:type="dxa" w:w="100"/>
              <w:bottom w:type="dxa" w:w="80"/>
              <w:right w:type="dxa" w:w="100"/>
            </w:tcMar>
            <w:vAlign w:val="center"/>
          </w:tcPr>
          <w:p>
            <w:pPr>
              <w:spacing w:after="40"/>
            </w:pPr>
            <w:r>
              <w:t xml:space="preserve">AI Intelligence</w:t>
            </w:r>
          </w:p>
        </w:tc>
        <w:tc>
          <w:tcPr>
            <w:tcW w:type="dxa" w:w="2200"/>
            <w:shd w:fill="E9EEF5" w:color="auto" w:val="clear"/>
            <w:tcMar>
              <w:top w:type="dxa" w:w="80"/>
              <w:left w:type="dxa" w:w="100"/>
              <w:bottom w:type="dxa" w:w="80"/>
              <w:right w:type="dxa" w:w="100"/>
            </w:tcMar>
            <w:vAlign w:val="center"/>
          </w:tcPr>
          <w:p>
            <w:pPr>
              <w:spacing w:after="40"/>
            </w:pPr>
            <w:r>
              <w:t xml:space="preserve">3-4 — Managed/Integrated (compound)</w:t>
            </w:r>
          </w:p>
        </w:tc>
        <w:tc>
          <w:tcPr>
            <w:tcW w:type="dxa" w:w="5200"/>
            <w:shd w:fill="E9EEF5" w:color="auto" w:val="clear"/>
            <w:tcMar>
              <w:top w:type="dxa" w:w="80"/>
              <w:left w:type="dxa" w:w="100"/>
              <w:bottom w:type="dxa" w:w="80"/>
              <w:right w:type="dxa" w:w="100"/>
            </w:tcMar>
            <w:vAlign w:val="center"/>
          </w:tcPr>
          <w:p>
            <w:pPr>
              <w:spacing w:after="40"/>
            </w:pPr>
            <w:r>
              <w:t xml:space="preserve">5-provider fallback and 6-agent coordinator in production (Level 4 for Advisory &amp; Orchestration); Personalization still Level 2 - Emerging, not yet outcome-validated.</w:t>
            </w:r>
          </w:p>
        </w:tc>
      </w:tr>
      <w:tr>
        <w:trPr>
          <w:tblHeader w:val="false"/>
        </w:trPr>
        <w:tc>
          <w:tcPr>
            <w:tcW w:type="dxa" w:w="2600"/>
            <w:tcMar>
              <w:top w:type="dxa" w:w="80"/>
              <w:left w:type="dxa" w:w="100"/>
              <w:bottom w:type="dxa" w:w="80"/>
              <w:right w:type="dxa" w:w="100"/>
            </w:tcMar>
            <w:vAlign w:val="center"/>
          </w:tcPr>
          <w:p>
            <w:pPr>
              <w:spacing w:after="40"/>
            </w:pPr>
            <w:r>
              <w:t xml:space="preserve">Career Intelligence</w:t>
            </w:r>
          </w:p>
        </w:tc>
        <w:tc>
          <w:tcPr>
            <w:tcW w:type="dxa" w:w="2200"/>
            <w:tcMar>
              <w:top w:type="dxa" w:w="80"/>
              <w:left w:type="dxa" w:w="100"/>
              <w:bottom w:type="dxa" w:w="80"/>
              <w:right w:type="dxa" w:w="100"/>
            </w:tcMar>
            <w:vAlign w:val="center"/>
          </w:tcPr>
          <w:p>
            <w:pPr>
              <w:spacing w:after="40"/>
            </w:pPr>
            <w:r>
              <w:t xml:space="preserve">2-3 — Emerging/Managed (compound)</w:t>
            </w:r>
          </w:p>
        </w:tc>
        <w:tc>
          <w:tcPr>
            <w:tcW w:type="dxa" w:w="5200"/>
            <w:tcMar>
              <w:top w:type="dxa" w:w="80"/>
              <w:left w:type="dxa" w:w="100"/>
              <w:bottom w:type="dxa" w:w="80"/>
              <w:right w:type="dxa" w:w="100"/>
            </w:tcMar>
            <w:vAlign w:val="center"/>
          </w:tcPr>
          <w:p>
            <w:pPr>
              <w:spacing w:after="40"/>
            </w:pPr>
            <w:r>
              <w:t xml:space="preserve">career-copilot and careerGraph populated and routed (Level 3); Career Digital Twin exists only as an interface shell (Level 1); Opportunity Radar capped at Level 2 by mock market data.</w:t>
            </w:r>
          </w:p>
        </w:tc>
      </w:tr>
      <w:tr>
        <w:trPr>
          <w:tblHeader w:val="false"/>
        </w:trPr>
        <w:tc>
          <w:tcPr>
            <w:tcW w:type="dxa" w:w="2600"/>
            <w:shd w:fill="E9EEF5" w:color="auto" w:val="clear"/>
            <w:tcMar>
              <w:top w:type="dxa" w:w="80"/>
              <w:left w:type="dxa" w:w="100"/>
              <w:bottom w:type="dxa" w:w="80"/>
              <w:right w:type="dxa" w:w="100"/>
            </w:tcMar>
            <w:vAlign w:val="center"/>
          </w:tcPr>
          <w:p>
            <w:pPr>
              <w:spacing w:after="40"/>
            </w:pPr>
            <w:r>
              <w:t xml:space="preserve">Knowledge &amp; Market Intelligence</w:t>
            </w:r>
          </w:p>
        </w:tc>
        <w:tc>
          <w:tcPr>
            <w:tcW w:type="dxa" w:w="2200"/>
            <w:shd w:fill="E9EEF5" w:color="auto" w:val="clear"/>
            <w:tcMar>
              <w:top w:type="dxa" w:w="80"/>
              <w:left w:type="dxa" w:w="100"/>
              <w:bottom w:type="dxa" w:w="80"/>
              <w:right w:type="dxa" w:w="100"/>
            </w:tcMar>
            <w:vAlign w:val="center"/>
          </w:tcPr>
          <w:p>
            <w:pPr>
              <w:spacing w:after="40"/>
            </w:pPr>
            <w:r>
              <w:t xml:space="preserve">2-3 — Emerging/Managed (compound)</w:t>
            </w:r>
          </w:p>
        </w:tc>
        <w:tc>
          <w:tcPr>
            <w:tcW w:type="dxa" w:w="5200"/>
            <w:shd w:fill="E9EEF5" w:color="auto" w:val="clear"/>
            <w:tcMar>
              <w:top w:type="dxa" w:w="80"/>
              <w:left w:type="dxa" w:w="100"/>
              <w:bottom w:type="dxa" w:w="80"/>
              <w:right w:type="dxa" w:w="100"/>
            </w:tcMar>
            <w:vAlign w:val="center"/>
          </w:tcPr>
          <w:p>
            <w:pPr>
              <w:spacing w:after="40"/>
            </w:pPr>
            <w:r>
              <w:t xml:space="preserve">Taxonomy populated and versioned (Level 3); Labor Market &amp; Salary Intelligence and Source Curation both Level 2, capped by mock live-collection (EEP-01 Phase E).</w:t>
            </w:r>
          </w:p>
        </w:tc>
      </w:tr>
      <w:tr>
        <w:trPr>
          <w:tblHeader w:val="false"/>
        </w:trPr>
        <w:tc>
          <w:tcPr>
            <w:tcW w:type="dxa" w:w="2600"/>
            <w:tcMar>
              <w:top w:type="dxa" w:w="80"/>
              <w:left w:type="dxa" w:w="100"/>
              <w:bottom w:type="dxa" w:w="80"/>
              <w:right w:type="dxa" w:w="100"/>
            </w:tcMar>
            <w:vAlign w:val="center"/>
          </w:tcPr>
          <w:p>
            <w:pPr>
              <w:spacing w:after="40"/>
            </w:pPr>
            <w:r>
              <w:t xml:space="preserve">Candidate Experience &amp; Growth</w:t>
            </w:r>
          </w:p>
        </w:tc>
        <w:tc>
          <w:tcPr>
            <w:tcW w:type="dxa" w:w="2200"/>
            <w:tcMar>
              <w:top w:type="dxa" w:w="80"/>
              <w:left w:type="dxa" w:w="100"/>
              <w:bottom w:type="dxa" w:w="80"/>
              <w:right w:type="dxa" w:w="100"/>
            </w:tcMar>
            <w:vAlign w:val="center"/>
          </w:tcPr>
          <w:p>
            <w:pPr>
              <w:spacing w:after="40"/>
            </w:pPr>
            <w:r>
              <w:t xml:space="preserve">2-3 — Emerging/Managed (compound)</w:t>
            </w:r>
          </w:p>
        </w:tc>
        <w:tc>
          <w:tcPr>
            <w:tcW w:type="dxa" w:w="5200"/>
            <w:tcMar>
              <w:top w:type="dxa" w:w="80"/>
              <w:left w:type="dxa" w:w="100"/>
              <w:bottom w:type="dxa" w:w="80"/>
              <w:right w:type="dxa" w:w="100"/>
            </w:tcMar>
            <w:vAlign w:val="center"/>
          </w:tcPr>
          <w:p>
            <w:pPr>
              <w:spacing w:after="40"/>
            </w:pPr>
            <w:r>
              <w:t xml:space="preserve">Resume/cover-letter generation and parsing routed and production-grade (Level 3); Growth &amp; Daily Engagement both Level 2, not yet outcome-linked.</w:t>
            </w:r>
          </w:p>
        </w:tc>
      </w:tr>
      <w:tr>
        <w:trPr>
          <w:tblHeader w:val="false"/>
        </w:trPr>
        <w:tc>
          <w:tcPr>
            <w:tcW w:type="dxa" w:w="2600"/>
            <w:shd w:fill="E9EEF5" w:color="auto" w:val="clear"/>
            <w:tcMar>
              <w:top w:type="dxa" w:w="80"/>
              <w:left w:type="dxa" w:w="100"/>
              <w:bottom w:type="dxa" w:w="80"/>
              <w:right w:type="dxa" w:w="100"/>
            </w:tcMar>
            <w:vAlign w:val="center"/>
          </w:tcPr>
          <w:p>
            <w:pPr>
              <w:spacing w:after="40"/>
            </w:pPr>
            <w:r>
              <w:t xml:space="preserve">Platform Shared Services</w:t>
            </w:r>
          </w:p>
        </w:tc>
        <w:tc>
          <w:tcPr>
            <w:tcW w:type="dxa" w:w="2200"/>
            <w:shd w:fill="E9EEF5" w:color="auto" w:val="clear"/>
            <w:tcMar>
              <w:top w:type="dxa" w:w="80"/>
              <w:left w:type="dxa" w:w="100"/>
              <w:bottom w:type="dxa" w:w="80"/>
              <w:right w:type="dxa" w:w="100"/>
            </w:tcMar>
            <w:vAlign w:val="center"/>
          </w:tcPr>
          <w:p>
            <w:pPr>
              <w:spacing w:after="40"/>
            </w:pPr>
            <w:r>
              <w:t xml:space="preserve">2-3 — Emerging/Managed (compound)</w:t>
            </w:r>
          </w:p>
        </w:tc>
        <w:tc>
          <w:tcPr>
            <w:tcW w:type="dxa" w:w="5200"/>
            <w:shd w:fill="E9EEF5" w:color="auto" w:val="clear"/>
            <w:tcMar>
              <w:top w:type="dxa" w:w="80"/>
              <w:left w:type="dxa" w:w="100"/>
              <w:bottom w:type="dxa" w:w="80"/>
              <w:right w:type="dxa" w:w="100"/>
            </w:tcMar>
            <w:vAlign w:val="center"/>
          </w:tcPr>
          <w:p>
            <w:pPr>
              <w:spacing w:after="40"/>
            </w:pPr>
            <w:r>
              <w:t xml:space="preserve">Identity/Access and Behavioral Analytics both Level 3; Configuration &amp; Secrets Stewardship Level 2, with a specific hygiene finding noted in Section 14.</w:t>
            </w:r>
          </w:p>
        </w:tc>
      </w:tr>
      <w:tr>
        <w:trPr>
          <w:tblHeader w:val="false"/>
        </w:trPr>
        <w:tc>
          <w:tcPr>
            <w:tcW w:type="dxa" w:w="2600"/>
            <w:tcMar>
              <w:top w:type="dxa" w:w="80"/>
              <w:left w:type="dxa" w:w="100"/>
              <w:bottom w:type="dxa" w:w="80"/>
              <w:right w:type="dxa" w:w="100"/>
            </w:tcMar>
            <w:vAlign w:val="center"/>
          </w:tcPr>
          <w:p>
            <w:pPr>
              <w:spacing w:after="40"/>
            </w:pPr>
            <w:r>
              <w:t xml:space="preserve">Governance</w:t>
            </w:r>
          </w:p>
        </w:tc>
        <w:tc>
          <w:tcPr>
            <w:tcW w:type="dxa" w:w="2200"/>
            <w:tcMar>
              <w:top w:type="dxa" w:w="80"/>
              <w:left w:type="dxa" w:w="100"/>
              <w:bottom w:type="dxa" w:w="80"/>
              <w:right w:type="dxa" w:w="100"/>
            </w:tcMar>
            <w:vAlign w:val="center"/>
          </w:tcPr>
          <w:p>
            <w:pPr>
              <w:spacing w:after="40"/>
            </w:pPr>
            <w:r>
              <w:t xml:space="preserve">2-3 — Emerging/Managed, with documented drift</w:t>
            </w:r>
          </w:p>
        </w:tc>
        <w:tc>
          <w:tcPr>
            <w:tcW w:type="dxa" w:w="5200"/>
            <w:tcMar>
              <w:top w:type="dxa" w:w="80"/>
              <w:left w:type="dxa" w:w="100"/>
              <w:bottom w:type="dxa" w:w="80"/>
              <w:right w:type="dxa" w:w="100"/>
            </w:tcMar>
            <w:vAlign w:val="center"/>
          </w:tcPr>
          <w:p>
            <w:pPr>
              <w:spacing w:after="40"/>
            </w:pPr>
            <w:r>
              <w:t xml:space="preserve">Custom lint rules and CI exist (Level 3), but EEP-01 Phase J documents four concrete drift instances; Intelligence Quality &amp; Drift Monitoring is Level 2, without full platform-wide coverage evidenced.</w:t>
            </w:r>
          </w:p>
        </w:tc>
      </w:tr>
      <w:tr>
        <w:trPr>
          <w:tblHeader w:val="false"/>
        </w:trPr>
        <w:tc>
          <w:tcPr>
            <w:tcW w:type="dxa" w:w="2600"/>
            <w:shd w:fill="E9EEF5" w:color="auto" w:val="clear"/>
            <w:tcMar>
              <w:top w:type="dxa" w:w="80"/>
              <w:left w:type="dxa" w:w="100"/>
              <w:bottom w:type="dxa" w:w="80"/>
              <w:right w:type="dxa" w:w="100"/>
            </w:tcMar>
            <w:vAlign w:val="center"/>
          </w:tcPr>
          <w:p>
            <w:pPr>
              <w:spacing w:after="40"/>
            </w:pPr>
            <w:r>
              <w:t xml:space="preserve">Employer Domain</w:t>
            </w:r>
          </w:p>
        </w:tc>
        <w:tc>
          <w:tcPr>
            <w:tcW w:type="dxa" w:w="2200"/>
            <w:shd w:fill="E9EEF5" w:color="auto" w:val="clear"/>
            <w:tcMar>
              <w:top w:type="dxa" w:w="80"/>
              <w:left w:type="dxa" w:w="100"/>
              <w:bottom w:type="dxa" w:w="80"/>
              <w:right w:type="dxa" w:w="100"/>
            </w:tcMar>
            <w:vAlign w:val="center"/>
          </w:tcPr>
          <w:p>
            <w:pPr>
              <w:spacing w:after="40"/>
            </w:pPr>
            <w:r>
              <w:t xml:space="preserve">1 — Initial</w:t>
            </w:r>
          </w:p>
        </w:tc>
        <w:tc>
          <w:tcPr>
            <w:tcW w:type="dxa" w:w="5200"/>
            <w:shd w:fill="E9EEF5" w:color="auto" w:val="clear"/>
            <w:tcMar>
              <w:top w:type="dxa" w:w="80"/>
              <w:left w:type="dxa" w:w="100"/>
              <w:bottom w:type="dxa" w:w="80"/>
              <w:right w:type="dxa" w:w="100"/>
            </w:tcMar>
            <w:vAlign w:val="center"/>
          </w:tcPr>
          <w:p>
            <w:pPr>
              <w:spacing w:after="40"/>
            </w:pPr>
            <w:r>
              <w:t xml:space="preserve">Named module and routing layer exist; no live external integration evidenced anywhere in the repository (EEP-01 Phase E).</w:t>
            </w:r>
          </w:p>
        </w:tc>
      </w:tr>
    </w:tbl>
    <w:p>
      <w:pPr>
        <w:spacing w:after="200"/>
      </w:pPr>
    </w:p>
    <w:p>
      <w:pPr>
        <w:pStyle w:val="Heading1"/>
        <w:pageBreakBefore/>
        <w:spacing w:after="200" w:before="480"/>
      </w:pPr>
      <w:r>
        <w:t xml:space="preserve">11. Current State vs Target State</w:t>
      </w:r>
    </w:p>
    <w:p>
      <w:pPr>
        <w:pStyle w:val="Heading2"/>
        <w:spacing w:after="200" w:before="320"/>
      </w:pPr>
      <w:r>
        <w:t xml:space="preserve">11.1 Current Enterprise Domains (Level 3+ overall)</w:t>
      </w:r>
    </w:p>
    <w:p>
      <w:pPr>
        <w:pStyle w:val="ListParagraph"/>
        <w:numPr>
          <w:ilvl w:val="0"/>
          <w:numId w:val="2"/>
        </w:numPr>
        <w:spacing w:after="100"/>
      </w:pPr>
      <w:r>
        <w:t xml:space="preserve">Academic Intelligence Domain — the platform's most mature domain by evidence.</w:t>
      </w:r>
    </w:p>
    <w:p>
      <w:pPr>
        <w:pStyle w:val="ListParagraph"/>
        <w:numPr>
          <w:ilvl w:val="0"/>
          <w:numId w:val="2"/>
        </w:numPr>
        <w:spacing w:after="100"/>
      </w:pPr>
      <w:r>
        <w:t xml:space="preserve">AI Intelligence Domain — the platform's most mature technical investment, compound-rated due to Personalization's lower maturity.</w:t>
      </w:r>
    </w:p>
    <w:p>
      <w:pPr>
        <w:pStyle w:val="Heading2"/>
        <w:spacing w:after="200" w:before="320"/>
      </w:pPr>
      <w:r>
        <w:t xml:space="preserve">11.2 Domains Below Level 3 (evidenced gap)</w:t>
      </w:r>
    </w:p>
    <w:p>
      <w:pPr>
        <w:pStyle w:val="ListParagraph"/>
        <w:numPr>
          <w:ilvl w:val="0"/>
          <w:numId w:val="2"/>
        </w:numPr>
        <w:spacing w:after="100"/>
      </w:pPr>
      <w:r>
        <w:t xml:space="preserve">Career Intelligence Domain — capped by Career Digital Twin (Level 1) and Opportunity Radar (Level 2, mock-data-bound).</w:t>
      </w:r>
    </w:p>
    <w:p>
      <w:pPr>
        <w:pStyle w:val="ListParagraph"/>
        <w:numPr>
          <w:ilvl w:val="0"/>
          <w:numId w:val="2"/>
        </w:numPr>
        <w:spacing w:after="100"/>
      </w:pPr>
      <w:r>
        <w:t xml:space="preserve">Knowledge &amp; Market Intelligence Domain — capped by live-data absence in Labor Market &amp; Salary Intelligence and Source Curation.</w:t>
      </w:r>
    </w:p>
    <w:p>
      <w:pPr>
        <w:pStyle w:val="ListParagraph"/>
        <w:numPr>
          <w:ilvl w:val="0"/>
          <w:numId w:val="2"/>
        </w:numPr>
        <w:spacing w:after="100"/>
      </w:pPr>
      <w:r>
        <w:t xml:space="preserve">Candidate Experience &amp; Growth Domain — Growth and Daily Engagement not yet outcome-validated.</w:t>
      </w:r>
    </w:p>
    <w:p>
      <w:pPr>
        <w:pStyle w:val="ListParagraph"/>
        <w:numPr>
          <w:ilvl w:val="0"/>
          <w:numId w:val="2"/>
        </w:numPr>
        <w:spacing w:after="100"/>
      </w:pPr>
      <w:r>
        <w:t xml:space="preserve">Employer Domain — Level 1, the platform's least mature domain, by design intent (ADR-BD-03) rather than neglect.</w:t>
      </w:r>
    </w:p>
    <w:p>
      <w:pPr>
        <w:pStyle w:val="Heading2"/>
        <w:spacing w:after="200" w:before="320"/>
      </w:pPr>
      <w:r>
        <w:t xml:space="preserve">11.3 Future Domains (not yet started, strategically implied)</w:t>
      </w:r>
    </w:p>
    <w:p>
      <w:pPr>
        <w:pStyle w:val="ListParagraph"/>
        <w:numPr>
          <w:ilvl w:val="0"/>
          <w:numId w:val="2"/>
        </w:numPr>
        <w:spacing w:after="100"/>
      </w:pPr>
      <w:r>
        <w:t xml:space="preserve">Career Outcome Intelligence — a genuine future domain candidate identified during Special Focus Area validation (Section 2.4). No module, service, or data store today owns outcome measurement as a first-class concern; it exists only as KPI language scattered across Career Intelligence capabilities. Adoption trigger: a dedicated outcome-tracking data pipeline (post-graduation or post-application employment/salary signal) is built and consumed by two or more existing domains -- at that point, this document should be revisited to determine whether it warrants promotion to a full domain or remains a shared capability inside Career Intelligence.</w:t>
      </w:r>
    </w:p>
    <w:p>
      <w:pPr>
        <w:pStyle w:val="ListParagraph"/>
        <w:numPr>
          <w:ilvl w:val="0"/>
          <w:numId w:val="2"/>
        </w:numPr>
        <w:spacing w:after="100"/>
      </w:pPr>
      <w:r>
        <w:t xml:space="preserve">A Multi-Agent Supervision Layer and AI Workflow Orchestration Layer inside AI Intelligence Domain (both explicitly trigger-gated per EEP-01 Phase F).</w:t>
      </w:r>
    </w:p>
    <w:p>
      <w:pPr>
        <w:pStyle w:val="ListParagraph"/>
        <w:numPr>
          <w:ilvl w:val="0"/>
          <w:numId w:val="2"/>
        </w:numPr>
        <w:spacing w:after="100"/>
      </w:pPr>
      <w:r>
        <w:t xml:space="preserve">Employer-facing self-service capabilities (postings, applicant screening) inside Employer Domain, once a first live partner is established.</w:t>
      </w:r>
    </w:p>
    <w:p>
      <w:pPr>
        <w:pStyle w:val="Heading2"/>
        <w:spacing w:after="200" w:before="320"/>
      </w:pPr>
      <w:r>
        <w:t xml:space="preserve">11.4 Potential Domain Splits</w:t>
      </w:r>
    </w:p>
    <w:p>
      <w:pPr>
        <w:spacing w:after="160"/>
        <w:jc w:val="both"/>
      </w:pPr>
      <w:r>
        <w:t xml:space="preserve">No domain currently shows evidence justifying a split. Career Intelligence Domain is the closest candidate -- its four bounded contexts (Section 8.1) are already independently identifiable -- but no independent ownership, data store, or consumer base separates them today (Section 2.4); a split should be revisited only if the domain's ownership separates per Section 9's trigger.</w:t>
      </w:r>
    </w:p>
    <w:p>
      <w:pPr>
        <w:pStyle w:val="Heading2"/>
        <w:spacing w:after="200" w:before="320"/>
      </w:pPr>
      <w:r>
        <w:t xml:space="preserve">11.5 Potential Domain Mergers</w:t>
      </w:r>
    </w:p>
    <w:p>
      <w:pPr>
        <w:spacing w:after="160"/>
        <w:jc w:val="both"/>
      </w:pPr>
      <w:r>
        <w:t xml:space="preserve">No domain currently shows evidence justifying a merger. Knowledge &amp; Market Intelligence Domain already represents the deliberate non-duplication of what could have been two domains (Knowledge, and Labor Market) per Section 4.6 -- this is the one place in the current map where a merger-style consolidation has already been applied, rather than a future one being proposed.</w:t>
      </w:r>
    </w:p>
    <w:p>
      <w:pPr>
        <w:pStyle w:val="Heading2"/>
        <w:spacing w:after="200" w:before="320"/>
      </w:pPr>
      <w:r>
        <w:t xml:space="preserve">11.6 Long-Term Evolution</w:t>
      </w:r>
    </w:p>
    <w:p>
      <w:pPr>
        <w:pStyle w:val="ListParagraph"/>
        <w:numPr>
          <w:ilvl w:val="0"/>
          <w:numId w:val="2"/>
        </w:numPr>
        <w:spacing w:after="100"/>
      </w:pPr>
      <w:r>
        <w:t xml:space="preserve">A two-sided marketplace domain spanning Career Intelligence, Employer Domain, and Academic Intelligence, contingent on Employer Domain and Academic Intelligence both independently reaching Level 4+ first.</w:t>
      </w:r>
    </w:p>
    <w:p>
      <w:pPr>
        <w:pStyle w:val="ListParagraph"/>
        <w:numPr>
          <w:ilvl w:val="0"/>
          <w:numId w:val="2"/>
        </w:numPr>
        <w:spacing w:after="100"/>
      </w:pPr>
      <w:r>
        <w:t xml:space="preserve">A separated Operations/Platform domain, carved out of Platform Shared Services, once EEP-01 Phase H's headcount-based trigger fires.</w:t>
      </w:r>
    </w:p>
    <w:p>
      <w:pPr>
        <w:pStyle w:val="Heading1"/>
        <w:pageBreakBefore/>
        <w:spacing w:after="200" w:before="480"/>
      </w:pPr>
      <w:r>
        <w:t xml:space="preserve">12. Domain Heat Map</w:t>
      </w:r>
    </w:p>
    <w:tbl>
      <w:tblPr>
        <w:tblW w:type="dxa" w:w="9000"/>
        <w:tblBorders>
          <w:top w:val="single" w:color="AAAAAA" w:sz="2"/>
          <w:left w:val="single" w:color="AAAAAA" w:sz="2"/>
          <w:bottom w:val="single" w:color="AAAAAA" w:sz="2"/>
          <w:right w:val="single" w:color="AAAAAA" w:sz="2"/>
          <w:insideH w:val="single" w:color="CCCCCC" w:sz="2"/>
          <w:insideV w:val="single" w:color="CCCCCC" w:sz="2"/>
        </w:tblBorders>
      </w:tblPr>
      <w:tblGrid>
        <w:gridCol w:w="2000"/>
        <w:gridCol w:w="3200"/>
        <w:gridCol w:w="3800"/>
      </w:tblGrid>
      <w:tr>
        <w:trPr>
          <w:tblHeader/>
        </w:trPr>
        <w:tc>
          <w:tcPr>
            <w:tcW w:type="dxa" w:w="2000"/>
            <w:shd w:fill="1F3864" w:color="auto" w:val="clear"/>
            <w:tcMar>
              <w:top w:type="dxa" w:w="80"/>
              <w:left w:type="dxa" w:w="100"/>
              <w:bottom w:type="dxa" w:w="80"/>
              <w:right w:type="dxa" w:w="100"/>
            </w:tcMar>
            <w:vAlign w:val="center"/>
          </w:tcPr>
          <w:p>
            <w:pPr>
              <w:spacing w:after="40"/>
            </w:pPr>
            <w:r>
              <w:rPr>
                <w:b/>
                <w:bCs/>
                <w:color w:val="FFFFFF"/>
                <w:sz w:val="19"/>
                <w:szCs w:val="19"/>
              </w:rPr>
              <w:t xml:space="preserve"/>
            </w:r>
          </w:p>
        </w:tc>
        <w:tc>
          <w:tcPr>
            <w:tcW w:type="dxa" w:w="3200"/>
            <w:shd w:fill="1F3864" w:color="auto" w:val="clear"/>
            <w:tcMar>
              <w:top w:type="dxa" w:w="80"/>
              <w:left w:type="dxa" w:w="100"/>
              <w:bottom w:type="dxa" w:w="80"/>
              <w:right w:type="dxa" w:w="100"/>
            </w:tcMar>
            <w:vAlign w:val="center"/>
          </w:tcPr>
          <w:p>
            <w:pPr>
              <w:spacing w:after="40"/>
            </w:pPr>
            <w:r>
              <w:rPr>
                <w:b/>
                <w:bCs/>
                <w:color w:val="FFFFFF"/>
                <w:sz w:val="19"/>
                <w:szCs w:val="19"/>
              </w:rPr>
              <w:t xml:space="preserve"/>
            </w:r>
          </w:p>
        </w:tc>
        <w:tc>
          <w:tcPr>
            <w:tcW w:type="dxa" w:w="3800"/>
            <w:shd w:fill="1F3864" w:color="auto" w:val="clear"/>
            <w:tcMar>
              <w:top w:type="dxa" w:w="80"/>
              <w:left w:type="dxa" w:w="100"/>
              <w:bottom w:type="dxa" w:w="80"/>
              <w:right w:type="dxa" w:w="100"/>
            </w:tcMar>
            <w:vAlign w:val="center"/>
          </w:tcPr>
          <w:p>
            <w:pPr>
              <w:spacing w:after="40"/>
            </w:pPr>
            <w:r>
              <w:rPr>
                <w:b/>
                <w:bCs/>
                <w:color w:val="FFFFFF"/>
                <w:sz w:val="19"/>
                <w:szCs w:val="19"/>
              </w:rPr>
              <w:t xml:space="preserve"/>
            </w:r>
          </w:p>
        </w:tc>
      </w:tr>
      <w:tr>
        <w:trPr>
          <w:tblHeader w:val="false"/>
        </w:trPr>
        <w:tc>
          <w:tcPr>
            <w:tcW w:type="dxa" w:w="2000"/>
            <w:tcMar>
              <w:top w:type="dxa" w:w="80"/>
              <w:left w:type="dxa" w:w="100"/>
              <w:bottom w:type="dxa" w:w="80"/>
              <w:right w:type="dxa" w:w="100"/>
            </w:tcMar>
            <w:vAlign w:val="center"/>
          </w:tcPr>
          <w:p>
            <w:pPr>
              <w:spacing w:after="40"/>
            </w:pPr>
            <w:r>
              <w:t xml:space="preserve">Strategic Investment</w:t>
            </w:r>
          </w:p>
        </w:tc>
        <w:tc>
          <w:tcPr>
            <w:tcW w:type="dxa" w:w="3200"/>
            <w:tcMar>
              <w:top w:type="dxa" w:w="80"/>
              <w:left w:type="dxa" w:w="100"/>
              <w:bottom w:type="dxa" w:w="80"/>
              <w:right w:type="dxa" w:w="100"/>
            </w:tcMar>
            <w:vAlign w:val="center"/>
          </w:tcPr>
          <w:p>
            <w:pPr>
              <w:spacing w:after="40"/>
            </w:pPr>
            <w:r>
              <w:t xml:space="preserve">Career Intelligence; AI Intelligence; Employer Domain</w:t>
            </w:r>
          </w:p>
        </w:tc>
        <w:tc>
          <w:tcPr>
            <w:tcW w:type="dxa" w:w="3800"/>
            <w:tcMar>
              <w:top w:type="dxa" w:w="80"/>
              <w:left w:type="dxa" w:w="100"/>
              <w:bottom w:type="dxa" w:w="80"/>
              <w:right w:type="dxa" w:w="100"/>
            </w:tcMar>
            <w:vAlign w:val="center"/>
          </w:tcPr>
          <w:p>
            <w:pPr>
              <w:spacing w:after="40"/>
            </w:pPr>
            <w:r>
              <w:t xml:space="preserve">These three carry the platform's core differentiation and its single largest strategic gap respectively; investment here has the widest leverage (mirrors Phase A Section 11's capability-level heat map, rolled up to domain level).</w:t>
            </w:r>
          </w:p>
        </w:tc>
      </w:tr>
      <w:tr>
        <w:trPr>
          <w:tblHeader w:val="false"/>
        </w:trPr>
        <w:tc>
          <w:tcPr>
            <w:tcW w:type="dxa" w:w="2000"/>
            <w:shd w:fill="E9EEF5" w:color="auto" w:val="clear"/>
            <w:tcMar>
              <w:top w:type="dxa" w:w="80"/>
              <w:left w:type="dxa" w:w="100"/>
              <w:bottom w:type="dxa" w:w="80"/>
              <w:right w:type="dxa" w:w="100"/>
            </w:tcMar>
            <w:vAlign w:val="center"/>
          </w:tcPr>
          <w:p>
            <w:pPr>
              <w:spacing w:after="40"/>
            </w:pPr>
            <w:r>
              <w:t xml:space="preserve">Maintain</w:t>
            </w:r>
          </w:p>
        </w:tc>
        <w:tc>
          <w:tcPr>
            <w:tcW w:type="dxa" w:w="3200"/>
            <w:shd w:fill="E9EEF5" w:color="auto" w:val="clear"/>
            <w:tcMar>
              <w:top w:type="dxa" w:w="80"/>
              <w:left w:type="dxa" w:w="100"/>
              <w:bottom w:type="dxa" w:w="80"/>
              <w:right w:type="dxa" w:w="100"/>
            </w:tcMar>
            <w:vAlign w:val="center"/>
          </w:tcPr>
          <w:p>
            <w:pPr>
              <w:spacing w:after="40"/>
            </w:pPr>
            <w:r>
              <w:t xml:space="preserve">Platform Shared Services (Identity/Access and Behavioral Analytics specifically)</w:t>
            </w:r>
          </w:p>
        </w:tc>
        <w:tc>
          <w:tcPr>
            <w:tcW w:type="dxa" w:w="3800"/>
            <w:shd w:fill="E9EEF5" w:color="auto" w:val="clear"/>
            <w:tcMar>
              <w:top w:type="dxa" w:w="80"/>
              <w:left w:type="dxa" w:w="100"/>
              <w:bottom w:type="dxa" w:w="80"/>
              <w:right w:type="dxa" w:w="100"/>
            </w:tcMar>
            <w:vAlign w:val="center"/>
          </w:tcPr>
          <w:p>
            <w:pPr>
              <w:spacing w:after="40"/>
            </w:pPr>
            <w:r>
              <w:t xml:space="preserve">Already at a maturity sufficient for current scale; further investment has low marginal value until scale triggers fire (EEP-01 Phase G/H).</w:t>
            </w:r>
          </w:p>
        </w:tc>
      </w:tr>
      <w:tr>
        <w:trPr>
          <w:tblHeader w:val="false"/>
        </w:trPr>
        <w:tc>
          <w:tcPr>
            <w:tcW w:type="dxa" w:w="2000"/>
            <w:tcMar>
              <w:top w:type="dxa" w:w="80"/>
              <w:left w:type="dxa" w:w="100"/>
              <w:bottom w:type="dxa" w:w="80"/>
              <w:right w:type="dxa" w:w="100"/>
            </w:tcMar>
            <w:vAlign w:val="center"/>
          </w:tcPr>
          <w:p>
            <w:pPr>
              <w:spacing w:after="40"/>
            </w:pPr>
            <w:r>
              <w:t xml:space="preserve">Improve</w:t>
            </w:r>
          </w:p>
        </w:tc>
        <w:tc>
          <w:tcPr>
            <w:tcW w:type="dxa" w:w="3200"/>
            <w:tcMar>
              <w:top w:type="dxa" w:w="80"/>
              <w:left w:type="dxa" w:w="100"/>
              <w:bottom w:type="dxa" w:w="80"/>
              <w:right w:type="dxa" w:w="100"/>
            </w:tcMar>
            <w:vAlign w:val="center"/>
          </w:tcPr>
          <w:p>
            <w:pPr>
              <w:spacing w:after="40"/>
            </w:pPr>
            <w:r>
              <w:t xml:space="preserve">Knowledge &amp; Market Intelligence; Candidate Experience &amp; Growth (Document Generation specifically); Governance</w:t>
            </w:r>
          </w:p>
        </w:tc>
        <w:tc>
          <w:tcPr>
            <w:tcW w:type="dxa" w:w="3800"/>
            <w:tcMar>
              <w:top w:type="dxa" w:w="80"/>
              <w:left w:type="dxa" w:w="100"/>
              <w:bottom w:type="dxa" w:w="80"/>
              <w:right w:type="dxa" w:w="100"/>
            </w:tcMar>
            <w:vAlign w:val="center"/>
          </w:tcPr>
          <w:p>
            <w:pPr>
              <w:spacing w:after="40"/>
            </w:pPr>
            <w:r>
              <w:t xml:space="preserve">Functionally present but constrained by a specific, named gap (mock data; documented drift) that is closeable without new domain invention.</w:t>
            </w:r>
          </w:p>
        </w:tc>
      </w:tr>
      <w:tr>
        <w:trPr>
          <w:tblHeader w:val="false"/>
        </w:trPr>
        <w:tc>
          <w:tcPr>
            <w:tcW w:type="dxa" w:w="2000"/>
            <w:shd w:fill="E9EEF5" w:color="auto" w:val="clear"/>
            <w:tcMar>
              <w:top w:type="dxa" w:w="80"/>
              <w:left w:type="dxa" w:w="100"/>
              <w:bottom w:type="dxa" w:w="80"/>
              <w:right w:type="dxa" w:w="100"/>
            </w:tcMar>
            <w:vAlign w:val="center"/>
          </w:tcPr>
          <w:p>
            <w:pPr>
              <w:spacing w:after="40"/>
            </w:pPr>
            <w:r>
              <w:t xml:space="preserve">Emerging</w:t>
            </w:r>
          </w:p>
        </w:tc>
        <w:tc>
          <w:tcPr>
            <w:tcW w:type="dxa" w:w="3200"/>
            <w:shd w:fill="E9EEF5" w:color="auto" w:val="clear"/>
            <w:tcMar>
              <w:top w:type="dxa" w:w="80"/>
              <w:left w:type="dxa" w:w="100"/>
              <w:bottom w:type="dxa" w:w="80"/>
              <w:right w:type="dxa" w:w="100"/>
            </w:tcMar>
            <w:vAlign w:val="center"/>
          </w:tcPr>
          <w:p>
            <w:pPr>
              <w:spacing w:after="40"/>
            </w:pPr>
            <w:r>
              <w:t xml:space="preserve">Candidate Experience &amp; Growth (Growth &amp; Daily Engagement specifically); Knowledge &amp; Market Intelligence (Source Curation specifically)</w:t>
            </w:r>
          </w:p>
        </w:tc>
        <w:tc>
          <w:tcPr>
            <w:tcW w:type="dxa" w:w="3800"/>
            <w:shd w:fill="E9EEF5" w:color="auto" w:val="clear"/>
            <w:tcMar>
              <w:top w:type="dxa" w:w="80"/>
              <w:left w:type="dxa" w:w="100"/>
              <w:bottom w:type="dxa" w:w="80"/>
              <w:right w:type="dxa" w:w="100"/>
            </w:tcMar>
            <w:vAlign w:val="center"/>
          </w:tcPr>
          <w:p>
            <w:pPr>
              <w:spacing w:after="40"/>
            </w:pPr>
            <w:r>
              <w:t xml:space="preserve">Implemented but not yet outcome-validated; needs measurement investment before further build investment.</w:t>
            </w:r>
          </w:p>
        </w:tc>
      </w:tr>
      <w:tr>
        <w:trPr>
          <w:tblHeader w:val="false"/>
        </w:trPr>
        <w:tc>
          <w:tcPr>
            <w:tcW w:type="dxa" w:w="2000"/>
            <w:tcMar>
              <w:top w:type="dxa" w:w="80"/>
              <w:left w:type="dxa" w:w="100"/>
              <w:bottom w:type="dxa" w:w="80"/>
              <w:right w:type="dxa" w:w="100"/>
            </w:tcMar>
            <w:vAlign w:val="center"/>
          </w:tcPr>
          <w:p>
            <w:pPr>
              <w:spacing w:after="40"/>
            </w:pPr>
            <w:r>
              <w:t xml:space="preserve">Experimental</w:t>
            </w:r>
          </w:p>
        </w:tc>
        <w:tc>
          <w:tcPr>
            <w:tcW w:type="dxa" w:w="3200"/>
            <w:tcMar>
              <w:top w:type="dxa" w:w="80"/>
              <w:left w:type="dxa" w:w="100"/>
              <w:bottom w:type="dxa" w:w="80"/>
              <w:right w:type="dxa" w:w="100"/>
            </w:tcMar>
            <w:vAlign w:val="center"/>
          </w:tcPr>
          <w:p>
            <w:pPr>
              <w:spacing w:after="40"/>
            </w:pPr>
            <w:r>
              <w:t xml:space="preserve">Career Intelligence (Career Digital Twin specifically)</w:t>
            </w:r>
          </w:p>
        </w:tc>
        <w:tc>
          <w:tcPr>
            <w:tcW w:type="dxa" w:w="3800"/>
            <w:tcMar>
              <w:top w:type="dxa" w:w="80"/>
              <w:left w:type="dxa" w:w="100"/>
              <w:bottom w:type="dxa" w:w="80"/>
              <w:right w:type="dxa" w:w="100"/>
            </w:tcMar>
            <w:vAlign w:val="center"/>
          </w:tcPr>
          <w:p>
            <w:pPr>
              <w:spacing w:after="40"/>
            </w:pPr>
            <w:r>
              <w:t xml:space="preserve">Structurally scaffolded but functionally unproven; treat as an experiment to populate and validate, not a committed roadmap item, until Level 2 evidence exists.</w:t>
            </w:r>
          </w:p>
        </w:tc>
      </w:tr>
      <w:tr>
        <w:trPr>
          <w:tblHeader w:val="false"/>
        </w:trPr>
        <w:tc>
          <w:tcPr>
            <w:tcW w:type="dxa" w:w="2000"/>
            <w:shd w:fill="E9EEF5" w:color="auto" w:val="clear"/>
            <w:tcMar>
              <w:top w:type="dxa" w:w="80"/>
              <w:left w:type="dxa" w:w="100"/>
              <w:bottom w:type="dxa" w:w="80"/>
              <w:right w:type="dxa" w:w="100"/>
            </w:tcMar>
            <w:vAlign w:val="center"/>
          </w:tcPr>
          <w:p>
            <w:pPr>
              <w:spacing w:after="40"/>
            </w:pPr>
            <w:r>
              <w:t xml:space="preserve">Future</w:t>
            </w:r>
          </w:p>
        </w:tc>
        <w:tc>
          <w:tcPr>
            <w:tcW w:type="dxa" w:w="3200"/>
            <w:shd w:fill="E9EEF5" w:color="auto" w:val="clear"/>
            <w:tcMar>
              <w:top w:type="dxa" w:w="80"/>
              <w:left w:type="dxa" w:w="100"/>
              <w:bottom w:type="dxa" w:w="80"/>
              <w:right w:type="dxa" w:w="100"/>
            </w:tcMar>
            <w:vAlign w:val="center"/>
          </w:tcPr>
          <w:p>
            <w:pPr>
              <w:spacing w:after="40"/>
            </w:pPr>
            <w:r>
              <w:t xml:space="preserve">Employer Domain's self-service capabilities; AI Intelligence's Multi-Agent Supervision and Workflow Orchestration layers; Career Outcome Intelligence</w:t>
            </w:r>
          </w:p>
        </w:tc>
        <w:tc>
          <w:tcPr>
            <w:tcW w:type="dxa" w:w="3800"/>
            <w:shd w:fill="E9EEF5" w:color="auto" w:val="clear"/>
            <w:tcMar>
              <w:top w:type="dxa" w:w="80"/>
              <w:left w:type="dxa" w:w="100"/>
              <w:bottom w:type="dxa" w:w="80"/>
              <w:right w:type="dxa" w:w="100"/>
            </w:tcMar>
            <w:vAlign w:val="center"/>
          </w:tcPr>
          <w:p>
            <w:pPr>
              <w:spacing w:after="40"/>
            </w:pPr>
            <w:r>
              <w:t xml:space="preserve">Explicitly trigger-gated; correctly excluded from near-term investment.</w:t>
            </w:r>
          </w:p>
        </w:tc>
      </w:tr>
      <w:tr>
        <w:trPr>
          <w:tblHeader w:val="false"/>
        </w:trPr>
        <w:tc>
          <w:tcPr>
            <w:tcW w:type="dxa" w:w="2000"/>
            <w:tcMar>
              <w:top w:type="dxa" w:w="80"/>
              <w:left w:type="dxa" w:w="100"/>
              <w:bottom w:type="dxa" w:w="80"/>
              <w:right w:type="dxa" w:w="100"/>
            </w:tcMar>
            <w:vAlign w:val="center"/>
          </w:tcPr>
          <w:p>
            <w:pPr>
              <w:spacing w:after="40"/>
            </w:pPr>
            <w:r>
              <w:t xml:space="preserve">Legacy</w:t>
            </w:r>
          </w:p>
        </w:tc>
        <w:tc>
          <w:tcPr>
            <w:tcW w:type="dxa" w:w="3200"/>
            <w:tcMar>
              <w:top w:type="dxa" w:w="80"/>
              <w:left w:type="dxa" w:w="100"/>
              <w:bottom w:type="dxa" w:w="80"/>
              <w:right w:type="dxa" w:w="100"/>
            </w:tcMar>
            <w:vAlign w:val="center"/>
          </w:tcPr>
          <w:p>
            <w:pPr>
              <w:spacing w:after="40"/>
            </w:pPr>
            <w:r>
              <w:t xml:space="preserve">None identified</w:t>
            </w:r>
          </w:p>
        </w:tc>
        <w:tc>
          <w:tcPr>
            <w:tcW w:type="dxa" w:w="3800"/>
            <w:tcMar>
              <w:top w:type="dxa" w:w="80"/>
              <w:left w:type="dxa" w:w="100"/>
              <w:bottom w:type="dxa" w:w="80"/>
              <w:right w:type="dxa" w:w="100"/>
            </w:tcMar>
            <w:vAlign w:val="center"/>
          </w:tcPr>
          <w:p>
            <w:pPr>
              <w:spacing w:after="40"/>
            </w:pPr>
            <w:r>
              <w:t xml:space="preserve">No domain in this catalog shows evidence of deprecation or planned retirement; the codebase is young enough, and EEP-01's own review found no legacy systems requiring migration off, that a legacy classification would be speculative (mirrors Phase A ADR-BC-05).</w:t>
            </w:r>
          </w:p>
        </w:tc>
      </w:tr>
    </w:tbl>
    <w:p>
      <w:pPr>
        <w:spacing w:after="200"/>
      </w:pPr>
    </w:p>
    <w:p>
      <w:pPr>
        <w:pStyle w:val="Heading1"/>
        <w:pageBreakBefore/>
        <w:spacing w:after="200" w:before="480"/>
      </w:pPr>
      <w:r>
        <w:t xml:space="preserve">13. Enterprise Domain Roadmap</w:t>
      </w:r>
    </w:p>
    <w:p>
      <w:pPr>
        <w:pStyle w:val="Heading2"/>
        <w:spacing w:after="200" w:before="320"/>
      </w:pPr>
      <w:r>
        <w:t xml:space="preserve">13.1 Short-Term (0-6 months)</w:t>
      </w:r>
    </w:p>
    <w:p>
      <w:pPr>
        <w:pStyle w:val="ListParagraph"/>
        <w:numPr>
          <w:ilvl w:val="0"/>
          <w:numId w:val="2"/>
        </w:numPr>
        <w:spacing w:after="100"/>
      </w:pPr>
      <w:r>
        <w:t xml:space="preserve">Make mock-data provenance visible wherever Career Intelligence (Opportunity Radar) or Knowledge &amp; Market Intelligence (Labor Market &amp; Salary Intelligence) output reaches a student. Adoption trigger: none required -- a near-immediate documentation/UX task.</w:t>
      </w:r>
    </w:p>
    <w:p>
      <w:pPr>
        <w:pStyle w:val="ListParagraph"/>
        <w:numPr>
          <w:ilvl w:val="0"/>
          <w:numId w:val="2"/>
        </w:numPr>
        <w:spacing w:after="100"/>
      </w:pPr>
      <w:r>
        <w:t xml:space="preserve">Instrument acceptance/success metrics across Career Intelligence and AI Intelligence domains, currently under-measured relative to their maturity. Trigger: none required.</w:t>
      </w:r>
    </w:p>
    <w:p>
      <w:pPr>
        <w:pStyle w:val="ListParagraph"/>
        <w:numPr>
          <w:ilvl w:val="0"/>
          <w:numId w:val="2"/>
        </w:numPr>
        <w:spacing w:after="100"/>
      </w:pPr>
      <w:r>
        <w:t xml:space="preserve">Close the four documented Governance Domain drift items from EEP-01 Phase J. Trigger: none required -- already-identified, low-effort fixes.</w:t>
      </w:r>
    </w:p>
    <w:p>
      <w:pPr>
        <w:pStyle w:val="ListParagraph"/>
        <w:numPr>
          <w:ilvl w:val="0"/>
          <w:numId w:val="2"/>
        </w:numPr>
        <w:spacing w:after="100"/>
      </w:pPr>
      <w:r>
        <w:t xml:space="preserve">Define the v1-to-chiV2 Career Health Assessment migration plan explicitly within Career Intelligence Domain. Trigger: none required.</w:t>
      </w:r>
    </w:p>
    <w:p>
      <w:pPr>
        <w:pStyle w:val="Heading2"/>
        <w:spacing w:after="200" w:before="320"/>
      </w:pPr>
      <w:r>
        <w:t xml:space="preserve">13.2 Medium-Term (6-18 months)</w:t>
      </w:r>
    </w:p>
    <w:p>
      <w:pPr>
        <w:pStyle w:val="ListParagraph"/>
        <w:numPr>
          <w:ilvl w:val="0"/>
          <w:numId w:val="2"/>
        </w:numPr>
        <w:spacing w:after="100"/>
      </w:pPr>
      <w:r>
        <w:t xml:space="preserve">First signed employer or job-board partner integration, activating Employer Domain, and -- through the domain relationships in Section 7 -- Career Intelligence and Knowledge &amp; Market Intelligence together. Trigger: a real, negotiated partner agreement -- the single highest-leverage trigger in this roadmap.</w:t>
      </w:r>
    </w:p>
    <w:p>
      <w:pPr>
        <w:pStyle w:val="ListParagraph"/>
        <w:numPr>
          <w:ilvl w:val="0"/>
          <w:numId w:val="2"/>
        </w:numPr>
        <w:spacing w:after="100"/>
      </w:pPr>
      <w:r>
        <w:t xml:space="preserve">Populate the Career Digital Twin bounded context within Career Intelligence Domain against real academic-history data. Trigger: Academic Intelligence Domain profile completeness sufficient for a meaningful cohort of students with multi-year history.</w:t>
      </w:r>
    </w:p>
    <w:p>
      <w:pPr>
        <w:pStyle w:val="ListParagraph"/>
        <w:numPr>
          <w:ilvl w:val="0"/>
          <w:numId w:val="2"/>
        </w:numPr>
        <w:spacing w:after="100"/>
      </w:pPr>
      <w:r>
        <w:t xml:space="preserve">Introduce a Supervisor/handoff pattern within AI Intelligence Domain's Agent Coordination Context once more than two agents need to coordinate on a single task. Trigger: as stated, per EEP-01 Phase F Part 8.</w:t>
      </w:r>
    </w:p>
    <w:p>
      <w:pPr>
        <w:pStyle w:val="Heading2"/>
        <w:spacing w:after="200" w:before="320"/>
      </w:pPr>
      <w:r>
        <w:t xml:space="preserve">13.3 Long-Term (18-36+ months)</w:t>
      </w:r>
    </w:p>
    <w:p>
      <w:pPr>
        <w:pStyle w:val="ListParagraph"/>
        <w:numPr>
          <w:ilvl w:val="0"/>
          <w:numId w:val="2"/>
        </w:numPr>
        <w:spacing w:after="100"/>
      </w:pPr>
      <w:r>
        <w:t xml:space="preserve">AI Workflow Orchestration Layer within AI Intelligence Domain once more than ten distinct multi-step AI workflows exist. Trigger: per EEP-01 Phase F Part 0.</w:t>
      </w:r>
    </w:p>
    <w:p>
      <w:pPr>
        <w:pStyle w:val="ListParagraph"/>
        <w:numPr>
          <w:ilvl w:val="0"/>
          <w:numId w:val="2"/>
        </w:numPr>
        <w:spacing w:after="100"/>
      </w:pPr>
      <w:r>
        <w:t xml:space="preserve">Separated Operations/Platform ownership, carved from Platform Shared Services Domain, once headcount and incident volume make context-switching between building and operating measurably costly. Trigger: per EEP-01 Phase H Part 0.</w:t>
      </w:r>
    </w:p>
    <w:p>
      <w:pPr>
        <w:pStyle w:val="ListParagraph"/>
        <w:numPr>
          <w:ilvl w:val="0"/>
          <w:numId w:val="2"/>
        </w:numPr>
        <w:spacing w:after="100"/>
      </w:pPr>
      <w:r>
        <w:t xml:space="preserve">Revisit Career Outcome Intelligence's domain candidacy (Section 11.3) once a dedicated outcome-tracking pipeline exists.</w:t>
      </w:r>
    </w:p>
    <w:p>
      <w:pPr>
        <w:pStyle w:val="Heading2"/>
        <w:spacing w:after="200" w:before="320"/>
      </w:pPr>
      <w:r>
        <w:t xml:space="preserve">13.4 Enterprise-Scale Evolution</w:t>
      </w:r>
    </w:p>
    <w:p>
      <w:pPr>
        <w:pStyle w:val="ListParagraph"/>
        <w:numPr>
          <w:ilvl w:val="0"/>
          <w:numId w:val="2"/>
        </w:numPr>
        <w:spacing w:after="100"/>
      </w:pPr>
      <w:r>
        <w:t xml:space="preserve">Two-sided marketplace domain spanning Career Intelligence, Employer Domain, and Academic Intelligence, contingent on Employer Domain and Academic Intelligence both reaching Level 4+ independently first.</w:t>
      </w:r>
    </w:p>
    <w:p>
      <w:pPr>
        <w:pStyle w:val="ListParagraph"/>
        <w:numPr>
          <w:ilvl w:val="0"/>
          <w:numId w:val="2"/>
        </w:numPr>
        <w:spacing w:after="100"/>
      </w:pPr>
      <w:r>
        <w:t xml:space="preserve">Cross-institution academic profile portability within Academic Intelligence Domain, contingent on multiple signed academic partners with compatible data-sharing agreements.</w:t>
      </w:r>
    </w:p>
    <w:p>
      <w:pPr>
        <w:pStyle w:val="Heading1"/>
        <w:pageBreakBefore/>
        <w:spacing w:after="200" w:before="480"/>
      </w:pPr>
      <w:r>
        <w:t xml:space="preserve">14. Traceability</w:t>
      </w:r>
    </w:p>
    <w:p>
      <w:pPr>
        <w:spacing w:after="160"/>
        <w:jc w:val="both"/>
      </w:pPr>
      <w:r>
        <w:t xml:space="preserve">Every domain traces to the EEP-02 Phase A capabilities it contains (Section 5) and to the EEP-01 technical architecture phases that realize it. This section consolidates that traceability at the domain level; per-capability traceability remains authoritative in Phase A Section 14, which this document does not restate in full.</w:t>
      </w:r>
    </w:p>
    <w:tbl>
      <w:tblPr>
        <w:tblW w:type="dxa" w:w="9200"/>
        <w:tblBorders>
          <w:top w:val="single" w:color="AAAAAA" w:sz="2"/>
          <w:left w:val="single" w:color="AAAAAA" w:sz="2"/>
          <w:bottom w:val="single" w:color="AAAAAA" w:sz="2"/>
          <w:right w:val="single" w:color="AAAAAA" w:sz="2"/>
          <w:insideH w:val="single" w:color="CCCCCC" w:sz="2"/>
          <w:insideV w:val="single" w:color="CCCCCC" w:sz="2"/>
        </w:tblBorders>
      </w:tblPr>
      <w:tblGrid>
        <w:gridCol w:w="1900"/>
        <w:gridCol w:w="1900"/>
        <w:gridCol w:w="1300"/>
        <w:gridCol w:w="4100"/>
      </w:tblGrid>
      <w:tr>
        <w:trPr>
          <w:tblHeader/>
        </w:trPr>
        <w:tc>
          <w:tcPr>
            <w:tcW w:type="dxa" w:w="1900"/>
            <w:shd w:fill="1F3864" w:color="auto" w:val="clear"/>
            <w:tcMar>
              <w:top w:type="dxa" w:w="80"/>
              <w:left w:type="dxa" w:w="100"/>
              <w:bottom w:type="dxa" w:w="80"/>
              <w:right w:type="dxa" w:w="100"/>
            </w:tcMar>
            <w:vAlign w:val="center"/>
          </w:tcPr>
          <w:p>
            <w:pPr>
              <w:spacing w:after="40"/>
            </w:pPr>
            <w:r>
              <w:rPr>
                <w:b/>
                <w:bCs/>
                <w:color w:val="FFFFFF"/>
                <w:sz w:val="19"/>
                <w:szCs w:val="19"/>
              </w:rPr>
              <w:t xml:space="preserve"/>
            </w:r>
          </w:p>
        </w:tc>
        <w:tc>
          <w:tcPr>
            <w:tcW w:type="dxa" w:w="1900"/>
            <w:shd w:fill="1F3864" w:color="auto" w:val="clear"/>
            <w:tcMar>
              <w:top w:type="dxa" w:w="80"/>
              <w:left w:type="dxa" w:w="100"/>
              <w:bottom w:type="dxa" w:w="80"/>
              <w:right w:type="dxa" w:w="100"/>
            </w:tcMar>
            <w:vAlign w:val="center"/>
          </w:tcPr>
          <w:p>
            <w:pPr>
              <w:spacing w:after="40"/>
            </w:pPr>
            <w:r>
              <w:rPr>
                <w:b/>
                <w:bCs/>
                <w:color w:val="FFFFFF"/>
                <w:sz w:val="19"/>
                <w:szCs w:val="19"/>
              </w:rPr>
              <w:t xml:space="preserve"/>
            </w:r>
          </w:p>
        </w:tc>
        <w:tc>
          <w:tcPr>
            <w:tcW w:type="dxa" w:w="1300"/>
            <w:shd w:fill="1F3864" w:color="auto" w:val="clear"/>
            <w:tcMar>
              <w:top w:type="dxa" w:w="80"/>
              <w:left w:type="dxa" w:w="100"/>
              <w:bottom w:type="dxa" w:w="80"/>
              <w:right w:type="dxa" w:w="100"/>
            </w:tcMar>
            <w:vAlign w:val="center"/>
          </w:tcPr>
          <w:p>
            <w:pPr>
              <w:spacing w:after="40"/>
            </w:pPr>
            <w:r>
              <w:rPr>
                <w:b/>
                <w:bCs/>
                <w:color w:val="FFFFFF"/>
                <w:sz w:val="19"/>
                <w:szCs w:val="19"/>
              </w:rPr>
              <w:t xml:space="preserve"/>
            </w:r>
          </w:p>
        </w:tc>
        <w:tc>
          <w:tcPr>
            <w:tcW w:type="dxa" w:w="4100"/>
            <w:shd w:fill="1F3864" w:color="auto" w:val="clear"/>
            <w:tcMar>
              <w:top w:type="dxa" w:w="80"/>
              <w:left w:type="dxa" w:w="100"/>
              <w:bottom w:type="dxa" w:w="80"/>
              <w:right w:type="dxa" w:w="100"/>
            </w:tcMar>
            <w:vAlign w:val="center"/>
          </w:tcPr>
          <w:p>
            <w:pPr>
              <w:spacing w:after="40"/>
            </w:pPr>
            <w:r>
              <w:rPr>
                <w:b/>
                <w:bCs/>
                <w:color w:val="FFFFFF"/>
                <w:sz w:val="19"/>
                <w:szCs w:val="19"/>
              </w:rPr>
              <w:t xml:space="preserve"/>
            </w:r>
          </w:p>
        </w:tc>
      </w:tr>
      <w:tr>
        <w:trPr>
          <w:tblHeader w:val="false"/>
        </w:trPr>
        <w:tc>
          <w:tcPr>
            <w:tcW w:type="dxa" w:w="1900"/>
            <w:tcMar>
              <w:top w:type="dxa" w:w="80"/>
              <w:left w:type="dxa" w:w="100"/>
              <w:bottom w:type="dxa" w:w="80"/>
              <w:right w:type="dxa" w:w="100"/>
            </w:tcMar>
            <w:vAlign w:val="center"/>
          </w:tcPr>
          <w:p>
            <w:pPr>
              <w:spacing w:after="40"/>
            </w:pPr>
            <w:r>
              <w:t xml:space="preserve">Career Intelligence</w:t>
            </w:r>
          </w:p>
        </w:tc>
        <w:tc>
          <w:tcPr>
            <w:tcW w:type="dxa" w:w="1900"/>
            <w:tcMar>
              <w:top w:type="dxa" w:w="80"/>
              <w:left w:type="dxa" w:w="100"/>
              <w:bottom w:type="dxa" w:w="80"/>
              <w:right w:type="dxa" w:w="100"/>
            </w:tcMar>
            <w:vAlign w:val="center"/>
          </w:tcPr>
          <w:p>
            <w:pPr>
              <w:spacing w:after="40"/>
            </w:pPr>
            <w:r>
              <w:t xml:space="preserve">Sections 7.1-7.4</w:t>
            </w:r>
          </w:p>
        </w:tc>
        <w:tc>
          <w:tcPr>
            <w:tcW w:type="dxa" w:w="1300"/>
            <w:tcMar>
              <w:top w:type="dxa" w:w="80"/>
              <w:left w:type="dxa" w:w="100"/>
              <w:bottom w:type="dxa" w:w="80"/>
              <w:right w:type="dxa" w:w="100"/>
            </w:tcMar>
            <w:vAlign w:val="center"/>
          </w:tcPr>
          <w:p>
            <w:pPr>
              <w:spacing w:after="40"/>
            </w:pPr>
            <w:r>
              <w:t xml:space="preserve">A, E, F</w:t>
            </w:r>
          </w:p>
        </w:tc>
        <w:tc>
          <w:tcPr>
            <w:tcW w:type="dxa" w:w="4100"/>
            <w:tcMar>
              <w:top w:type="dxa" w:w="80"/>
              <w:left w:type="dxa" w:w="100"/>
              <w:bottom w:type="dxa" w:w="80"/>
              <w:right w:type="dxa" w:w="100"/>
            </w:tcMar>
            <w:vAlign w:val="center"/>
          </w:tcPr>
          <w:p>
            <w:pPr>
              <w:spacing w:after="40"/>
            </w:pPr>
            <w:r>
              <w:t xml:space="preserve">Data model (A) for history; Integration (E) for the mock-data ceiling; AI (F) for the copilot/agent layer</w:t>
            </w:r>
          </w:p>
        </w:tc>
      </w:tr>
      <w:tr>
        <w:trPr>
          <w:tblHeader w:val="false"/>
        </w:trPr>
        <w:tc>
          <w:tcPr>
            <w:tcW w:type="dxa" w:w="1900"/>
            <w:shd w:fill="E9EEF5" w:color="auto" w:val="clear"/>
            <w:tcMar>
              <w:top w:type="dxa" w:w="80"/>
              <w:left w:type="dxa" w:w="100"/>
              <w:bottom w:type="dxa" w:w="80"/>
              <w:right w:type="dxa" w:w="100"/>
            </w:tcMar>
            <w:vAlign w:val="center"/>
          </w:tcPr>
          <w:p>
            <w:pPr>
              <w:spacing w:after="40"/>
            </w:pPr>
            <w:r>
              <w:t xml:space="preserve">Academic Intelligence</w:t>
            </w:r>
          </w:p>
        </w:tc>
        <w:tc>
          <w:tcPr>
            <w:tcW w:type="dxa" w:w="1900"/>
            <w:shd w:fill="E9EEF5" w:color="auto" w:val="clear"/>
            <w:tcMar>
              <w:top w:type="dxa" w:w="80"/>
              <w:left w:type="dxa" w:w="100"/>
              <w:bottom w:type="dxa" w:w="80"/>
              <w:right w:type="dxa" w:w="100"/>
            </w:tcMar>
            <w:vAlign w:val="center"/>
          </w:tcPr>
          <w:p>
            <w:pPr>
              <w:spacing w:after="40"/>
            </w:pPr>
            <w:r>
              <w:t xml:space="preserve">Sections 7.5, 7.11</w:t>
            </w:r>
          </w:p>
        </w:tc>
        <w:tc>
          <w:tcPr>
            <w:tcW w:type="dxa" w:w="1300"/>
            <w:shd w:fill="E9EEF5" w:color="auto" w:val="clear"/>
            <w:tcMar>
              <w:top w:type="dxa" w:w="80"/>
              <w:left w:type="dxa" w:w="100"/>
              <w:bottom w:type="dxa" w:w="80"/>
              <w:right w:type="dxa" w:w="100"/>
            </w:tcMar>
            <w:vAlign w:val="center"/>
          </w:tcPr>
          <w:p>
            <w:pPr>
              <w:spacing w:after="40"/>
            </w:pPr>
            <w:r>
              <w:t xml:space="preserve">A, B</w:t>
            </w:r>
          </w:p>
        </w:tc>
        <w:tc>
          <w:tcPr>
            <w:tcW w:type="dxa" w:w="4100"/>
            <w:shd w:fill="E9EEF5" w:color="auto" w:val="clear"/>
            <w:tcMar>
              <w:top w:type="dxa" w:w="80"/>
              <w:left w:type="dxa" w:w="100"/>
              <w:bottom w:type="dxa" w:w="80"/>
              <w:right w:type="dxa" w:w="100"/>
            </w:tcMar>
            <w:vAlign w:val="center"/>
          </w:tcPr>
          <w:p>
            <w:pPr>
              <w:spacing w:after="40"/>
            </w:pPr>
            <w:r>
              <w:t xml:space="preserve">Direct realization of the 26-table Physical Data Model (A) and Security Architecture (B)</w:t>
            </w:r>
          </w:p>
        </w:tc>
      </w:tr>
      <w:tr>
        <w:trPr>
          <w:tblHeader w:val="false"/>
        </w:trPr>
        <w:tc>
          <w:tcPr>
            <w:tcW w:type="dxa" w:w="1900"/>
            <w:tcMar>
              <w:top w:type="dxa" w:w="80"/>
              <w:left w:type="dxa" w:w="100"/>
              <w:bottom w:type="dxa" w:w="80"/>
              <w:right w:type="dxa" w:w="100"/>
            </w:tcMar>
            <w:vAlign w:val="center"/>
          </w:tcPr>
          <w:p>
            <w:pPr>
              <w:spacing w:after="40"/>
            </w:pPr>
            <w:r>
              <w:t xml:space="preserve">Knowledge &amp; Market Intelligence</w:t>
            </w:r>
          </w:p>
        </w:tc>
        <w:tc>
          <w:tcPr>
            <w:tcW w:type="dxa" w:w="1900"/>
            <w:tcMar>
              <w:top w:type="dxa" w:w="80"/>
              <w:left w:type="dxa" w:w="100"/>
              <w:bottom w:type="dxa" w:w="80"/>
              <w:right w:type="dxa" w:w="100"/>
            </w:tcMar>
            <w:vAlign w:val="center"/>
          </w:tcPr>
          <w:p>
            <w:pPr>
              <w:spacing w:after="40"/>
            </w:pPr>
            <w:r>
              <w:t xml:space="preserve">Sections 7.6-7.7, 7.11</w:t>
            </w:r>
          </w:p>
        </w:tc>
        <w:tc>
          <w:tcPr>
            <w:tcW w:type="dxa" w:w="1300"/>
            <w:tcMar>
              <w:top w:type="dxa" w:w="80"/>
              <w:left w:type="dxa" w:w="100"/>
              <w:bottom w:type="dxa" w:w="80"/>
              <w:right w:type="dxa" w:w="100"/>
            </w:tcMar>
            <w:vAlign w:val="center"/>
          </w:tcPr>
          <w:p>
            <w:pPr>
              <w:spacing w:after="40"/>
            </w:pPr>
            <w:r>
              <w:t xml:space="preserve">A, E</w:t>
            </w:r>
          </w:p>
        </w:tc>
        <w:tc>
          <w:tcPr>
            <w:tcW w:type="dxa" w:w="4100"/>
            <w:tcMar>
              <w:top w:type="dxa" w:w="80"/>
              <w:left w:type="dxa" w:w="100"/>
              <w:bottom w:type="dxa" w:w="80"/>
              <w:right w:type="dxa" w:w="100"/>
            </w:tcMar>
            <w:vAlign w:val="center"/>
          </w:tcPr>
          <w:p>
            <w:pPr>
              <w:spacing w:after="40"/>
            </w:pPr>
            <w:r>
              <w:t xml:space="preserve">Taxonomy-versioning convention (A); mock-collection ceiling (E)</w:t>
            </w:r>
          </w:p>
        </w:tc>
      </w:tr>
      <w:tr>
        <w:trPr>
          <w:tblHeader w:val="false"/>
        </w:trPr>
        <w:tc>
          <w:tcPr>
            <w:tcW w:type="dxa" w:w="1900"/>
            <w:shd w:fill="E9EEF5" w:color="auto" w:val="clear"/>
            <w:tcMar>
              <w:top w:type="dxa" w:w="80"/>
              <w:left w:type="dxa" w:w="100"/>
              <w:bottom w:type="dxa" w:w="80"/>
              <w:right w:type="dxa" w:w="100"/>
            </w:tcMar>
            <w:vAlign w:val="center"/>
          </w:tcPr>
          <w:p>
            <w:pPr>
              <w:spacing w:after="40"/>
            </w:pPr>
            <w:r>
              <w:t xml:space="preserve">AI Intelligence</w:t>
            </w:r>
          </w:p>
        </w:tc>
        <w:tc>
          <w:tcPr>
            <w:tcW w:type="dxa" w:w="1900"/>
            <w:shd w:fill="E9EEF5" w:color="auto" w:val="clear"/>
            <w:tcMar>
              <w:top w:type="dxa" w:w="80"/>
              <w:left w:type="dxa" w:w="100"/>
              <w:bottom w:type="dxa" w:w="80"/>
              <w:right w:type="dxa" w:w="100"/>
            </w:tcMar>
            <w:vAlign w:val="center"/>
          </w:tcPr>
          <w:p>
            <w:pPr>
              <w:spacing w:after="40"/>
            </w:pPr>
            <w:r>
              <w:t xml:space="preserve">Section 7.8, 7.11</w:t>
            </w:r>
          </w:p>
        </w:tc>
        <w:tc>
          <w:tcPr>
            <w:tcW w:type="dxa" w:w="1300"/>
            <w:shd w:fill="E9EEF5" w:color="auto" w:val="clear"/>
            <w:tcMar>
              <w:top w:type="dxa" w:w="80"/>
              <w:left w:type="dxa" w:w="100"/>
              <w:bottom w:type="dxa" w:w="80"/>
              <w:right w:type="dxa" w:w="100"/>
            </w:tcMar>
            <w:vAlign w:val="center"/>
          </w:tcPr>
          <w:p>
            <w:pPr>
              <w:spacing w:after="40"/>
            </w:pPr>
            <w:r>
              <w:t xml:space="preserve">E, F</w:t>
            </w:r>
          </w:p>
        </w:tc>
        <w:tc>
          <w:tcPr>
            <w:tcW w:type="dxa" w:w="4100"/>
            <w:shd w:fill="E9EEF5" w:color="auto" w:val="clear"/>
            <w:tcMar>
              <w:top w:type="dxa" w:w="80"/>
              <w:left w:type="dxa" w:w="100"/>
              <w:bottom w:type="dxa" w:w="80"/>
              <w:right w:type="dxa" w:w="100"/>
            </w:tcMar>
            <w:vAlign w:val="center"/>
          </w:tcPr>
          <w:p>
            <w:pPr>
              <w:spacing w:after="40"/>
            </w:pPr>
            <w:r>
              <w:t xml:space="preserve">Provider abstraction and circuit breaker (E); AI &amp; Intelligent Automation Architecture (F)</w:t>
            </w:r>
          </w:p>
        </w:tc>
      </w:tr>
      <w:tr>
        <w:trPr>
          <w:tblHeader w:val="false"/>
        </w:trPr>
        <w:tc>
          <w:tcPr>
            <w:tcW w:type="dxa" w:w="1900"/>
            <w:tcMar>
              <w:top w:type="dxa" w:w="80"/>
              <w:left w:type="dxa" w:w="100"/>
              <w:bottom w:type="dxa" w:w="80"/>
              <w:right w:type="dxa" w:w="100"/>
            </w:tcMar>
            <w:vAlign w:val="center"/>
          </w:tcPr>
          <w:p>
            <w:pPr>
              <w:spacing w:after="40"/>
            </w:pPr>
            <w:r>
              <w:t xml:space="preserve">Candidate Experience &amp; Growth</w:t>
            </w:r>
          </w:p>
        </w:tc>
        <w:tc>
          <w:tcPr>
            <w:tcW w:type="dxa" w:w="1900"/>
            <w:tcMar>
              <w:top w:type="dxa" w:w="80"/>
              <w:left w:type="dxa" w:w="100"/>
              <w:bottom w:type="dxa" w:w="80"/>
              <w:right w:type="dxa" w:w="100"/>
            </w:tcMar>
            <w:vAlign w:val="center"/>
          </w:tcPr>
          <w:p>
            <w:pPr>
              <w:spacing w:after="40"/>
            </w:pPr>
            <w:r>
              <w:t xml:space="preserve">Sections 7.9, 7.11</w:t>
            </w:r>
          </w:p>
        </w:tc>
        <w:tc>
          <w:tcPr>
            <w:tcW w:type="dxa" w:w="1300"/>
            <w:tcMar>
              <w:top w:type="dxa" w:w="80"/>
              <w:left w:type="dxa" w:w="100"/>
              <w:bottom w:type="dxa" w:w="80"/>
              <w:right w:type="dxa" w:w="100"/>
            </w:tcMar>
            <w:vAlign w:val="center"/>
          </w:tcPr>
          <w:p>
            <w:pPr>
              <w:spacing w:after="40"/>
            </w:pPr>
            <w:r>
              <w:t xml:space="preserve">E, F</w:t>
            </w:r>
          </w:p>
        </w:tc>
        <w:tc>
          <w:tcPr>
            <w:tcW w:type="dxa" w:w="4100"/>
            <w:tcMar>
              <w:top w:type="dxa" w:w="80"/>
              <w:left w:type="dxa" w:w="100"/>
              <w:bottom w:type="dxa" w:w="80"/>
              <w:right w:type="dxa" w:w="100"/>
            </w:tcMar>
            <w:vAlign w:val="center"/>
          </w:tcPr>
          <w:p>
            <w:pPr>
              <w:spacing w:after="40"/>
            </w:pPr>
            <w:r>
              <w:t xml:space="preserve">AI provider layer for generation quality (F); underlying API calls (E)</w:t>
            </w:r>
          </w:p>
        </w:tc>
      </w:tr>
      <w:tr>
        <w:trPr>
          <w:tblHeader w:val="false"/>
        </w:trPr>
        <w:tc>
          <w:tcPr>
            <w:tcW w:type="dxa" w:w="1900"/>
            <w:shd w:fill="E9EEF5" w:color="auto" w:val="clear"/>
            <w:tcMar>
              <w:top w:type="dxa" w:w="80"/>
              <w:left w:type="dxa" w:w="100"/>
              <w:bottom w:type="dxa" w:w="80"/>
              <w:right w:type="dxa" w:w="100"/>
            </w:tcMar>
            <w:vAlign w:val="center"/>
          </w:tcPr>
          <w:p>
            <w:pPr>
              <w:spacing w:after="40"/>
            </w:pPr>
            <w:r>
              <w:t xml:space="preserve">Employer Domain</w:t>
            </w:r>
          </w:p>
        </w:tc>
        <w:tc>
          <w:tcPr>
            <w:tcW w:type="dxa" w:w="1900"/>
            <w:shd w:fill="E9EEF5" w:color="auto" w:val="clear"/>
            <w:tcMar>
              <w:top w:type="dxa" w:w="80"/>
              <w:left w:type="dxa" w:w="100"/>
              <w:bottom w:type="dxa" w:w="80"/>
              <w:right w:type="dxa" w:w="100"/>
            </w:tcMar>
            <w:vAlign w:val="center"/>
          </w:tcPr>
          <w:p>
            <w:pPr>
              <w:spacing w:after="40"/>
            </w:pPr>
            <w:r>
              <w:t xml:space="preserve">Section 7.10</w:t>
            </w:r>
          </w:p>
        </w:tc>
        <w:tc>
          <w:tcPr>
            <w:tcW w:type="dxa" w:w="1300"/>
            <w:shd w:fill="E9EEF5" w:color="auto" w:val="clear"/>
            <w:tcMar>
              <w:top w:type="dxa" w:w="80"/>
              <w:left w:type="dxa" w:w="100"/>
              <w:bottom w:type="dxa" w:w="80"/>
              <w:right w:type="dxa" w:w="100"/>
            </w:tcMar>
            <w:vAlign w:val="center"/>
          </w:tcPr>
          <w:p>
            <w:pPr>
              <w:spacing w:after="40"/>
            </w:pPr>
            <w:r>
              <w:t xml:space="preserve">E</w:t>
            </w:r>
          </w:p>
        </w:tc>
        <w:tc>
          <w:tcPr>
            <w:tcW w:type="dxa" w:w="4100"/>
            <w:shd w:fill="E9EEF5" w:color="auto" w:val="clear"/>
            <w:tcMar>
              <w:top w:type="dxa" w:w="80"/>
              <w:left w:type="dxa" w:w="100"/>
              <w:bottom w:type="dxa" w:w="80"/>
              <w:right w:type="dxa" w:w="100"/>
            </w:tcMar>
            <w:vAlign w:val="center"/>
          </w:tcPr>
          <w:p>
            <w:pPr>
              <w:spacing w:after="40"/>
            </w:pPr>
            <w:r>
              <w:t xml:space="preserve">Authoritative statement of mock-vs-live ceiling and the first-signed-partner-contract trigger</w:t>
            </w:r>
          </w:p>
        </w:tc>
      </w:tr>
      <w:tr>
        <w:trPr>
          <w:tblHeader w:val="false"/>
        </w:trPr>
        <w:tc>
          <w:tcPr>
            <w:tcW w:type="dxa" w:w="1900"/>
            <w:tcMar>
              <w:top w:type="dxa" w:w="80"/>
              <w:left w:type="dxa" w:w="100"/>
              <w:bottom w:type="dxa" w:w="80"/>
              <w:right w:type="dxa" w:w="100"/>
            </w:tcMar>
            <w:vAlign w:val="center"/>
          </w:tcPr>
          <w:p>
            <w:pPr>
              <w:spacing w:after="40"/>
            </w:pPr>
            <w:r>
              <w:t xml:space="preserve">Platform Shared Services</w:t>
            </w:r>
          </w:p>
        </w:tc>
        <w:tc>
          <w:tcPr>
            <w:tcW w:type="dxa" w:w="1900"/>
            <w:tcMar>
              <w:top w:type="dxa" w:w="80"/>
              <w:left w:type="dxa" w:w="100"/>
              <w:bottom w:type="dxa" w:w="80"/>
              <w:right w:type="dxa" w:w="100"/>
            </w:tcMar>
            <w:vAlign w:val="center"/>
          </w:tcPr>
          <w:p>
            <w:pPr>
              <w:spacing w:after="40"/>
            </w:pPr>
            <w:r>
              <w:t xml:space="preserve">Section 7.11</w:t>
            </w:r>
          </w:p>
        </w:tc>
        <w:tc>
          <w:tcPr>
            <w:tcW w:type="dxa" w:w="1300"/>
            <w:tcMar>
              <w:top w:type="dxa" w:w="80"/>
              <w:left w:type="dxa" w:w="100"/>
              <w:bottom w:type="dxa" w:w="80"/>
              <w:right w:type="dxa" w:w="100"/>
            </w:tcMar>
            <w:vAlign w:val="center"/>
          </w:tcPr>
          <w:p>
            <w:pPr>
              <w:spacing w:after="40"/>
            </w:pPr>
            <w:r>
              <w:t xml:space="preserve">B, G</w:t>
            </w:r>
          </w:p>
        </w:tc>
        <w:tc>
          <w:tcPr>
            <w:tcW w:type="dxa" w:w="4100"/>
            <w:tcMar>
              <w:top w:type="dxa" w:w="80"/>
              <w:left w:type="dxa" w:w="100"/>
              <w:bottom w:type="dxa" w:w="80"/>
              <w:right w:type="dxa" w:w="100"/>
            </w:tcMar>
            <w:vAlign w:val="center"/>
          </w:tcPr>
          <w:p>
            <w:pPr>
              <w:spacing w:after="40"/>
            </w:pPr>
            <w:r>
              <w:t xml:space="preserve">Security Architecture (B) for identity; Platform &amp; Runtime Architecture (G) for configuration and scaling</w:t>
            </w:r>
          </w:p>
        </w:tc>
      </w:tr>
      <w:tr>
        <w:trPr>
          <w:tblHeader w:val="false"/>
        </w:trPr>
        <w:tc>
          <w:tcPr>
            <w:tcW w:type="dxa" w:w="1900"/>
            <w:shd w:fill="E9EEF5" w:color="auto" w:val="clear"/>
            <w:tcMar>
              <w:top w:type="dxa" w:w="80"/>
              <w:left w:type="dxa" w:w="100"/>
              <w:bottom w:type="dxa" w:w="80"/>
              <w:right w:type="dxa" w:w="100"/>
            </w:tcMar>
            <w:vAlign w:val="center"/>
          </w:tcPr>
          <w:p>
            <w:pPr>
              <w:spacing w:after="40"/>
            </w:pPr>
            <w:r>
              <w:t xml:space="preserve">Governance</w:t>
            </w:r>
          </w:p>
        </w:tc>
        <w:tc>
          <w:tcPr>
            <w:tcW w:type="dxa" w:w="1900"/>
            <w:shd w:fill="E9EEF5" w:color="auto" w:val="clear"/>
            <w:tcMar>
              <w:top w:type="dxa" w:w="80"/>
              <w:left w:type="dxa" w:w="100"/>
              <w:bottom w:type="dxa" w:w="80"/>
              <w:right w:type="dxa" w:w="100"/>
            </w:tcMar>
            <w:vAlign w:val="center"/>
          </w:tcPr>
          <w:p>
            <w:pPr>
              <w:spacing w:after="40"/>
            </w:pPr>
            <w:r>
              <w:t xml:space="preserve">Section 7.11</w:t>
            </w:r>
          </w:p>
        </w:tc>
        <w:tc>
          <w:tcPr>
            <w:tcW w:type="dxa" w:w="1300"/>
            <w:shd w:fill="E9EEF5" w:color="auto" w:val="clear"/>
            <w:tcMar>
              <w:top w:type="dxa" w:w="80"/>
              <w:left w:type="dxa" w:w="100"/>
              <w:bottom w:type="dxa" w:w="80"/>
              <w:right w:type="dxa" w:w="100"/>
            </w:tcMar>
            <w:vAlign w:val="center"/>
          </w:tcPr>
          <w:p>
            <w:pPr>
              <w:spacing w:after="40"/>
            </w:pPr>
            <w:r>
              <w:t xml:space="preserve">I, J</w:t>
            </w:r>
          </w:p>
        </w:tc>
        <w:tc>
          <w:tcPr>
            <w:tcW w:type="dxa" w:w="4100"/>
            <w:shd w:fill="E9EEF5" w:color="auto" w:val="clear"/>
            <w:tcMar>
              <w:top w:type="dxa" w:w="80"/>
              <w:left w:type="dxa" w:w="100"/>
              <w:bottom w:type="dxa" w:w="80"/>
              <w:right w:type="dxa" w:w="100"/>
            </w:tcMar>
            <w:vAlign w:val="center"/>
          </w:tcPr>
          <w:p>
            <w:pPr>
              <w:spacing w:after="40"/>
            </w:pPr>
            <w:r>
              <w:t xml:space="preserve">Engineering Standards Architecture (I); Quality, Conformance &amp; Continuous Improvement Architecture (J)</w:t>
            </w:r>
          </w:p>
        </w:tc>
      </w:tr>
    </w:tbl>
    <w:p>
      <w:pPr>
        <w:spacing w:after="200"/>
      </w:pPr>
    </w:p>
    <w:p>
      <w:pPr>
        <w:pStyle w:val="Heading1"/>
        <w:pageBreakBefore/>
        <w:spacing w:after="200" w:before="480"/>
      </w:pPr>
      <w:r>
        <w:t xml:space="preserve">15. Architecture Decisions</w:t>
      </w:r>
    </w:p>
    <w:p>
      <w:pPr>
        <w:pStyle w:val="Heading3"/>
        <w:spacing w:after="200" w:before="320"/>
      </w:pPr>
      <w:r>
        <w:t xml:space="preserve">ADR-BD-01 - The enterprise domain map has eight domains, matching Phase A's eight Level-0 capability groups one-to-one</w:t>
      </w:r>
    </w:p>
    <w:p>
      <w:pPr>
        <w:spacing w:after="160"/>
        <w:jc w:val="both"/>
      </w:pPr>
      <w:r>
        <w:rPr>
          <w:b/>
          <w:bCs/>
        </w:rPr>
        <w:t xml:space="preserve">Context:</w:t>
      </w:r>
      <w:r>
        <w:t xml:space="preserve"> The program brief's Special Focus Areas list names fourteen candidate domains, more than double the eight this document lands on.</w:t>
      </w:r>
    </w:p>
    <w:p>
      <w:pPr>
        <w:spacing w:after="160"/>
        <w:jc w:val="both"/>
      </w:pPr>
      <w:r>
        <w:rPr>
          <w:b/>
          <w:bCs/>
        </w:rPr>
        <w:t xml:space="preserve">Alternatives considered:</w:t>
      </w:r>
      <w:r>
        <w:t xml:space="preserve"> (a) Create a domain for every Special Focus Area name regardless of evidence; (b) create domains matching Phase A's existing groups and evaluate each Special Focus name against them.</w:t>
      </w:r>
    </w:p>
    <w:p>
      <w:pPr>
        <w:spacing w:after="160"/>
        <w:jc w:val="both"/>
      </w:pPr>
      <w:r>
        <w:rPr>
          <w:b/>
          <w:bCs/>
        </w:rPr>
        <w:t xml:space="preserve">Rationale:</w:t>
      </w:r>
      <w:r>
        <w:t xml:space="preserve"> Phase A's Level-0 capability groups already represent an evidence-tested organizing structure; re-deriving a different domain map from scratch would either duplicate that work or contradict it. Per Section 3.3, capabilities are not split into new domains without independent ownership, data, or consumer-base evidence, and no Special Focus name beyond the existing eight clears that bar (Section 2.4).</w:t>
      </w:r>
    </w:p>
    <w:p>
      <w:pPr>
        <w:spacing w:after="160"/>
        <w:jc w:val="both"/>
      </w:pPr>
      <w:r>
        <w:rPr>
          <w:b/>
          <w:bCs/>
        </w:rPr>
        <w:t xml:space="preserve">Trade-off:</w:t>
      </w:r>
      <w:r>
        <w:t xml:space="preserve"> The domain map is asymmetric relative to the Special Focus list, which may read as under-delivering against that list at first glance; Section 2.4 exists specifically to close that gap transparently.</w:t>
      </w:r>
    </w:p>
    <w:p>
      <w:pPr>
        <w:pStyle w:val="Heading3"/>
        <w:spacing w:after="200" w:before="320"/>
      </w:pPr>
      <w:r>
        <w:t xml:space="preserve">ADR-BD-02 - Career Health Assessment and Career Digital Twin remain bounded contexts inside Career Intelligence Domain, not separate domains</w:t>
      </w:r>
    </w:p>
    <w:p>
      <w:pPr>
        <w:spacing w:after="160"/>
        <w:jc w:val="both"/>
      </w:pPr>
      <w:r>
        <w:rPr>
          <w:b/>
          <w:bCs/>
        </w:rPr>
        <w:t xml:space="preserve">Context:</w:t>
      </w:r>
      <w:r>
        <w:t xml:space="preserve"> Both appear as candidate domain names ("Assessment Domain") or carry strategic/innovation framing in Phase A that might suggest domain-level independence.</w:t>
      </w:r>
    </w:p>
    <w:p>
      <w:pPr>
        <w:spacing w:after="160"/>
        <w:jc w:val="both"/>
      </w:pPr>
      <w:r>
        <w:rPr>
          <w:b/>
          <w:bCs/>
        </w:rPr>
        <w:t xml:space="preserve">Alternatives considered:</w:t>
      </w:r>
      <w:r>
        <w:t xml:space="preserve"> (a) Elevate each to its own domain; (b) keep both as bounded contexts inside Career Intelligence Domain.</w:t>
      </w:r>
    </w:p>
    <w:p>
      <w:pPr>
        <w:spacing w:after="160"/>
        <w:jc w:val="both"/>
      </w:pPr>
      <w:r>
        <w:rPr>
          <w:b/>
          <w:bCs/>
        </w:rPr>
        <w:t xml:space="preserve">Rationale:</w:t>
      </w:r>
      <w:r>
        <w:t xml:space="preserve"> Neither shows independent ownership, a separate data store, or a separate consumer base from the rest of Career Intelligence (Phase A Section 8.2's dependency table); domains must survive technology replacement as stable business responsibilities, and these two are tightly coupled to the rest of the domain's recommendation and opportunity logic.</w:t>
      </w:r>
    </w:p>
    <w:p>
      <w:pPr>
        <w:spacing w:after="160"/>
        <w:jc w:val="both"/>
      </w:pPr>
      <w:r>
        <w:rPr>
          <w:b/>
          <w:bCs/>
        </w:rPr>
        <w:t xml:space="preserve">Trade-off:</w:t>
      </w:r>
      <w:r>
        <w:t xml:space="preserve"> The domain-level view slightly understates each capability's individual strategic narrative relative to a dedicated domain profile; Section 8.1's bounded-context detail exists to preserve that narrative at the appropriate level.</w:t>
      </w:r>
    </w:p>
    <w:p>
      <w:pPr>
        <w:pStyle w:val="Heading3"/>
        <w:spacing w:after="200" w:before="320"/>
      </w:pPr>
      <w:r>
        <w:t xml:space="preserve">ADR-BD-03 - Employer Domain is catalogued as a full, named domain despite Level 1 maturity</w:t>
      </w:r>
    </w:p>
    <w:p>
      <w:pPr>
        <w:spacing w:after="160"/>
        <w:jc w:val="both"/>
      </w:pPr>
      <w:r>
        <w:rPr>
          <w:b/>
          <w:bCs/>
        </w:rPr>
        <w:t xml:space="preserve">Context:</w:t>
      </w:r>
      <w:r>
        <w:t xml:space="preserve"> At Level 1 -- Initial maturity, Employer Domain could be treated as not-yet-a-domain and folded into a general 'future capabilities' note, as some of its underlying capability was in Phase A's own future-capability list.</w:t>
      </w:r>
    </w:p>
    <w:p>
      <w:pPr>
        <w:spacing w:after="160"/>
        <w:jc w:val="both"/>
      </w:pPr>
      <w:r>
        <w:rPr>
          <w:b/>
          <w:bCs/>
        </w:rPr>
        <w:t xml:space="preserve">Alternatives considered:</w:t>
      </w:r>
      <w:r>
        <w:t xml:space="preserve"> (a) Omit or under-catalogue it given its immaturity; (b) name it as a full strategic domain regardless of current maturity, per Phase A's own ADR-BC-03 precedent at the capability level.</w:t>
      </w:r>
    </w:p>
    <w:p>
      <w:pPr>
        <w:spacing w:after="160"/>
        <w:jc w:val="both"/>
      </w:pPr>
      <w:r>
        <w:rPr>
          <w:b/>
          <w:bCs/>
        </w:rPr>
        <w:t xml:space="preserve">Rationale:</w:t>
      </w:r>
      <w:r>
        <w:t xml:space="preserve"> Its strategic importance (Section 4.1, Section 12) is independent of its current maturity; omitting it would hide the platform's single largest domain-level gap rather than surface it, which is this document's purpose, directly mirroring Phase A's own reasoning for the underlying capability.</w:t>
      </w:r>
    </w:p>
    <w:p>
      <w:pPr>
        <w:spacing w:after="160"/>
        <w:jc w:val="both"/>
      </w:pPr>
      <w:r>
        <w:rPr>
          <w:b/>
          <w:bCs/>
        </w:rPr>
        <w:t xml:space="preserve">Trade-off:</w:t>
      </w:r>
      <w:r>
        <w:t xml:space="preserve"> Its profile (Section 5.5) necessarily reports more target-state than current-state content than any other domain profile in this catalog -- accepted as accurate rather than smoothed over.</w:t>
      </w:r>
    </w:p>
    <w:p>
      <w:pPr>
        <w:pStyle w:val="Heading3"/>
        <w:spacing w:after="200" w:before="320"/>
      </w:pPr>
      <w:r>
        <w:t xml:space="preserve">ADR-BD-04 - User Activity &amp; Behavioral Analytics remains inside Platform Shared Services Domain, not elevated to a standalone Analytics Domain</w:t>
      </w:r>
    </w:p>
    <w:p>
      <w:pPr>
        <w:spacing w:after="160"/>
        <w:jc w:val="both"/>
      </w:pPr>
      <w:r>
        <w:rPr>
          <w:b/>
          <w:bCs/>
        </w:rPr>
        <w:t xml:space="preserve">Context:</w:t>
      </w:r>
      <w:r>
        <w:t xml:space="preserve"> "Analytics Domain" appears as a Special Focus Area candidate name.</w:t>
      </w:r>
    </w:p>
    <w:p>
      <w:pPr>
        <w:spacing w:after="160"/>
        <w:jc w:val="both"/>
      </w:pPr>
      <w:r>
        <w:rPr>
          <w:b/>
          <w:bCs/>
        </w:rPr>
        <w:t xml:space="preserve">Alternatives considered:</w:t>
      </w:r>
      <w:r>
        <w:t xml:space="preserve"> (a) Create a standalone Analytics Domain; (b) retain it as a capability inside Platform Shared Services Domain.</w:t>
      </w:r>
    </w:p>
    <w:p>
      <w:pPr>
        <w:spacing w:after="160"/>
        <w:jc w:val="both"/>
      </w:pPr>
      <w:r>
        <w:rPr>
          <w:b/>
          <w:bCs/>
        </w:rPr>
        <w:t xml:space="preserve">Rationale:</w:t>
      </w:r>
      <w:r>
        <w:t xml:space="preserve"> Phase A Section 5 groups this capability under Platform &amp; Shared Capabilities with cross-cutting, all-capability consumers; it functions as shared infrastructure serving every other domain's engagement and quality signals, not as an independent business-facing domain in its own right -- elevating it would misrepresent its current role.</w:t>
      </w:r>
    </w:p>
    <w:p>
      <w:pPr>
        <w:spacing w:after="160"/>
        <w:jc w:val="both"/>
      </w:pPr>
      <w:r>
        <w:rPr>
          <w:b/>
          <w:bCs/>
        </w:rPr>
        <w:t xml:space="preserve">Trade-off:</w:t>
      </w:r>
      <w:r>
        <w:t xml:space="preserve"> The domain map does not give behavioral analytics its own executive-level visibility line, which a standalone domain would provide.</w:t>
      </w:r>
    </w:p>
    <w:p>
      <w:pPr>
        <w:pStyle w:val="Heading3"/>
        <w:spacing w:after="200" w:before="320"/>
      </w:pPr>
      <w:r>
        <w:t xml:space="preserve">ADR-BD-05 - AI Intelligence Domain is modeled as a horizontal domain, and its interaction rules (Section 7.4) reflect that rather than treating it as a peer domain like the others</w:t>
      </w:r>
    </w:p>
    <w:p>
      <w:pPr>
        <w:spacing w:after="160"/>
        <w:jc w:val="both"/>
      </w:pPr>
      <w:r>
        <w:rPr>
          <w:b/>
          <w:bCs/>
        </w:rPr>
        <w:t xml:space="preserve">Context:</w:t>
      </w:r>
      <w:r>
        <w:t xml:space="preserve"> A conventional domain map would show all eight domains as peers with equal-shaped boundaries.</w:t>
      </w:r>
    </w:p>
    <w:p>
      <w:pPr>
        <w:spacing w:after="160"/>
        <w:jc w:val="both"/>
      </w:pPr>
      <w:r>
        <w:rPr>
          <w:b/>
          <w:bCs/>
        </w:rPr>
        <w:t xml:space="preserve">Alternatives considered:</w:t>
      </w:r>
      <w:r>
        <w:t xml:space="preserve"> (a) Model AI Intelligence as a conventional peer domain; (b) explicitly describe it as horizontal/threading, given its evidenced coupling into Career Intelligence and Candidate Experience &amp; Growth.</w:t>
      </w:r>
    </w:p>
    <w:p>
      <w:pPr>
        <w:spacing w:after="160"/>
        <w:jc w:val="both"/>
      </w:pPr>
      <w:r>
        <w:rPr>
          <w:b/>
          <w:bCs/>
        </w:rPr>
        <w:t xml:space="preserve">Rationale:</w:t>
      </w:r>
      <w:r>
        <w:t xml:space="preserve"> AI Career Advisory's outputs feed Career Path Intelligence &amp; Recommendation directly (Phase A Section 8.1), and AI-generated content underlies Candidate Document Generation; treating AI Intelligence as a same-shaped peer domain would understate how deeply it is woven into the other two domains' student-facing work.</w:t>
      </w:r>
    </w:p>
    <w:p>
      <w:pPr>
        <w:spacing w:after="160"/>
        <w:jc w:val="both"/>
      </w:pPr>
      <w:r>
        <w:rPr>
          <w:b/>
          <w:bCs/>
        </w:rPr>
        <w:t xml:space="preserve">Trade-off:</w:t>
      </w:r>
      <w:r>
        <w:t xml:space="preserve"> The domain map is slightly less visually symmetric as a result; accepted because the alternative would obscure a real architectural characteristic of the platform.</w:t>
      </w:r>
    </w:p>
    <w:p>
      <w:pPr>
        <w:pStyle w:val="Heading3"/>
        <w:spacing w:after="200" w:before="320"/>
      </w:pPr>
      <w:r>
        <w:t xml:space="preserve">ADR-BD-06 - No domain is classified as Legacy</w:t>
      </w:r>
    </w:p>
    <w:p>
      <w:pPr>
        <w:spacing w:after="160"/>
        <w:jc w:val="both"/>
      </w:pPr>
      <w:r>
        <w:rPr>
          <w:b/>
          <w:bCs/>
        </w:rPr>
        <w:t xml:space="preserve">Context:</w:t>
      </w:r>
      <w:r>
        <w:t xml:space="preserve"> Section 12 requires a Legacy heat-map category to be populated only if evidence exists.</w:t>
      </w:r>
    </w:p>
    <w:p>
      <w:pPr>
        <w:spacing w:after="160"/>
        <w:jc w:val="both"/>
      </w:pPr>
      <w:r>
        <w:rPr>
          <w:b/>
          <w:bCs/>
        </w:rPr>
        <w:t xml:space="preserve">Alternatives considered:</w:t>
      </w:r>
      <w:r>
        <w:t xml:space="preserve"> (a) Force a Legacy entry for completeness; (b) leave the category empty with an explicit rationale, mirroring Phase A's ADR-BC-05.</w:t>
      </w:r>
    </w:p>
    <w:p>
      <w:pPr>
        <w:spacing w:after="160"/>
        <w:jc w:val="both"/>
      </w:pPr>
      <w:r>
        <w:rPr>
          <w:b/>
          <w:bCs/>
        </w:rPr>
        <w:t xml:space="preserve">Rationale:</w:t>
      </w:r>
      <w:r>
        <w:t xml:space="preserve"> No repository evidence supports a legacy classification for any current domain; a young, actively evolving platform manufacturing a legacy narrative would introduce a false signal rather than a useful one.</w:t>
      </w:r>
    </w:p>
    <w:p>
      <w:pPr>
        <w:spacing w:after="160"/>
        <w:jc w:val="both"/>
      </w:pPr>
      <w:r>
        <w:rPr>
          <w:b/>
          <w:bCs/>
        </w:rPr>
        <w:t xml:space="preserve">Trade-off:</w:t>
      </w:r>
      <w:r>
        <w:t xml:space="preserve"> None -- this preserves accuracy at no cost.</w:t>
      </w:r>
    </w:p>
    <w:p>
      <w:pPr>
        <w:pStyle w:val="Heading1"/>
        <w:pageBreakBefore/>
        <w:spacing w:after="200" w:before="480"/>
      </w:pPr>
      <w:r>
        <w:t xml:space="preserve">16. Risks</w:t>
      </w:r>
    </w:p>
    <w:p>
      <w:pPr>
        <w:pStyle w:val="Heading2"/>
        <w:spacing w:after="200" w:before="320"/>
      </w:pPr>
      <w:r>
        <w:t xml:space="preserve">16.1 Business Risks</w:t>
      </w:r>
    </w:p>
    <w:p>
      <w:pPr>
        <w:pStyle w:val="ListParagraph"/>
        <w:numPr>
          <w:ilvl w:val="0"/>
          <w:numId w:val="2"/>
        </w:numPr>
        <w:spacing w:after="100"/>
      </w:pPr>
      <w:r>
        <w:t xml:space="preserve">Presenting mock-derived market data, opportunities, or salary figures to students without clear provenance signaling risks a trust and credibility failure -- this is a Career Intelligence and Knowledge &amp; Market Intelligence Domain risk jointly, inherited unchanged from Phase A Section 16.1.</w:t>
      </w:r>
    </w:p>
    <w:p>
      <w:pPr>
        <w:pStyle w:val="ListParagraph"/>
        <w:numPr>
          <w:ilvl w:val="0"/>
          <w:numId w:val="2"/>
        </w:numPr>
        <w:spacing w:after="100"/>
      </w:pPr>
      <w:r>
        <w:t xml:space="preserve">Employer Domain's Level 1 maturity means the platform's monetizable, two-sided-market strategy is currently unactivated at the domain level, not only the capability level; strategic messaging implying otherwise carries reputational and investor-relations risk.</w:t>
      </w:r>
    </w:p>
    <w:p>
      <w:pPr>
        <w:pStyle w:val="Heading2"/>
        <w:spacing w:after="200" w:before="320"/>
      </w:pPr>
      <w:r>
        <w:t xml:space="preserve">16.2 Domain Boundary Risks</w:t>
      </w:r>
    </w:p>
    <w:p>
      <w:pPr>
        <w:pStyle w:val="ListParagraph"/>
        <w:numPr>
          <w:ilvl w:val="0"/>
          <w:numId w:val="2"/>
        </w:numPr>
        <w:spacing w:after="100"/>
      </w:pPr>
      <w:r>
        <w:t xml:space="preserve">The Career Intelligence &lt;-&gt; Employer Domain boundary (Section 2.5, Section 6) is currently theoretical rather than an operating contract; if a partner integration is rushed without first defining the anti-corruption boundary this document flags as missing (Section 8.4), integration risk will land on Career Intelligence and Knowledge &amp; Market Intelligence simultaneously.</w:t>
      </w:r>
    </w:p>
    <w:p>
      <w:pPr>
        <w:pStyle w:val="ListParagraph"/>
        <w:numPr>
          <w:ilvl w:val="0"/>
          <w:numId w:val="2"/>
        </w:numPr>
        <w:spacing w:after="100"/>
      </w:pPr>
      <w:r>
        <w:t xml:space="preserve">AI Intelligence Domain's horizontal, threading nature (Section 7.4) means a boundary or governance failure inside it has a wider blast radius across domains than a failure in a conventionally-shaped peer domain would.</w:t>
      </w:r>
    </w:p>
    <w:p>
      <w:pPr>
        <w:pStyle w:val="Heading2"/>
        <w:spacing w:after="200" w:before="320"/>
      </w:pPr>
      <w:r>
        <w:t xml:space="preserve">16.3 Knowledge Risks</w:t>
      </w:r>
    </w:p>
    <w:p>
      <w:pPr>
        <w:pStyle w:val="ListParagraph"/>
        <w:numPr>
          <w:ilvl w:val="0"/>
          <w:numId w:val="2"/>
        </w:numPr>
        <w:spacing w:after="100"/>
      </w:pPr>
      <w:r>
        <w:t xml:space="preserve">Knowledge &amp; Market Intelligence Domain's mock-data ceiling is inherited by every domain that reasons about the real world; a stale or incomplete taxonomy silently degrades multiple consuming domains without an obvious symptom pointing back to the source (Phase A Section 7.6 risk, restated at domain scope).</w:t>
      </w:r>
    </w:p>
    <w:p>
      <w:pPr>
        <w:pStyle w:val="Heading2"/>
        <w:spacing w:after="200" w:before="320"/>
      </w:pPr>
      <w:r>
        <w:t xml:space="preserve">16.4 AI Risks</w:t>
      </w:r>
    </w:p>
    <w:p>
      <w:pPr>
        <w:pStyle w:val="ListParagraph"/>
        <w:numPr>
          <w:ilvl w:val="0"/>
          <w:numId w:val="2"/>
        </w:numPr>
        <w:spacing w:after="100"/>
      </w:pPr>
      <w:r>
        <w:t xml:space="preserve">AI Intelligence Domain carries the highest AI-vendor concentration risk of any domain; the five-provider fallback mitigates single-vendor outage risk but does not remove systemic exposure to external AI-provider pricing, policy, or availability changes.</w:t>
      </w:r>
    </w:p>
    <w:p>
      <w:pPr>
        <w:pStyle w:val="ListParagraph"/>
        <w:numPr>
          <w:ilvl w:val="0"/>
          <w:numId w:val="2"/>
        </w:numPr>
        <w:spacing w:after="100"/>
      </w:pPr>
      <w:r>
        <w:t xml:space="preserve">AI Personalization &amp; Adaptive Weighting remains outcome-unvalidated (Level 2), meaning AI Intelligence Domain is currently making per-student adjustments without confirmed evidence they improve outcomes.</w:t>
      </w:r>
    </w:p>
    <w:p>
      <w:pPr>
        <w:pStyle w:val="Heading2"/>
        <w:spacing w:after="200" w:before="320"/>
      </w:pPr>
      <w:r>
        <w:t xml:space="preserve">16.5 Transformation Risks</w:t>
      </w:r>
    </w:p>
    <w:p>
      <w:pPr>
        <w:pStyle w:val="ListParagraph"/>
        <w:numPr>
          <w:ilvl w:val="0"/>
          <w:numId w:val="2"/>
        </w:numPr>
        <w:spacing w:after="100"/>
      </w:pPr>
      <w:r>
        <w:t xml:space="preserve">Activating Employer Domain will, for the first time, require the organization to operate live external-partner data contracts and SLAs -- a genuinely new organizational capability, not just a technical one; the roadmap (Section 13.2) should not underestimate the non-technical lift involved.</w:t>
      </w:r>
    </w:p>
    <w:p>
      <w:pPr>
        <w:pStyle w:val="Heading2"/>
        <w:spacing w:after="200" w:before="320"/>
      </w:pPr>
      <w:r>
        <w:t xml:space="preserve">16.6 Governance Risks</w:t>
      </w:r>
    </w:p>
    <w:p>
      <w:pPr>
        <w:pStyle w:val="ListParagraph"/>
        <w:numPr>
          <w:ilvl w:val="0"/>
          <w:numId w:val="2"/>
        </w:numPr>
        <w:spacing w:after="100"/>
      </w:pPr>
      <w:r>
        <w:t xml:space="preserve">Governance Domain itself carries documented drift (four items, EEP-01 Phase J); a governance function that is not itself fully conformant reduces confidence in every other domain's stated maturity in this catalog until those items close.</w:t>
      </w:r>
    </w:p>
    <w:p>
      <w:pPr>
        <w:pStyle w:val="Heading2"/>
        <w:spacing w:after="200" w:before="320"/>
      </w:pPr>
      <w:r>
        <w:t xml:space="preserve">16.7 Organizational Risks</w:t>
      </w:r>
    </w:p>
    <w:p>
      <w:pPr>
        <w:pStyle w:val="ListParagraph"/>
        <w:numPr>
          <w:ilvl w:val="0"/>
          <w:numId w:val="2"/>
        </w:numPr>
        <w:spacing w:after="100"/>
      </w:pPr>
      <w:r>
        <w:t xml:space="preserve">Every current-state ownership entry in Section 9 concentrates in a small team, across all eight domains simultaneously. Key-person concentration is a material organizational risk until target-state ownership separation triggers fire, and it is a risk at the whole-portfolio level, not isolated to any one domain.</w:t>
      </w:r>
    </w:p>
    <w:p>
      <w:pPr>
        <w:pStyle w:val="Heading2"/>
        <w:spacing w:after="200" w:before="320"/>
      </w:pPr>
      <w:r>
        <w:t xml:space="preserve">16.8 Technology Dependency Risks</w:t>
      </w:r>
    </w:p>
    <w:p>
      <w:pPr>
        <w:pStyle w:val="ListParagraph"/>
        <w:numPr>
          <w:ilvl w:val="0"/>
          <w:numId w:val="2"/>
        </w:numPr>
        <w:spacing w:after="100"/>
      </w:pPr>
      <w:r>
        <w:t xml:space="preserve">This review surfaced a security-hygiene item adjacent to Platform Shared Services Domain's Configuration &amp; Secrets Stewardship capability: API keys and credential-bearing files were found stored as plaintext files directly in the repository during the course of this investigation, rather than in a managed secrets store. Consistent with Phase A Section 16.5, this is a governance and security finding, not a business-domain-architecture recommendation as such, and is flagged here for the reader's direct attention and immediate remediation outside this document's scope.</w:t>
      </w:r>
    </w:p>
    <w:p>
      <w:pPr>
        <w:pStyle w:val="Heading2"/>
        <w:spacing w:after="200" w:before="320"/>
      </w:pPr>
      <w:r>
        <w:t xml:space="preserve">16.9 Mitigation Strategies</w:t>
      </w:r>
    </w:p>
    <w:p>
      <w:pPr>
        <w:pStyle w:val="ListParagraph"/>
        <w:numPr>
          <w:ilvl w:val="0"/>
          <w:numId w:val="2"/>
        </w:numPr>
        <w:spacing w:after="100"/>
      </w:pPr>
      <w:r>
        <w:t xml:space="preserve">Make data provenance visible in-product (Section 13.1) as an immediate, low-cost mitigation for the business-risk items above.</w:t>
      </w:r>
    </w:p>
    <w:p>
      <w:pPr>
        <w:pStyle w:val="ListParagraph"/>
        <w:numPr>
          <w:ilvl w:val="0"/>
          <w:numId w:val="2"/>
        </w:numPr>
        <w:spacing w:after="100"/>
      </w:pPr>
      <w:r>
        <w:t xml:space="preserve">Define the missing anti-corruption boundary for the Employer Domain live-feed integration (Section 8.4) before, not after, the first partner conversation concludes.</w:t>
      </w:r>
    </w:p>
    <w:p>
      <w:pPr>
        <w:pStyle w:val="ListParagraph"/>
        <w:numPr>
          <w:ilvl w:val="0"/>
          <w:numId w:val="2"/>
        </w:numPr>
        <w:spacing w:after="100"/>
      </w:pPr>
      <w:r>
        <w:t xml:space="preserve">Treat the chiV2 migration as a named, owned short-term item within Career Intelligence Domain (Section 13.1) rather than an implicit background task.</w:t>
      </w:r>
    </w:p>
    <w:p>
      <w:pPr>
        <w:pStyle w:val="ListParagraph"/>
        <w:numPr>
          <w:ilvl w:val="0"/>
          <w:numId w:val="2"/>
        </w:numPr>
        <w:spacing w:after="100"/>
      </w:pPr>
      <w:r>
        <w:t xml:space="preserve">Rotate and relocate any credential material found stored in plaintext to a proper secrets manager immediately, independent of this document's roadmap timing.</w:t>
      </w:r>
    </w:p>
    <w:p>
      <w:pPr>
        <w:pStyle w:val="Heading1"/>
        <w:pageBreakBefore/>
        <w:spacing w:after="200" w:before="480"/>
      </w:pPr>
      <w:r>
        <w:t xml:space="preserve">17. Success Metrics</w:t>
      </w:r>
    </w:p>
    <w:tbl>
      <w:tblPr>
        <w:tblW w:type="dxa" w:w="920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600"/>
      </w:tblGrid>
      <w:tr>
        <w:trPr>
          <w:tblHeader/>
        </w:trPr>
        <w:tc>
          <w:tcPr>
            <w:tcW w:type="dxa" w:w="2600"/>
            <w:shd w:fill="1F3864" w:color="auto" w:val="clear"/>
            <w:tcMar>
              <w:top w:type="dxa" w:w="80"/>
              <w:left w:type="dxa" w:w="100"/>
              <w:bottom w:type="dxa" w:w="80"/>
              <w:right w:type="dxa" w:w="100"/>
            </w:tcMar>
            <w:vAlign w:val="center"/>
          </w:tcPr>
          <w:p>
            <w:pPr>
              <w:spacing w:after="40"/>
            </w:pPr>
            <w:r>
              <w:rPr>
                <w:b/>
                <w:bCs/>
                <w:color w:val="FFFFFF"/>
                <w:sz w:val="19"/>
                <w:szCs w:val="19"/>
              </w:rPr>
              <w:t xml:space="preserve"/>
            </w:r>
          </w:p>
        </w:tc>
        <w:tc>
          <w:tcPr>
            <w:tcW w:type="dxa" w:w="6600"/>
            <w:shd w:fill="1F3864" w:color="auto" w:val="clear"/>
            <w:tcMar>
              <w:top w:type="dxa" w:w="80"/>
              <w:left w:type="dxa" w:w="100"/>
              <w:bottom w:type="dxa" w:w="80"/>
              <w:right w:type="dxa" w:w="100"/>
            </w:tcMar>
            <w:vAlign w:val="center"/>
          </w:tcPr>
          <w:p>
            <w:pPr>
              <w:spacing w:after="40"/>
            </w:pPr>
            <w:r>
              <w:rPr>
                <w:b/>
                <w:bCs/>
                <w:color w:val="FFFFFF"/>
                <w:sz w:val="19"/>
                <w:szCs w:val="19"/>
              </w:rPr>
              <w:t xml:space="preserve"/>
            </w:r>
          </w:p>
        </w:tc>
      </w:tr>
      <w:tr>
        <w:trPr>
          <w:tblHeader w:val="false"/>
        </w:trPr>
        <w:tc>
          <w:tcPr>
            <w:tcW w:type="dxa" w:w="2600"/>
            <w:tcMar>
              <w:top w:type="dxa" w:w="80"/>
              <w:left w:type="dxa" w:w="100"/>
              <w:bottom w:type="dxa" w:w="80"/>
              <w:right w:type="dxa" w:w="100"/>
            </w:tcMar>
            <w:vAlign w:val="center"/>
          </w:tcPr>
          <w:p>
            <w:pPr>
              <w:spacing w:after="40"/>
            </w:pPr>
            <w:r>
              <w:t xml:space="preserve">Domain ownership clarity</w:t>
            </w:r>
          </w:p>
        </w:tc>
        <w:tc>
          <w:tcPr>
            <w:tcW w:type="dxa" w:w="6600"/>
            <w:tcMar>
              <w:top w:type="dxa" w:w="80"/>
              <w:left w:type="dxa" w:w="100"/>
              <w:bottom w:type="dxa" w:w="80"/>
              <w:right w:type="dxa" w:w="100"/>
            </w:tcMar>
            <w:vAlign w:val="center"/>
          </w:tcPr>
          <w:p>
            <w:pPr>
              <w:spacing w:after="40"/>
            </w:pPr>
            <w:r>
              <w:t xml:space="preserve">Number of domains with a named business steward distinct from the general product/engineering function; time-to-decision on cross-domain boundary questions.</w:t>
            </w:r>
          </w:p>
        </w:tc>
      </w:tr>
      <w:tr>
        <w:trPr>
          <w:tblHeader w:val="false"/>
        </w:trPr>
        <w:tc>
          <w:tcPr>
            <w:tcW w:type="dxa" w:w="2600"/>
            <w:shd w:fill="E9EEF5" w:color="auto" w:val="clear"/>
            <w:tcMar>
              <w:top w:type="dxa" w:w="80"/>
              <w:left w:type="dxa" w:w="100"/>
              <w:bottom w:type="dxa" w:w="80"/>
              <w:right w:type="dxa" w:w="100"/>
            </w:tcMar>
            <w:vAlign w:val="center"/>
          </w:tcPr>
          <w:p>
            <w:pPr>
              <w:spacing w:after="40"/>
            </w:pPr>
            <w:r>
              <w:t xml:space="preserve">Cross-domain coupling</w:t>
            </w:r>
          </w:p>
        </w:tc>
        <w:tc>
          <w:tcPr>
            <w:tcW w:type="dxa" w:w="6600"/>
            <w:shd w:fill="E9EEF5" w:color="auto" w:val="clear"/>
            <w:tcMar>
              <w:top w:type="dxa" w:w="80"/>
              <w:left w:type="dxa" w:w="100"/>
              <w:bottom w:type="dxa" w:w="80"/>
              <w:right w:type="dxa" w:w="100"/>
            </w:tcMar>
            <w:vAlign w:val="center"/>
          </w:tcPr>
          <w:p>
            <w:pPr>
              <w:spacing w:after="40"/>
            </w:pPr>
            <w:r>
              <w:t xml:space="preserve">Number of theoretical (not-yet-live) domain boundaries (currently one: Career Intelligence &lt;-&gt; Employer Domain); anti-corruption boundary coverage at live integration points.</w:t>
            </w:r>
          </w:p>
        </w:tc>
      </w:tr>
      <w:tr>
        <w:trPr>
          <w:tblHeader w:val="false"/>
        </w:trPr>
        <w:tc>
          <w:tcPr>
            <w:tcW w:type="dxa" w:w="2600"/>
            <w:tcMar>
              <w:top w:type="dxa" w:w="80"/>
              <w:left w:type="dxa" w:w="100"/>
              <w:bottom w:type="dxa" w:w="80"/>
              <w:right w:type="dxa" w:w="100"/>
            </w:tcMar>
            <w:vAlign w:val="center"/>
          </w:tcPr>
          <w:p>
            <w:pPr>
              <w:spacing w:after="40"/>
            </w:pPr>
            <w:r>
              <w:t xml:space="preserve">Capability alignment</w:t>
            </w:r>
          </w:p>
        </w:tc>
        <w:tc>
          <w:tcPr>
            <w:tcW w:type="dxa" w:w="6600"/>
            <w:tcMar>
              <w:top w:type="dxa" w:w="80"/>
              <w:left w:type="dxa" w:w="100"/>
              <w:bottom w:type="dxa" w:w="80"/>
              <w:right w:type="dxa" w:w="100"/>
            </w:tcMar>
            <w:vAlign w:val="center"/>
          </w:tcPr>
          <w:p>
            <w:pPr>
              <w:spacing w:after="40"/>
            </w:pPr>
            <w:r>
              <w:t xml:space="preserve">Percentage of Phase A capabilities mapped to exactly one domain with no ambiguity (currently 100% -- Section 5); number of Special Focus Area names requiring re-validation at next review.</w:t>
            </w:r>
          </w:p>
        </w:tc>
      </w:tr>
      <w:tr>
        <w:trPr>
          <w:tblHeader w:val="false"/>
        </w:trPr>
        <w:tc>
          <w:tcPr>
            <w:tcW w:type="dxa" w:w="2600"/>
            <w:shd w:fill="E9EEF5" w:color="auto" w:val="clear"/>
            <w:tcMar>
              <w:top w:type="dxa" w:w="80"/>
              <w:left w:type="dxa" w:w="100"/>
              <w:bottom w:type="dxa" w:w="80"/>
              <w:right w:type="dxa" w:w="100"/>
            </w:tcMar>
            <w:vAlign w:val="center"/>
          </w:tcPr>
          <w:p>
            <w:pPr>
              <w:spacing w:after="40"/>
            </w:pPr>
            <w:r>
              <w:t xml:space="preserve">Knowledge reuse</w:t>
            </w:r>
          </w:p>
        </w:tc>
        <w:tc>
          <w:tcPr>
            <w:tcW w:type="dxa" w:w="6600"/>
            <w:shd w:fill="E9EEF5" w:color="auto" w:val="clear"/>
            <w:tcMar>
              <w:top w:type="dxa" w:w="80"/>
              <w:left w:type="dxa" w:w="100"/>
              <w:bottom w:type="dxa" w:w="80"/>
              <w:right w:type="dxa" w:w="100"/>
            </w:tcMar>
            <w:vAlign w:val="center"/>
          </w:tcPr>
          <w:p>
            <w:pPr>
              <w:spacing w:after="40"/>
            </w:pPr>
            <w:r>
              <w:t xml:space="preserve">Number of domains consuming the shared taxonomy and academic-profile published languages (Section 8.3) without maintaining a duplicate copy.</w:t>
            </w:r>
          </w:p>
        </w:tc>
      </w:tr>
      <w:tr>
        <w:trPr>
          <w:tblHeader w:val="false"/>
        </w:trPr>
        <w:tc>
          <w:tcPr>
            <w:tcW w:type="dxa" w:w="2600"/>
            <w:tcMar>
              <w:top w:type="dxa" w:w="80"/>
              <w:left w:type="dxa" w:w="100"/>
              <w:bottom w:type="dxa" w:w="80"/>
              <w:right w:type="dxa" w:w="100"/>
            </w:tcMar>
            <w:vAlign w:val="center"/>
          </w:tcPr>
          <w:p>
            <w:pPr>
              <w:spacing w:after="40"/>
            </w:pPr>
            <w:r>
              <w:t xml:space="preserve">AI effectiveness</w:t>
            </w:r>
          </w:p>
        </w:tc>
        <w:tc>
          <w:tcPr>
            <w:tcW w:type="dxa" w:w="6600"/>
            <w:tcMar>
              <w:top w:type="dxa" w:w="80"/>
              <w:left w:type="dxa" w:w="100"/>
              <w:bottom w:type="dxa" w:w="80"/>
              <w:right w:type="dxa" w:w="100"/>
            </w:tcMar>
            <w:vAlign w:val="center"/>
          </w:tcPr>
          <w:p>
            <w:pPr>
              <w:spacing w:after="40"/>
            </w:pPr>
            <w:r>
              <w:t xml:space="preserve">Agent task success rate; provider fallback frequency; AI Quality &amp; Confidence Governance flag rate (inherited from Phase A Section 17, rolled up to AI Intelligence Domain).</w:t>
            </w:r>
          </w:p>
        </w:tc>
      </w:tr>
      <w:tr>
        <w:trPr>
          <w:tblHeader w:val="false"/>
        </w:trPr>
        <w:tc>
          <w:tcPr>
            <w:tcW w:type="dxa" w:w="2600"/>
            <w:shd w:fill="E9EEF5" w:color="auto" w:val="clear"/>
            <w:tcMar>
              <w:top w:type="dxa" w:w="80"/>
              <w:left w:type="dxa" w:w="100"/>
              <w:bottom w:type="dxa" w:w="80"/>
              <w:right w:type="dxa" w:w="100"/>
            </w:tcMar>
            <w:vAlign w:val="center"/>
          </w:tcPr>
          <w:p>
            <w:pPr>
              <w:spacing w:after="40"/>
            </w:pPr>
            <w:r>
              <w:t xml:space="preserve">Business agility</w:t>
            </w:r>
          </w:p>
        </w:tc>
        <w:tc>
          <w:tcPr>
            <w:tcW w:type="dxa" w:w="6600"/>
            <w:shd w:fill="E9EEF5" w:color="auto" w:val="clear"/>
            <w:tcMar>
              <w:top w:type="dxa" w:w="80"/>
              <w:left w:type="dxa" w:w="100"/>
              <w:bottom w:type="dxa" w:w="80"/>
              <w:right w:type="dxa" w:w="100"/>
            </w:tcMar>
            <w:vAlign w:val="center"/>
          </w:tcPr>
          <w:p>
            <w:pPr>
              <w:spacing w:after="40"/>
            </w:pPr>
            <w:r>
              <w:t xml:space="preserve">Time from Employer Domain partner signature to live data flowing into Career Intelligence and Knowledge &amp; Market Intelligence Domains; time to close each Section 16 risk item.</w:t>
            </w:r>
          </w:p>
        </w:tc>
      </w:tr>
      <w:tr>
        <w:trPr>
          <w:tblHeader w:val="false"/>
        </w:trPr>
        <w:tc>
          <w:tcPr>
            <w:tcW w:type="dxa" w:w="2600"/>
            <w:tcMar>
              <w:top w:type="dxa" w:w="80"/>
              <w:left w:type="dxa" w:w="100"/>
              <w:bottom w:type="dxa" w:w="80"/>
              <w:right w:type="dxa" w:w="100"/>
            </w:tcMar>
            <w:vAlign w:val="center"/>
          </w:tcPr>
          <w:p>
            <w:pPr>
              <w:spacing w:after="40"/>
            </w:pPr>
            <w:r>
              <w:t xml:space="preserve">Platform scalability</w:t>
            </w:r>
          </w:p>
        </w:tc>
        <w:tc>
          <w:tcPr>
            <w:tcW w:type="dxa" w:w="6600"/>
            <w:tcMar>
              <w:top w:type="dxa" w:w="80"/>
              <w:left w:type="dxa" w:w="100"/>
              <w:bottom w:type="dxa" w:w="80"/>
              <w:right w:type="dxa" w:w="100"/>
            </w:tcMar>
            <w:vAlign w:val="center"/>
          </w:tcPr>
          <w:p>
            <w:pPr>
              <w:spacing w:after="40"/>
            </w:pPr>
            <w:r>
              <w:t xml:space="preserve">Container/service count relative to EEP-01 Phase G's scaling trigger; time-to-onboard a new domain steward once ownership separation triggers fire.</w:t>
            </w:r>
          </w:p>
        </w:tc>
      </w:tr>
      <w:tr>
        <w:trPr>
          <w:tblHeader w:val="false"/>
        </w:trPr>
        <w:tc>
          <w:tcPr>
            <w:tcW w:type="dxa" w:w="2600"/>
            <w:shd w:fill="E9EEF5" w:color="auto" w:val="clear"/>
            <w:tcMar>
              <w:top w:type="dxa" w:w="80"/>
              <w:left w:type="dxa" w:w="100"/>
              <w:bottom w:type="dxa" w:w="80"/>
              <w:right w:type="dxa" w:w="100"/>
            </w:tcMar>
            <w:vAlign w:val="center"/>
          </w:tcPr>
          <w:p>
            <w:pPr>
              <w:spacing w:after="40"/>
            </w:pPr>
            <w:r>
              <w:t xml:space="preserve">Domain maturity progression</w:t>
            </w:r>
          </w:p>
        </w:tc>
        <w:tc>
          <w:tcPr>
            <w:tcW w:type="dxa" w:w="6600"/>
            <w:shd w:fill="E9EEF5" w:color="auto" w:val="clear"/>
            <w:tcMar>
              <w:top w:type="dxa" w:w="80"/>
              <w:left w:type="dxa" w:w="100"/>
              <w:bottom w:type="dxa" w:w="80"/>
              <w:right w:type="dxa" w:w="100"/>
            </w:tcMar>
            <w:vAlign w:val="center"/>
          </w:tcPr>
          <w:p>
            <w:pPr>
              <w:spacing w:after="40"/>
            </w:pPr>
            <w:r>
              <w:t xml:space="preserve">Number of domains advancing at least one maturity level year-over-year (Section 10); number of domains remaining in Experimental/Future heat-map categories over time (Section 12).</w:t>
            </w:r>
          </w:p>
        </w:tc>
      </w:tr>
    </w:tbl>
    <w:p>
      <w:pPr>
        <w:spacing w:after="200"/>
      </w:pPr>
    </w:p>
    <w:p>
      <w:pPr>
        <w:pStyle w:val="Heading1"/>
        <w:pageBreakBefore/>
        <w:spacing w:after="200" w:before="480"/>
      </w:pPr>
      <w:r>
        <w:t xml:space="preserve">18. Recommendations</w:t>
      </w:r>
    </w:p>
    <w:p>
      <w:pPr>
        <w:pStyle w:val="Heading2"/>
        <w:spacing w:after="200" w:before="320"/>
      </w:pPr>
      <w:r>
        <w:t xml:space="preserve">18.1 Immediate Priorities</w:t>
      </w:r>
    </w:p>
    <w:p>
      <w:pPr>
        <w:pStyle w:val="ListParagraph"/>
        <w:numPr>
          <w:ilvl w:val="0"/>
          <w:numId w:val="2"/>
        </w:numPr>
        <w:spacing w:after="100"/>
      </w:pPr>
      <w:r>
        <w:t xml:space="preserve">Remediate the plaintext credential storage finding (Section 16.8) immediately -- outside the scope of a business domain architecture but too material to omit from a document meant for executive review.</w:t>
      </w:r>
    </w:p>
    <w:p>
      <w:pPr>
        <w:pStyle w:val="ListParagraph"/>
        <w:numPr>
          <w:ilvl w:val="0"/>
          <w:numId w:val="2"/>
        </w:numPr>
        <w:spacing w:after="100"/>
      </w:pPr>
      <w:r>
        <w:t xml:space="preserve">Make mock-data provenance visible wherever Career Intelligence or Knowledge &amp; Market Intelligence output reaches a student.</w:t>
      </w:r>
    </w:p>
    <w:p>
      <w:pPr>
        <w:pStyle w:val="ListParagraph"/>
        <w:numPr>
          <w:ilvl w:val="0"/>
          <w:numId w:val="2"/>
        </w:numPr>
        <w:spacing w:after="100"/>
      </w:pPr>
      <w:r>
        <w:t xml:space="preserve">Close the four EEP-01 Phase J governance-drift items inside Governance Domain -- low-effort, already diagnosed.</w:t>
      </w:r>
    </w:p>
    <w:p>
      <w:pPr>
        <w:pStyle w:val="Heading2"/>
        <w:spacing w:after="200" w:before="320"/>
      </w:pPr>
      <w:r>
        <w:t xml:space="preserve">18.2 Near-Term Improvements</w:t>
      </w:r>
    </w:p>
    <w:p>
      <w:pPr>
        <w:pStyle w:val="ListParagraph"/>
        <w:numPr>
          <w:ilvl w:val="0"/>
          <w:numId w:val="2"/>
        </w:numPr>
        <w:spacing w:after="100"/>
      </w:pPr>
      <w:r>
        <w:t xml:space="preserve">Pursue the first Employer Domain partner conversation -- the single highest-leverage unlock in this architecture, activating Career Intelligence and Knowledge &amp; Market Intelligence together (Section 7).</w:t>
      </w:r>
    </w:p>
    <w:p>
      <w:pPr>
        <w:pStyle w:val="ListParagraph"/>
        <w:numPr>
          <w:ilvl w:val="0"/>
          <w:numId w:val="2"/>
        </w:numPr>
        <w:spacing w:after="100"/>
      </w:pPr>
      <w:r>
        <w:t xml:space="preserve">Define the Employer Domain live-feed anti-corruption boundary (Section 8.4) ahead of, not during, the first partner integration.</w:t>
      </w:r>
    </w:p>
    <w:p>
      <w:pPr>
        <w:pStyle w:val="ListParagraph"/>
        <w:numPr>
          <w:ilvl w:val="0"/>
          <w:numId w:val="2"/>
        </w:numPr>
        <w:spacing w:after="100"/>
      </w:pPr>
      <w:r>
        <w:t xml:space="preserve">Define and execute the chiV2 cutover plan inside Career Intelligence Domain.</w:t>
      </w:r>
    </w:p>
    <w:p>
      <w:pPr>
        <w:pStyle w:val="ListParagraph"/>
        <w:numPr>
          <w:ilvl w:val="0"/>
          <w:numId w:val="2"/>
        </w:numPr>
        <w:spacing w:after="100"/>
      </w:pPr>
      <w:r>
        <w:t xml:space="preserve">Instrument outcome-linked KPIs for the currently under-measured Emerging-tier domains and capabilities (Candidate Experience &amp; Growth, Knowledge &amp; Market Intelligence's Source Curation, AI Intelligence's Personalization).</w:t>
      </w:r>
    </w:p>
    <w:p>
      <w:pPr>
        <w:pStyle w:val="Heading2"/>
        <w:spacing w:after="200" w:before="320"/>
      </w:pPr>
      <w:r>
        <w:t xml:space="preserve">18.3 Medium-Term Improvements</w:t>
      </w:r>
    </w:p>
    <w:p>
      <w:pPr>
        <w:pStyle w:val="ListParagraph"/>
        <w:numPr>
          <w:ilvl w:val="0"/>
          <w:numId w:val="2"/>
        </w:numPr>
        <w:spacing w:after="100"/>
      </w:pPr>
      <w:r>
        <w:t xml:space="preserve">Populate the Career Digital Twin bounded context once Academic Intelligence Domain's profile data supports a meaningful multi-year cohort.</w:t>
      </w:r>
    </w:p>
    <w:p>
      <w:pPr>
        <w:pStyle w:val="ListParagraph"/>
        <w:numPr>
          <w:ilvl w:val="0"/>
          <w:numId w:val="2"/>
        </w:numPr>
        <w:spacing w:after="100"/>
      </w:pPr>
      <w:r>
        <w:t xml:space="preserve">Introduce a formal Supervisor/handoff pattern within AI Intelligence Domain's Agent Coordination Context as agent count and task complexity grow.</w:t>
      </w:r>
    </w:p>
    <w:p>
      <w:pPr>
        <w:pStyle w:val="Heading2"/>
        <w:spacing w:after="200" w:before="320"/>
      </w:pPr>
      <w:r>
        <w:t xml:space="preserve">18.4 Long-Term Evolution</w:t>
      </w:r>
    </w:p>
    <w:p>
      <w:pPr>
        <w:pStyle w:val="ListParagraph"/>
        <w:numPr>
          <w:ilvl w:val="0"/>
          <w:numId w:val="2"/>
        </w:numPr>
        <w:spacing w:after="100"/>
      </w:pPr>
      <w:r>
        <w:t xml:space="preserve">Build toward a two-sided marketplace domain once Employer Domain and Academic Intelligence Domain both independently reach Level 4+.</w:t>
      </w:r>
    </w:p>
    <w:p>
      <w:pPr>
        <w:pStyle w:val="ListParagraph"/>
        <w:numPr>
          <w:ilvl w:val="0"/>
          <w:numId w:val="2"/>
        </w:numPr>
        <w:spacing w:after="100"/>
      </w:pPr>
      <w:r>
        <w:t xml:space="preserve">Separate Operations/Platform ownership from Platform Shared Services Domain once EEP-01 Phase H's headcount trigger fires -- not before, to avoid premature organizational overhead.</w:t>
      </w:r>
    </w:p>
    <w:p>
      <w:pPr>
        <w:pStyle w:val="ListParagraph"/>
        <w:numPr>
          <w:ilvl w:val="0"/>
          <w:numId w:val="2"/>
        </w:numPr>
        <w:spacing w:after="100"/>
      </w:pPr>
      <w:r>
        <w:t xml:space="preserve">Revisit Career Outcome Intelligence's domain candidacy (Section 11.3) once a dedicated outcome-tracking pipeline exists and is consumed by two or more domains.</w:t>
      </w:r>
    </w:p>
    <w:p>
      <w:pPr>
        <w:pStyle w:val="Heading2"/>
        <w:spacing w:after="200" w:before="320"/>
      </w:pPr>
      <w:r>
        <w:t xml:space="preserve">18.5 Strategic Investments</w:t>
      </w:r>
    </w:p>
    <w:p>
      <w:pPr>
        <w:pStyle w:val="ListParagraph"/>
        <w:numPr>
          <w:ilvl w:val="0"/>
          <w:numId w:val="2"/>
        </w:numPr>
        <w:spacing w:after="100"/>
      </w:pPr>
      <w:r>
        <w:t xml:space="preserve">Treat Employer Domain activation as the platform's single highest-leverage strategic investment: it simultaneously de-risks Career Intelligence and Knowledge &amp; Market Intelligence Domains and unlocks the long-term two-sided-market evolution path (Section 11.6).</w:t>
      </w:r>
    </w:p>
    <w:p>
      <w:pPr>
        <w:pStyle w:val="ListParagraph"/>
        <w:numPr>
          <w:ilvl w:val="0"/>
          <w:numId w:val="2"/>
        </w:numPr>
        <w:spacing w:after="100"/>
      </w:pPr>
      <w:r>
        <w:t xml:space="preserve">Revisit this Enterprise Business Domain Architecture at the next major EEP-02 phase boundary, or when three or more domains cross a maturity level, whichever comes first -- this document is canonical as of its version date, not permanently static, exactly as Phase A states of itself.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HireRise EEP-02 Phase B — Enterprise Business Domain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60" w:before="320"/>
      <w:outlineLvl w:val="1"/>
    </w:pPr>
    <w:rPr>
      <w:rFonts w:ascii="Calibri" w:cs="Calibri" w:eastAsia="Calibri" w:hAnsi="Calibri"/>
      <w:b/>
      <w:bCs/>
      <w:color w:val="0F6E6E"/>
      <w:sz w:val="26"/>
      <w:szCs w:val="26"/>
    </w:rPr>
  </w:style>
  <w:style w:type="paragraph" w:styleId="Heading3">
    <w:name w:val="Heading 3"/>
    <w:basedOn w:val="Normal"/>
    <w:next w:val="Normal"/>
    <w:qFormat/>
    <w:pPr>
      <w:spacing w:after="120" w:before="260"/>
      <w:outlineLvl w:val="2"/>
    </w:pPr>
    <w:rPr>
      <w:rFonts w:ascii="Calibri" w:cs="Calibri" w:eastAsia="Calibri" w:hAnsi="Calibri"/>
      <w:b/>
      <w:bCs/>
      <w:color w:val="1F3864"/>
      <w:sz w:val="23"/>
      <w:szCs w:val="23"/>
    </w:rPr>
  </w:style>
  <w:style w:type="paragraph" w:styleId="Heading4">
    <w:name w:val="Heading 4"/>
    <w:basedOn w:val="Normal"/>
    <w:next w:val="Normal"/>
    <w:qFormat/>
    <w:pPr>
      <w:spacing w:after="100" w:before="200"/>
      <w:outlineLvl w:val="3"/>
    </w:pPr>
    <w:rPr>
      <w:rFonts w:ascii="Calibri" w:cs="Calibri" w:eastAsia="Calibri" w:hAnsi="Calibri"/>
      <w:b/>
      <w:bCs/>
      <w:i/>
      <w:iCs/>
      <w:color w:val="59595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2026-07-08T07:17:11.189Z</dcterms:created>
  <dcterms:modified xsi:type="dcterms:W3CDTF">2026-07-08T07:17:11.189Z</dcterms:modified>
</cp:coreProperties>
</file>

<file path=docProps/custom.xml><?xml version="1.0" encoding="utf-8"?>
<Properties xmlns="http://schemas.openxmlformats.org/officeDocument/2006/custom-properties" xmlns:vt="http://schemas.openxmlformats.org/officeDocument/2006/docPropsVTypes"/>
</file>