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HireRise Career Intelligence Platform</w:t>
      </w:r>
    </w:p>
    <w:p>
      <w:pPr>
        <w:spacing w:after="300"/>
        <w:jc w:val="center"/>
      </w:pPr>
      <w:r>
        <w:rPr>
          <w:b/>
          <w:bCs/>
          <w:color w:val="1F3864"/>
          <w:sz w:val="32"/>
          <w:szCs w:val="32"/>
        </w:rPr>
        <w:t xml:space="preserve">Enterprise Value Stream Architecture</w:t>
      </w:r>
    </w:p>
    <w:p>
      <w:pPr>
        <w:spacing w:after="80"/>
        <w:jc w:val="center"/>
      </w:pPr>
      <w:r>
        <w:rPr>
          <w:i/>
          <w:iCs/>
          <w:color w:val="555555"/>
          <w:sz w:val="20"/>
          <w:szCs w:val="20"/>
        </w:rPr>
        <w:t xml:space="preserve">EEP-02 — Enterprise Engineering Program, Phase C</w:t>
      </w:r>
    </w:p>
    <w:p>
      <w:pPr>
        <w:spacing w:after="80"/>
        <w:jc w:val="center"/>
      </w:pPr>
      <w:r>
        <w:rPr>
          <w:i/>
          <w:iCs/>
          <w:color w:val="555555"/>
          <w:sz w:val="20"/>
          <w:szCs w:val="20"/>
        </w:rPr>
        <w:t xml:space="preserve">Document status: Canonical — Phase C only, per program constraint</w:t>
      </w:r>
    </w:p>
    <w:p>
      <w:pPr>
        <w:spacing w:after="80"/>
        <w:jc w:val="center"/>
      </w:pPr>
      <w:r>
        <w:rPr>
          <w:i/>
          <w:iCs/>
          <w:color w:val="555555"/>
          <w:sz w:val="20"/>
          <w:szCs w:val="20"/>
        </w:rPr>
        <w:t xml:space="preserve">Version 1.0 — July 2026</w:t>
      </w:r>
    </w:p>
    <w:p>
      <w:pPr>
        <w:spacing w:after="80"/>
        <w:jc w:val="center"/>
      </w:pPr>
      <w:r>
        <w:rPr>
          <w:i/>
          <w:iCs/>
          <w:color w:val="555555"/>
          <w:sz w:val="20"/>
          <w:szCs w:val="20"/>
        </w:rPr>
        <w:t xml:space="preserve">Prepared as a combined Enterprise Value Stream / Business Journey / Stakeholder Value Architecture deliverable</w:t>
      </w:r>
    </w:p>
    <w:p>
      <w:pPr>
        <w:spacing w:after="80"/>
        <w:jc w:val="center"/>
      </w:pPr>
      <w:r>
        <w:rPr>
          <w:i/>
          <w:iCs/>
          <w:color w:val="555555"/>
          <w:sz w:val="20"/>
          <w:szCs w:val="20"/>
        </w:rPr>
        <w:t xml:space="preserve">Built on, and traceable to, EEP-01 Enterprise Technical Architecture (Phases A–J), EEP-02 Phase A — Enterprise Business Capability Architecture, and EEP-02 Phase B — Enterprise Business Domain Architecture</w:t>
      </w:r>
    </w:p>
    <w:p>
      <w:r>
        <w:br w:type="page"/>
      </w:r>
    </w:p>
    <w:p>
      <w:pPr>
        <w:pStyle w:val="Heading1"/>
        <w:spacing w:after="200" w:before="400"/>
      </w:pPr>
      <w:r>
        <w:t xml:space="preserve">How to Read This Document</w:t>
      </w:r>
    </w:p>
    <w:p>
      <w:pPr>
        <w:spacing w:after="160"/>
        <w:jc w:val="both"/>
      </w:pPr>
      <w:r>
        <w:rPr>
          <w:sz w:val="21"/>
          <w:szCs w:val="21"/>
        </w:rPr>
        <w:t xml:space="preserve">This document is EEP-02 Phase C — Enterprise Value Stream Architecture. It is built directly on two completed, canonical bodies of work: EEP-02 Phase A, which catalogs HireRise's business capabilities, and EEP-02 Phase B, which organizes those capabilities into eight enterprise business domains. This document does not redefine any Phase A capability or any Phase B domain. Its job is different: to describe how value actually flows end to end across those domains — from a stakeholder need, through the domains and capabilities that collaborate to meet it, to a measurable business outcome — independent of which service, module, or AI provider currently implements any given step.</w:t>
      </w:r>
    </w:p>
    <w:p>
      <w:pPr>
        <w:spacing w:after="160"/>
        <w:jc w:val="both"/>
      </w:pPr>
      <w:r>
        <w:rPr>
          <w:sz w:val="21"/>
          <w:szCs w:val="21"/>
        </w:rPr>
        <w:t xml:space="preserve">A value stream, as used throughout this document, is a business journey, never a system workflow. It begins with a stakeholder need and ends with measurable business value; it is technology-independent; and it deliberately reuses Phase A capabilities and Phase B domains rather than re-deriving new ones. Where this document names a system, module, or database, it is only to point to the evidence behind a business-value claim — the value stream itself is stated at the business-journey level throughout.</w:t>
      </w:r>
    </w:p>
    <w:p>
      <w:pPr>
        <w:spacing w:after="160"/>
        <w:jc w:val="both"/>
      </w:pPr>
      <w:r>
        <w:rPr>
          <w:sz w:val="21"/>
          <w:szCs w:val="21"/>
        </w:rPr>
        <w:t xml:space="preserve">Two conventions carry over unchanged from EEP-01, Phase A, and Phase B, and apply throughout this document:</w:t>
      </w:r>
    </w:p>
    <w:p>
      <w:pPr>
        <w:pStyle w:val="ListParagraph"/>
        <w:numPr>
          <w:ilvl w:val="0"/>
          <w:numId w:val="1"/>
        </w:numPr>
        <w:spacing w:after="100"/>
      </w:pPr>
      <w:r>
        <w:t xml:space="preserve">CURRENT STATE describes a value stream, or a level of value-stream maturity, that operates in the repository today, evidenced by the capabilities and domains that realize it.</w:t>
      </w:r>
    </w:p>
    <w:p>
      <w:pPr>
        <w:pStyle w:val="ListParagraph"/>
        <w:numPr>
          <w:ilvl w:val="0"/>
          <w:numId w:val="1"/>
        </w:numPr>
        <w:spacing w:after="100"/>
      </w:pPr>
      <w:r>
        <w:t xml:space="preserve">TARGET STATE describes a value stream, or maturity level, HireRise does not yet deliver, expressed as a reference point to grow into — with an explicit, measurable adoption trigger, never an unconditional roadmap commitment.</w:t>
      </w:r>
    </w:p>
    <w:p>
      <w:pPr>
        <w:spacing w:after="160"/>
        <w:jc w:val="both"/>
      </w:pPr>
      <w:r>
        <w:rPr>
          <w:sz w:val="21"/>
          <w:szCs w:val="21"/>
        </w:rPr>
        <w:t xml:space="preserve">The same methodological note carried forward from EEP-01 Phase H, Phase A Section 1.3, and Phase B Section 1.2 applies here: the engineering evidence throughout this repository indicates a small, high-leverage team operating one integrated codebase, not a large multi-division enterprise. This document does not manufacture a value stream portfolio sized for an organization HireRise is not. Value streams are catalogued at the maturity the evidence supports, and several are honestly cataloged as pre-activation or partially mock-data-bound rather than smoothed over to look more complete than the repository shows.</w:t>
      </w:r>
    </w:p>
    <w:p>
      <w:pPr>
        <w:spacing w:after="160"/>
        <w:jc w:val="both"/>
      </w:pPr>
      <w:r>
        <w:rPr>
          <w:sz w:val="21"/>
          <w:szCs w:val="21"/>
        </w:rPr>
        <w:t xml:space="preserve">Where this document validates, or declines to validate, a value stream named in the program's Special Focus Areas list, the rationale is evidence-based and stated explicitly in Section 2 and Section 4, following the same evidentiary discipline Phase A applied to capability names and Phase B applied to domain names.</w:t>
      </w:r>
    </w:p>
    <w:p>
      <w:pPr>
        <w:pStyle w:val="Heading1"/>
        <w:spacing w:after="200" w:before="400"/>
      </w:pPr>
      <w:r>
        <w:t xml:space="preserve">1. Executive Summary</w:t>
      </w:r>
    </w:p>
    <w:p>
      <w:pPr>
        <w:pStyle w:val="Heading2"/>
        <w:spacing w:after="150" w:before="300"/>
      </w:pPr>
      <w:r>
        <w:t xml:space="preserve">1.1 Enterprise Value Vision</w:t>
      </w:r>
    </w:p>
    <w:p>
      <w:pPr>
        <w:spacing w:after="160"/>
        <w:jc w:val="both"/>
      </w:pPr>
      <w:r>
        <w:rPr>
          <w:sz w:val="21"/>
          <w:szCs w:val="21"/>
        </w:rPr>
        <w:t xml:space="preserve">HireRise's business capability model (Phase A) and business domain model (Phase B) together describe a platform built to replace one-off, guesswork career decisions with a continuously maintained, evidence-based career intelligence practice. This document's job is to show how that practice actually creates value for the people who receive it: how a student's need — to know where they stand, what to do next, and how to act on it — moves across the Academic Intelligence, Knowledge &amp; Market Intelligence, Career Intelligence, AI Intelligence, Candidate Experience &amp; Growth, Employer, Platform Shared Services, and Governance domains, and comes out the other side as a decision the student can trust and act on.</w:t>
      </w:r>
    </w:p>
    <w:p>
      <w:pPr>
        <w:spacing w:after="160"/>
        <w:jc w:val="both"/>
      </w:pPr>
      <w:r>
        <w:rPr>
          <w:sz w:val="21"/>
          <w:szCs w:val="21"/>
        </w:rPr>
        <w:t xml:space="preserve">The repository evidences a coherent, mostly student-facing value stream portfolio anchored by one dominant end-to-end journey — onboarding into a trustworthy academic profile, translating that profile into ranked and explainable career intelligence, refining it conversationally through AI advisory, and converting it into concrete action through resumes, applications, and opportunity matches — running alongside two continuous, always-on value streams (career health monitoring and, once populated, career simulation) rather than a single linear pipeline. A second, much less mature value stream — the employer side of the business — exists structurally but is not yet activated with any live external partner, matching Phase B's assessment of the Employer Domain at Level 1 maturity.</w:t>
      </w:r>
    </w:p>
    <w:p>
      <w:pPr>
        <w:pStyle w:val="Heading2"/>
        <w:spacing w:after="150" w:before="300"/>
      </w:pPr>
      <w:r>
        <w:t xml:space="preserve">1.2 Business Value Philosophy</w:t>
      </w:r>
    </w:p>
    <w:p>
      <w:pPr>
        <w:spacing w:after="160"/>
        <w:jc w:val="both"/>
      </w:pPr>
      <w:r>
        <w:rPr>
          <w:sz w:val="21"/>
          <w:szCs w:val="21"/>
        </w:rPr>
        <w:t xml:space="preserve">Value in this document is defined the way Phase A and Phase B define capability and domain value: a stable business outcome delivered to an identifiable stakeholder, not a system output. A value stream is only catalogued here where a genuine stakeholder need, a genuine cross-domain collaboration, and a genuine (even if not yet outcome-validated) measurable business result are all evidenced in the repository. Value streams are not invented to fill out the program's Special Focus Areas list; Section 2.4 states explicitly, for every candidate name on that list, whether the evidence supports an independent value stream, a stage within an existing one, or no value stream at all today.</w:t>
      </w:r>
    </w:p>
    <w:p>
      <w:pPr>
        <w:pStyle w:val="Heading2"/>
        <w:spacing w:after="150" w:before="300"/>
      </w:pPr>
      <w:r>
        <w:t xml:space="preserve">1.3 Strategic Objectives</w:t>
      </w:r>
    </w:p>
    <w:p>
      <w:pPr>
        <w:pStyle w:val="ListParagraph"/>
        <w:numPr>
          <w:ilvl w:val="0"/>
          <w:numId w:val="1"/>
        </w:numPr>
        <w:spacing w:after="100"/>
      </w:pPr>
      <w:r>
        <w:t xml:space="preserve">Make the end-to-end shape of HireRise's value creation visible and governable, independent of which domain, capability, or provider currently implements any one stage.</w:t>
      </w:r>
    </w:p>
    <w:p>
      <w:pPr>
        <w:pStyle w:val="ListParagraph"/>
        <w:numPr>
          <w:ilvl w:val="0"/>
          <w:numId w:val="1"/>
        </w:numPr>
        <w:spacing w:after="100"/>
      </w:pPr>
      <w:r>
        <w:t xml:space="preserve">Distinguish, honestly, which value streams are currently delivering real business value end to end, which are delivering value with a structural ceiling (most often the same mock-data ceiling Phase A and Phase B already identify), and which exist only as a stakeholder need HireRise has not yet built a full journey to answer.</w:t>
      </w:r>
    </w:p>
    <w:p>
      <w:pPr>
        <w:pStyle w:val="ListParagraph"/>
        <w:numPr>
          <w:ilvl w:val="0"/>
          <w:numId w:val="1"/>
        </w:numPr>
        <w:spacing w:after="100"/>
      </w:pPr>
      <w:r>
        <w:t xml:space="preserve">Give every value stream a stated business owner, a set of participating domains, and measurable KPIs, reusing Phase A and Phase B ownership findings rather than inventing new ones.</w:t>
      </w:r>
    </w:p>
    <w:p>
      <w:pPr>
        <w:pStyle w:val="ListParagraph"/>
        <w:numPr>
          <w:ilvl w:val="0"/>
          <w:numId w:val="1"/>
        </w:numPr>
        <w:spacing w:after="100"/>
      </w:pPr>
      <w:r>
        <w:t xml:space="preserve">Surface the business handoffs and bottlenecks in HireRise's value creation — most consequentially, the point at which every student-facing value stream that touches real-world market data currently hands off to a domain (Knowledge &amp; Market Intelligence) that is itself capped by mock data — so investment decisions can be made against the whole chain, not one link in isolation.</w:t>
      </w:r>
    </w:p>
    <w:p>
      <w:pPr>
        <w:pStyle w:val="ListParagraph"/>
        <w:numPr>
          <w:ilvl w:val="0"/>
          <w:numId w:val="1"/>
        </w:numPr>
        <w:spacing w:after="100"/>
      </w:pPr>
      <w:r>
        <w:t xml:space="preserve">Provide a value-stream-level roadmap with measurable adoption triggers, never calendar-only commitments, consistent with the trigger-table convention established across EEP-01, Phase A, and Phase B.</w:t>
      </w:r>
    </w:p>
    <w:p>
      <w:pPr>
        <w:pStyle w:val="Heading2"/>
        <w:spacing w:after="150" w:before="300"/>
      </w:pPr>
      <w:r>
        <w:t xml:space="preserve">1.4 Expected Outcomes</w:t>
      </w:r>
    </w:p>
    <w:p>
      <w:pPr>
        <w:pStyle w:val="ListParagraph"/>
        <w:numPr>
          <w:ilvl w:val="0"/>
          <w:numId w:val="1"/>
        </w:numPr>
        <w:spacing w:after="100"/>
      </w:pPr>
      <w:r>
        <w:t xml:space="preserve">A single, canonical place that shows how HireRise creates value end to end, for Product, Engineering, and any future business stakeholder — traceable line by line to Phase A capabilities, Phase B domains, and EEP-01 technical architecture, without requiring any of them to read the codebase.</w:t>
      </w:r>
    </w:p>
    <w:p>
      <w:pPr>
        <w:pStyle w:val="ListParagraph"/>
        <w:numPr>
          <w:ilvl w:val="0"/>
          <w:numId w:val="1"/>
        </w:numPr>
        <w:spacing w:after="100"/>
      </w:pPr>
      <w:r>
        <w:t xml:space="preserve">Investment decisions made against named value streams and their maturity — build, defer, or fix a bottleneck — rather than against ad hoc feature requests disconnected from the journeys they actually serve.</w:t>
      </w:r>
    </w:p>
    <w:p>
      <w:pPr>
        <w:pStyle w:val="ListParagraph"/>
        <w:numPr>
          <w:ilvl w:val="0"/>
          <w:numId w:val="1"/>
        </w:numPr>
        <w:spacing w:after="100"/>
      </w:pPr>
      <w:r>
        <w:t xml:space="preserve">A shared vocabulary for discussing where HireRise's value creation is genuinely strong (the AI-native advisory core), where it is structurally capped by an external dependency (nearly every value stream that touches real-world market or employer data), and where it does not yet exist as a journey at all (employer-facing and outcome-measurement value streams).</w:t>
      </w:r>
    </w:p>
    <w:p>
      <w:pPr>
        <w:pStyle w:val="Heading1"/>
        <w:spacing w:after="200" w:before="400"/>
      </w:pPr>
      <w:r>
        <w:t xml:space="preserve">2. Current State Assessment</w:t>
      </w:r>
    </w:p>
    <w:p>
      <w:pPr>
        <w:spacing w:after="160"/>
        <w:jc w:val="both"/>
      </w:pPr>
      <w:r>
        <w:rPr>
          <w:sz w:val="21"/>
          <w:szCs w:val="21"/>
        </w:rPr>
        <w:t xml:space="preserve">This assessment classifies the enterprise value stream landscape as it exists in the repository today, distinguishes explicit from implicit value streams, identifies value streams the evidence does not yet support, and evaluates every value stream candidate named in the program's Special Focus Areas list. Per-stream maturity detail is in Section 10; this section gives the headline current-state picture, inherited directly from the capability-level (Phase A Section 2) and domain-level (Phase B Section 2) assessments it builds on.</w:t>
      </w:r>
    </w:p>
    <w:p>
      <w:pPr>
        <w:pStyle w:val="Heading2"/>
        <w:spacing w:after="150" w:before="300"/>
      </w:pPr>
      <w:r>
        <w:t xml:space="preserve">2.1 Explicit Value Streams (directly evidenced end to end)</w:t>
      </w:r>
    </w:p>
    <w:p>
      <w:pPr>
        <w:pStyle w:val="ListParagraph"/>
        <w:numPr>
          <w:ilvl w:val="0"/>
          <w:numId w:val="1"/>
        </w:numPr>
        <w:spacing w:after="100"/>
      </w:pPr>
      <w:r>
        <w:t xml:space="preserve">Student Onboarding &amp; Academic Foundation Value Stream — Academic Intelligence Domain, realized by Student Onboarding &amp; Qualification Capture and Academic Profile &amp; Context Intelligence.</w:t>
      </w:r>
    </w:p>
    <w:p>
      <w:pPr>
        <w:pStyle w:val="ListParagraph"/>
        <w:numPr>
          <w:ilvl w:val="0"/>
          <w:numId w:val="1"/>
        </w:numPr>
        <w:spacing w:after="100"/>
      </w:pPr>
      <w:r>
        <w:t xml:space="preserve">Career Discovery &amp; Recommendation Value Stream — Career Intelligence Domain, realized by Career Path Intelligence &amp; Recommendation, drawing on Knowledge &amp; Market Intelligence and AI Intelligence.</w:t>
      </w:r>
    </w:p>
    <w:p>
      <w:pPr>
        <w:pStyle w:val="ListParagraph"/>
        <w:numPr>
          <w:ilvl w:val="0"/>
          <w:numId w:val="1"/>
        </w:numPr>
        <w:spacing w:after="100"/>
      </w:pPr>
      <w:r>
        <w:t xml:space="preserve">AI Advisory &amp; Conversational Guidance Value Stream — AI Intelligence Domain, realized by AI Career Advisory &amp; Agentic Orchestration and its six-agent coordination layer.</w:t>
      </w:r>
    </w:p>
    <w:p>
      <w:pPr>
        <w:pStyle w:val="ListParagraph"/>
        <w:numPr>
          <w:ilvl w:val="0"/>
          <w:numId w:val="1"/>
        </w:numPr>
        <w:spacing w:after="100"/>
      </w:pPr>
      <w:r>
        <w:t xml:space="preserve">Career Health &amp; Continuous Monitoring Value Stream — Career Intelligence Domain, realized by Career Health Assessment, running continuously rather than at a single step.</w:t>
      </w:r>
    </w:p>
    <w:p>
      <w:pPr>
        <w:pStyle w:val="ListParagraph"/>
        <w:numPr>
          <w:ilvl w:val="0"/>
          <w:numId w:val="1"/>
        </w:numPr>
        <w:spacing w:after="100"/>
      </w:pPr>
      <w:r>
        <w:t xml:space="preserve">Resume &amp; Application Readiness Value Stream — Candidate Experience &amp; Growth Domain, realized by Candidate Document Generation.</w:t>
      </w:r>
    </w:p>
    <w:p>
      <w:pPr>
        <w:pStyle w:val="ListParagraph"/>
        <w:numPr>
          <w:ilvl w:val="0"/>
          <w:numId w:val="1"/>
        </w:numPr>
        <w:spacing w:after="100"/>
      </w:pPr>
      <w:r>
        <w:t xml:space="preserve">Job Opportunity Discovery Value Stream — Career Intelligence Domain (Career Opportunity Radar), structurally dependent on the Employer Domain.</w:t>
      </w:r>
    </w:p>
    <w:p>
      <w:pPr>
        <w:pStyle w:val="Heading2"/>
        <w:spacing w:after="150" w:before="300"/>
      </w:pPr>
      <w:r>
        <w:t xml:space="preserve">2.2 Implicit Value Streams (present in practice, not yet named or owned as a stream)</w:t>
      </w:r>
    </w:p>
    <w:p>
      <w:pPr>
        <w:pStyle w:val="ListParagraph"/>
        <w:numPr>
          <w:ilvl w:val="0"/>
          <w:numId w:val="1"/>
        </w:numPr>
        <w:spacing w:after="100"/>
      </w:pPr>
      <w:r>
        <w:t xml:space="preserve">Knowledge Evolution — the continuous maintenance of the skill/role/market vocabulary every other value stream draws on is a real, always-running value flow, but it has no single named owner or KPI dashboard distinct from the Knowledge &amp; Market Intelligence Domain's own capability-level KPIs (Phase A Section 7.6–7.7).</w:t>
      </w:r>
    </w:p>
    <w:p>
      <w:pPr>
        <w:pStyle w:val="ListParagraph"/>
        <w:numPr>
          <w:ilvl w:val="0"/>
          <w:numId w:val="1"/>
        </w:numPr>
        <w:spacing w:after="100"/>
      </w:pPr>
      <w:r>
        <w:t xml:space="preserve">Daily Engagement &amp; Growth — return-visit and progress-tracking behavior is evidenced as a capability (Growth &amp; Progress Tracking, Daily Engagement &amp; Conversion, Phase A Section 7.11) but is not yet instrumented as an end-to-end value stream with its own funnel view distinct from the streams that feed it.</w:t>
      </w:r>
    </w:p>
    <w:p>
      <w:pPr>
        <w:pStyle w:val="ListParagraph"/>
        <w:numPr>
          <w:ilvl w:val="0"/>
          <w:numId w:val="1"/>
        </w:numPr>
        <w:spacing w:after="100"/>
      </w:pPr>
      <w:r>
        <w:t xml:space="preserve">Platform Trust, Identity &amp; Governance — identity, configuration, and architectural/AI-quality conformance are real, continuously operating value flows underlying every other stream (Phase B Section 7.2), but — consistent with Phase B's own framing of Platform Shared Services and Governance as cross-cutting rather than student-facing — they are best modeled as an enabling value stream that every other stream depends on, not a stakeholder-facing journey in its own right.</w:t>
      </w:r>
    </w:p>
    <w:p>
      <w:pPr>
        <w:pStyle w:val="Heading2"/>
        <w:spacing w:after="150" w:before="300"/>
      </w:pPr>
      <w:r>
        <w:t xml:space="preserve">2.3 Missing Value Streams (evidenced gap, not present at any maturity)</w:t>
      </w:r>
    </w:p>
    <w:p>
      <w:pPr>
        <w:pStyle w:val="ListParagraph"/>
        <w:numPr>
          <w:ilvl w:val="0"/>
          <w:numId w:val="1"/>
        </w:numPr>
        <w:spacing w:after="100"/>
      </w:pPr>
      <w:r>
        <w:t xml:space="preserve">A live Employer Collaboration Value Stream — employer-initiated postings, applicant screening, and two-sided matching — does not exist at any maturity above Level 1; the Employer Domain is structurally scaffolded (named module, routing layer) but has no live external partner (Phase B Section 4.1, ADR-BD-03).</w:t>
      </w:r>
    </w:p>
    <w:p>
      <w:pPr>
        <w:pStyle w:val="ListParagraph"/>
        <w:numPr>
          <w:ilvl w:val="0"/>
          <w:numId w:val="1"/>
        </w:numPr>
        <w:spacing w:after="100"/>
      </w:pPr>
      <w:r>
        <w:t xml:space="preserve">A Career Outcome Intelligence Value Stream — connecting a recommendation, a health score, or a generated resume to a confirmed downstream employment or salary outcome — is not evidenced anywhere in the repository as an owned, instrumented flow. KPI language throughout Phase A and Phase B refers to outcome correlation, but no module, service, or data store owns outcome measurement today (Phase B Section 2.2, Section 11.3).</w:t>
      </w:r>
    </w:p>
    <w:p>
      <w:pPr>
        <w:pStyle w:val="Heading2"/>
        <w:spacing w:after="150" w:before="300"/>
      </w:pPr>
      <w:r>
        <w:t xml:space="preserve">2.4 Special Focus Area Validation</w:t>
      </w:r>
    </w:p>
    <w:p>
      <w:pPr>
        <w:spacing w:after="160"/>
        <w:jc w:val="both"/>
      </w:pPr>
      <w:r>
        <w:rPr>
          <w:sz w:val="21"/>
          <w:szCs w:val="21"/>
        </w:rPr>
        <w:t xml:space="preserve">The program brief names fourteen candidate value streams. Each is evaluated below against repository evidence, exactly as Phase A and Phase B validated their own Special Focus Area candidates. A value stream is only catalogued independently where an identifiable stakeholder need, a genuine cross-domain journey, and a measurable outcome are all evidenced.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00"/>
              <w:bottom w:type="dxa" w:w="80"/>
              <w:right w:type="dxa" w:w="100"/>
            </w:tcMar>
          </w:tcPr>
          <w:p>
            <w:r>
              <w:rPr>
                <w:b/>
                <w:bCs/>
                <w:color w:val="FFFFFF"/>
                <w:sz w:val="18"/>
                <w:szCs w:val="18"/>
              </w:rPr>
              <w:t xml:space="preserve">Candidate name</w:t>
            </w:r>
          </w:p>
        </w:tc>
        <w:tc>
          <w:tcPr>
            <w:tcW w:type="dxa" w:w="4680"/>
            <w:shd w:fill="1F3864" w:color="auto" w:val="clear"/>
            <w:tcMar>
              <w:top w:type="dxa" w:w="80"/>
              <w:left w:type="dxa" w:w="100"/>
              <w:bottom w:type="dxa" w:w="80"/>
              <w:right w:type="dxa" w:w="100"/>
            </w:tcMar>
          </w:tcPr>
          <w:p>
            <w:r>
              <w:rPr>
                <w:b/>
                <w:bCs/>
                <w:color w:val="FFFFFF"/>
                <w:sz w:val="18"/>
                <w:szCs w:val="18"/>
              </w:rPr>
              <w:t xml:space="preserve">Validation</w:t>
            </w:r>
          </w:p>
        </w:tc>
      </w:tr>
      <w:tr>
        <w:tc>
          <w:tcPr>
            <w:tcW w:type="dxa" w:w="4680"/>
            <w:shd w:fill="FFFFFF" w:color="auto" w:val="clear"/>
            <w:tcMar>
              <w:top w:type="dxa" w:w="80"/>
              <w:left w:type="dxa" w:w="100"/>
              <w:bottom w:type="dxa" w:w="80"/>
              <w:right w:type="dxa" w:w="100"/>
            </w:tcMar>
          </w:tcPr>
          <w:p>
            <w:r>
              <w:rPr>
                <w:sz w:val="18"/>
                <w:szCs w:val="18"/>
              </w:rPr>
              <w:t xml:space="preserve">Student Success Journey</w:t>
            </w:r>
          </w:p>
        </w:tc>
        <w:tc>
          <w:tcPr>
            <w:tcW w:type="dxa" w:w="4680"/>
            <w:shd w:fill="FFFFFF" w:color="auto" w:val="clear"/>
            <w:tcMar>
              <w:top w:type="dxa" w:w="80"/>
              <w:left w:type="dxa" w:w="100"/>
              <w:bottom w:type="dxa" w:w="80"/>
              <w:right w:type="dxa" w:w="100"/>
            </w:tcMar>
          </w:tcPr>
          <w:p>
            <w:r>
              <w:rPr>
                <w:sz w:val="18"/>
                <w:szCs w:val="18"/>
              </w:rPr>
              <w:t xml:space="preserve">Not modeled as one independent stream; the evidence supports five distinct, evidenced stages (onboarding, career discovery, health monitoring, AI advisory, document readiness) more accurately described as a portfolio of collaborating streams (Section 4) than one undifferentiated journey.</w:t>
            </w:r>
          </w:p>
        </w:tc>
      </w:tr>
      <w:tr>
        <w:tc>
          <w:tcPr>
            <w:tcW w:type="dxa" w:w="4680"/>
            <w:shd w:fill="F2F2F2" w:color="auto" w:val="clear"/>
            <w:tcMar>
              <w:top w:type="dxa" w:w="80"/>
              <w:left w:type="dxa" w:w="100"/>
              <w:bottom w:type="dxa" w:w="80"/>
              <w:right w:type="dxa" w:w="100"/>
            </w:tcMar>
          </w:tcPr>
          <w:p>
            <w:r>
              <w:rPr>
                <w:sz w:val="18"/>
                <w:szCs w:val="18"/>
              </w:rPr>
              <w:t xml:space="preserve">Career Discovery Journey</w:t>
            </w:r>
          </w:p>
        </w:tc>
        <w:tc>
          <w:tcPr>
            <w:tcW w:type="dxa" w:w="4680"/>
            <w:shd w:fill="F2F2F2" w:color="auto" w:val="clear"/>
            <w:tcMar>
              <w:top w:type="dxa" w:w="80"/>
              <w:left w:type="dxa" w:w="100"/>
              <w:bottom w:type="dxa" w:w="80"/>
              <w:right w:type="dxa" w:w="100"/>
            </w:tcMar>
          </w:tcPr>
          <w:p>
            <w:r>
              <w:rPr>
                <w:sz w:val="18"/>
                <w:szCs w:val="18"/>
              </w:rPr>
              <w:t xml:space="preserve">Validated — Career Discovery &amp; Recommendation Value Stream (Section 5.2).</w:t>
            </w:r>
          </w:p>
        </w:tc>
      </w:tr>
      <w:tr>
        <w:tc>
          <w:tcPr>
            <w:tcW w:type="dxa" w:w="4680"/>
            <w:shd w:fill="FFFFFF" w:color="auto" w:val="clear"/>
            <w:tcMar>
              <w:top w:type="dxa" w:w="80"/>
              <w:left w:type="dxa" w:w="100"/>
              <w:bottom w:type="dxa" w:w="80"/>
              <w:right w:type="dxa" w:w="100"/>
            </w:tcMar>
          </w:tcPr>
          <w:p>
            <w:r>
              <w:rPr>
                <w:sz w:val="18"/>
                <w:szCs w:val="18"/>
              </w:rPr>
              <w:t xml:space="preserve">Academic Intelligence Journey</w:t>
            </w:r>
          </w:p>
        </w:tc>
        <w:tc>
          <w:tcPr>
            <w:tcW w:type="dxa" w:w="4680"/>
            <w:shd w:fill="FFFFFF" w:color="auto" w:val="clear"/>
            <w:tcMar>
              <w:top w:type="dxa" w:w="80"/>
              <w:left w:type="dxa" w:w="100"/>
              <w:bottom w:type="dxa" w:w="80"/>
              <w:right w:type="dxa" w:w="100"/>
            </w:tcMar>
          </w:tcPr>
          <w:p>
            <w:r>
              <w:rPr>
                <w:sz w:val="18"/>
                <w:szCs w:val="18"/>
              </w:rPr>
              <w:t xml:space="preserve">Validated — folded into Student Onboarding &amp; Academic Foundation Value Stream (Section 5.1), since onboarding and ongoing academic-profile maintenance share one stakeholder need and one owning domain.</w:t>
            </w:r>
          </w:p>
        </w:tc>
      </w:tr>
      <w:tr>
        <w:tc>
          <w:tcPr>
            <w:tcW w:type="dxa" w:w="4680"/>
            <w:shd w:fill="F2F2F2" w:color="auto" w:val="clear"/>
            <w:tcMar>
              <w:top w:type="dxa" w:w="80"/>
              <w:left w:type="dxa" w:w="100"/>
              <w:bottom w:type="dxa" w:w="80"/>
              <w:right w:type="dxa" w:w="100"/>
            </w:tcMar>
          </w:tcPr>
          <w:p>
            <w:r>
              <w:rPr>
                <w:sz w:val="18"/>
                <w:szCs w:val="18"/>
              </w:rPr>
              <w:t xml:space="preserve">Career Intelligence Journey</w:t>
            </w:r>
          </w:p>
        </w:tc>
        <w:tc>
          <w:tcPr>
            <w:tcW w:type="dxa" w:w="4680"/>
            <w:shd w:fill="F2F2F2" w:color="auto" w:val="clear"/>
            <w:tcMar>
              <w:top w:type="dxa" w:w="80"/>
              <w:left w:type="dxa" w:w="100"/>
              <w:bottom w:type="dxa" w:w="80"/>
              <w:right w:type="dxa" w:w="100"/>
            </w:tcMar>
          </w:tcPr>
          <w:p>
            <w:r>
              <w:rPr>
                <w:sz w:val="18"/>
                <w:szCs w:val="18"/>
              </w:rPr>
              <w:t xml:space="preserve">Validated, but modeled as three separately evidenced streams at different maturity levels (Career Discovery &amp; Recommendation, Career Health &amp; Continuous Monitoring, Career Planning &amp; Simulation) rather than one, per Phase A's own finding that these bounded contexts differ sharply in maturity (Level 1 to Level 3).</w:t>
            </w:r>
          </w:p>
        </w:tc>
      </w:tr>
      <w:tr>
        <w:tc>
          <w:tcPr>
            <w:tcW w:type="dxa" w:w="4680"/>
            <w:shd w:fill="FFFFFF" w:color="auto" w:val="clear"/>
            <w:tcMar>
              <w:top w:type="dxa" w:w="80"/>
              <w:left w:type="dxa" w:w="100"/>
              <w:bottom w:type="dxa" w:w="80"/>
              <w:right w:type="dxa" w:w="100"/>
            </w:tcMar>
          </w:tcPr>
          <w:p>
            <w:r>
              <w:rPr>
                <w:sz w:val="18"/>
                <w:szCs w:val="18"/>
              </w:rPr>
              <w:t xml:space="preserve">Career Planning Journey</w:t>
            </w:r>
          </w:p>
        </w:tc>
        <w:tc>
          <w:tcPr>
            <w:tcW w:type="dxa" w:w="4680"/>
            <w:shd w:fill="FFFFFF" w:color="auto" w:val="clear"/>
            <w:tcMar>
              <w:top w:type="dxa" w:w="80"/>
              <w:left w:type="dxa" w:w="100"/>
              <w:bottom w:type="dxa" w:w="80"/>
              <w:right w:type="dxa" w:w="100"/>
            </w:tcMar>
          </w:tcPr>
          <w:p>
            <w:r>
              <w:rPr>
                <w:sz w:val="18"/>
                <w:szCs w:val="18"/>
              </w:rPr>
              <w:t xml:space="preserve">Validated — Career Planning &amp; Simulation Value Stream (Section 6.1), catalogued honestly at Level 1 maturity.</w:t>
            </w:r>
          </w:p>
        </w:tc>
      </w:tr>
      <w:tr>
        <w:tc>
          <w:tcPr>
            <w:tcW w:type="dxa" w:w="4680"/>
            <w:shd w:fill="F2F2F2" w:color="auto" w:val="clear"/>
            <w:tcMar>
              <w:top w:type="dxa" w:w="80"/>
              <w:left w:type="dxa" w:w="100"/>
              <w:bottom w:type="dxa" w:w="80"/>
              <w:right w:type="dxa" w:w="100"/>
            </w:tcMar>
          </w:tcPr>
          <w:p>
            <w:r>
              <w:rPr>
                <w:sz w:val="18"/>
                <w:szCs w:val="18"/>
              </w:rPr>
              <w:t xml:space="preserve">Resume Growth Journey</w:t>
            </w:r>
          </w:p>
        </w:tc>
        <w:tc>
          <w:tcPr>
            <w:tcW w:type="dxa" w:w="4680"/>
            <w:shd w:fill="F2F2F2" w:color="auto" w:val="clear"/>
            <w:tcMar>
              <w:top w:type="dxa" w:w="80"/>
              <w:left w:type="dxa" w:w="100"/>
              <w:bottom w:type="dxa" w:w="80"/>
              <w:right w:type="dxa" w:w="100"/>
            </w:tcMar>
          </w:tcPr>
          <w:p>
            <w:r>
              <w:rPr>
                <w:sz w:val="18"/>
                <w:szCs w:val="18"/>
              </w:rPr>
              <w:t xml:space="preserve">Validated — Resume &amp; Application Readiness Value Stream (Section 5.5).</w:t>
            </w:r>
          </w:p>
        </w:tc>
      </w:tr>
      <w:tr>
        <w:tc>
          <w:tcPr>
            <w:tcW w:type="dxa" w:w="4680"/>
            <w:shd w:fill="FFFFFF" w:color="auto" w:val="clear"/>
            <w:tcMar>
              <w:top w:type="dxa" w:w="80"/>
              <w:left w:type="dxa" w:w="100"/>
              <w:bottom w:type="dxa" w:w="80"/>
              <w:right w:type="dxa" w:w="100"/>
            </w:tcMar>
          </w:tcPr>
          <w:p>
            <w:r>
              <w:rPr>
                <w:sz w:val="18"/>
                <w:szCs w:val="18"/>
              </w:rPr>
              <w:t xml:space="preserve">Job Opportunity Journey</w:t>
            </w:r>
          </w:p>
        </w:tc>
        <w:tc>
          <w:tcPr>
            <w:tcW w:type="dxa" w:w="4680"/>
            <w:shd w:fill="FFFFFF" w:color="auto" w:val="clear"/>
            <w:tcMar>
              <w:top w:type="dxa" w:w="80"/>
              <w:left w:type="dxa" w:w="100"/>
              <w:bottom w:type="dxa" w:w="80"/>
              <w:right w:type="dxa" w:w="100"/>
            </w:tcMar>
          </w:tcPr>
          <w:p>
            <w:r>
              <w:rPr>
                <w:sz w:val="18"/>
                <w:szCs w:val="18"/>
              </w:rPr>
              <w:t xml:space="preserve">Validated — Job Opportunity Discovery Value Stream (Section 5.6).</w:t>
            </w:r>
          </w:p>
        </w:tc>
      </w:tr>
      <w:tr>
        <w:tc>
          <w:tcPr>
            <w:tcW w:type="dxa" w:w="4680"/>
            <w:shd w:fill="F2F2F2" w:color="auto" w:val="clear"/>
            <w:tcMar>
              <w:top w:type="dxa" w:w="80"/>
              <w:left w:type="dxa" w:w="100"/>
              <w:bottom w:type="dxa" w:w="80"/>
              <w:right w:type="dxa" w:w="100"/>
            </w:tcMar>
          </w:tcPr>
          <w:p>
            <w:r>
              <w:rPr>
                <w:sz w:val="18"/>
                <w:szCs w:val="18"/>
              </w:rPr>
              <w:t xml:space="preserve">AI Advisory Journey</w:t>
            </w:r>
          </w:p>
        </w:tc>
        <w:tc>
          <w:tcPr>
            <w:tcW w:type="dxa" w:w="4680"/>
            <w:shd w:fill="F2F2F2" w:color="auto" w:val="clear"/>
            <w:tcMar>
              <w:top w:type="dxa" w:w="80"/>
              <w:left w:type="dxa" w:w="100"/>
              <w:bottom w:type="dxa" w:w="80"/>
              <w:right w:type="dxa" w:w="100"/>
            </w:tcMar>
          </w:tcPr>
          <w:p>
            <w:r>
              <w:rPr>
                <w:sz w:val="18"/>
                <w:szCs w:val="18"/>
              </w:rPr>
              <w:t xml:space="preserve">Validated — AI Advisory &amp; Conversational Guidance Value Stream (Section 5.3).</w:t>
            </w:r>
          </w:p>
        </w:tc>
      </w:tr>
      <w:tr>
        <w:tc>
          <w:tcPr>
            <w:tcW w:type="dxa" w:w="4680"/>
            <w:shd w:fill="FFFFFF" w:color="auto" w:val="clear"/>
            <w:tcMar>
              <w:top w:type="dxa" w:w="80"/>
              <w:left w:type="dxa" w:w="100"/>
              <w:bottom w:type="dxa" w:w="80"/>
              <w:right w:type="dxa" w:w="100"/>
            </w:tcMar>
          </w:tcPr>
          <w:p>
            <w:r>
              <w:rPr>
                <w:sz w:val="18"/>
                <w:szCs w:val="18"/>
              </w:rPr>
              <w:t xml:space="preserve">Knowledge Evolution Journey</w:t>
            </w:r>
          </w:p>
        </w:tc>
        <w:tc>
          <w:tcPr>
            <w:tcW w:type="dxa" w:w="4680"/>
            <w:shd w:fill="FFFFFF" w:color="auto" w:val="clear"/>
            <w:tcMar>
              <w:top w:type="dxa" w:w="80"/>
              <w:left w:type="dxa" w:w="100"/>
              <w:bottom w:type="dxa" w:w="80"/>
              <w:right w:type="dxa" w:w="100"/>
            </w:tcMar>
          </w:tcPr>
          <w:p>
            <w:r>
              <w:rPr>
                <w:sz w:val="18"/>
                <w:szCs w:val="18"/>
              </w:rPr>
              <w:t xml:space="preserve">Validated as an implicit, internally-facing value stream (Section 6.2) — real, but not yet stakeholder-owned or independently instrumented.</w:t>
            </w:r>
          </w:p>
        </w:tc>
      </w:tr>
      <w:tr>
        <w:tc>
          <w:tcPr>
            <w:tcW w:type="dxa" w:w="4680"/>
            <w:shd w:fill="F2F2F2" w:color="auto" w:val="clear"/>
            <w:tcMar>
              <w:top w:type="dxa" w:w="80"/>
              <w:left w:type="dxa" w:w="100"/>
              <w:bottom w:type="dxa" w:w="80"/>
              <w:right w:type="dxa" w:w="100"/>
            </w:tcMar>
          </w:tcPr>
          <w:p>
            <w:r>
              <w:rPr>
                <w:sz w:val="18"/>
                <w:szCs w:val="18"/>
              </w:rPr>
              <w:t xml:space="preserve">Employer Collaboration Journey</w:t>
            </w:r>
          </w:p>
        </w:tc>
        <w:tc>
          <w:tcPr>
            <w:tcW w:type="dxa" w:w="4680"/>
            <w:shd w:fill="F2F2F2" w:color="auto" w:val="clear"/>
            <w:tcMar>
              <w:top w:type="dxa" w:w="80"/>
              <w:left w:type="dxa" w:w="100"/>
              <w:bottom w:type="dxa" w:w="80"/>
              <w:right w:type="dxa" w:w="100"/>
            </w:tcMar>
          </w:tcPr>
          <w:p>
            <w:r>
              <w:rPr>
                <w:sz w:val="18"/>
                <w:szCs w:val="18"/>
              </w:rPr>
              <w:t xml:space="preserve">Validated as a named, strategic, pre-activation value stream (Section 6.5) — real by intent, not yet real by evidence, mirroring Phase B's ADR-BD-03 treatment of the Employer Domain.</w:t>
            </w:r>
          </w:p>
        </w:tc>
      </w:tr>
      <w:tr>
        <w:tc>
          <w:tcPr>
            <w:tcW w:type="dxa" w:w="4680"/>
            <w:shd w:fill="FFFFFF" w:color="auto" w:val="clear"/>
            <w:tcMar>
              <w:top w:type="dxa" w:w="80"/>
              <w:left w:type="dxa" w:w="100"/>
              <w:bottom w:type="dxa" w:w="80"/>
              <w:right w:type="dxa" w:w="100"/>
            </w:tcMar>
          </w:tcPr>
          <w:p>
            <w:r>
              <w:rPr>
                <w:sz w:val="18"/>
                <w:szCs w:val="18"/>
              </w:rPr>
              <w:t xml:space="preserve">Partner Intelligence Journey</w:t>
            </w:r>
          </w:p>
        </w:tc>
        <w:tc>
          <w:tcPr>
            <w:tcW w:type="dxa" w:w="4680"/>
            <w:shd w:fill="FFFFFF" w:color="auto" w:val="clear"/>
            <w:tcMar>
              <w:top w:type="dxa" w:w="80"/>
              <w:left w:type="dxa" w:w="100"/>
              <w:bottom w:type="dxa" w:w="80"/>
              <w:right w:type="dxa" w:w="100"/>
            </w:tcMar>
          </w:tcPr>
          <w:p>
            <w:r>
              <w:rPr>
                <w:sz w:val="18"/>
                <w:szCs w:val="18"/>
              </w:rPr>
              <w:t xml:space="preserve">Not validated as a current or near-term value stream; no module, service, or data store evidences any partner (academic, employer, or job-board) integration beyond the Employer Domain's own pre-activation state. Catalogued as a long-term future value stream only (Section 11.3).</w:t>
            </w:r>
          </w:p>
        </w:tc>
      </w:tr>
      <w:tr>
        <w:tc>
          <w:tcPr>
            <w:tcW w:type="dxa" w:w="4680"/>
            <w:shd w:fill="F2F2F2" w:color="auto" w:val="clear"/>
            <w:tcMar>
              <w:top w:type="dxa" w:w="80"/>
              <w:left w:type="dxa" w:w="100"/>
              <w:bottom w:type="dxa" w:w="80"/>
              <w:right w:type="dxa" w:w="100"/>
            </w:tcMar>
          </w:tcPr>
          <w:p>
            <w:r>
              <w:rPr>
                <w:sz w:val="18"/>
                <w:szCs w:val="18"/>
              </w:rPr>
              <w:t xml:space="preserve">Career Outcome Journey</w:t>
            </w:r>
          </w:p>
        </w:tc>
        <w:tc>
          <w:tcPr>
            <w:tcW w:type="dxa" w:w="4680"/>
            <w:shd w:fill="F2F2F2" w:color="auto" w:val="clear"/>
            <w:tcMar>
              <w:top w:type="dxa" w:w="80"/>
              <w:left w:type="dxa" w:w="100"/>
              <w:bottom w:type="dxa" w:w="80"/>
              <w:right w:type="dxa" w:w="100"/>
            </w:tcMar>
          </w:tcPr>
          <w:p>
            <w:r>
              <w:rPr>
                <w:sz w:val="18"/>
                <w:szCs w:val="18"/>
              </w:rPr>
              <w:t xml:space="preserve">Validated as an evidenced gap, not a current value stream — Career Outcome Intelligence Value Stream (Section 6.6), catalogued as future/target-state only, matching Phase B Section 11.3 exactly.</w:t>
            </w:r>
          </w:p>
        </w:tc>
      </w:tr>
      <w:tr>
        <w:tc>
          <w:tcPr>
            <w:tcW w:type="dxa" w:w="4680"/>
            <w:shd w:fill="FFFFFF" w:color="auto" w:val="clear"/>
            <w:tcMar>
              <w:top w:type="dxa" w:w="80"/>
              <w:left w:type="dxa" w:w="100"/>
              <w:bottom w:type="dxa" w:w="80"/>
              <w:right w:type="dxa" w:w="100"/>
            </w:tcMar>
          </w:tcPr>
          <w:p>
            <w:r>
              <w:rPr>
                <w:sz w:val="18"/>
                <w:szCs w:val="18"/>
              </w:rPr>
              <w:t xml:space="preserve">Platform Growth Journey</w:t>
            </w:r>
          </w:p>
        </w:tc>
        <w:tc>
          <w:tcPr>
            <w:tcW w:type="dxa" w:w="4680"/>
            <w:shd w:fill="FFFFFF" w:color="auto" w:val="clear"/>
            <w:tcMar>
              <w:top w:type="dxa" w:w="80"/>
              <w:left w:type="dxa" w:w="100"/>
              <w:bottom w:type="dxa" w:w="80"/>
              <w:right w:type="dxa" w:w="100"/>
            </w:tcMar>
          </w:tcPr>
          <w:p>
            <w:r>
              <w:rPr>
                <w:sz w:val="18"/>
                <w:szCs w:val="18"/>
              </w:rPr>
              <w:t xml:space="preserve">Not validated as an independent value stream distinct from Daily Engagement &amp; Growth (Section 6.3); "platform growth" as a business concept is an aggregate outcome of several streams, not a separately evidenced journey with its own owning capability.</w:t>
            </w:r>
          </w:p>
        </w:tc>
      </w:tr>
      <w:tr>
        <w:tc>
          <w:tcPr>
            <w:tcW w:type="dxa" w:w="4680"/>
            <w:shd w:fill="F2F2F2" w:color="auto" w:val="clear"/>
            <w:tcMar>
              <w:top w:type="dxa" w:w="80"/>
              <w:left w:type="dxa" w:w="100"/>
              <w:bottom w:type="dxa" w:w="80"/>
              <w:right w:type="dxa" w:w="100"/>
            </w:tcMar>
          </w:tcPr>
          <w:p>
            <w:r>
              <w:rPr>
                <w:sz w:val="18"/>
                <w:szCs w:val="18"/>
              </w:rPr>
              <w:t xml:space="preserve">Future Enterprise Value Streams</w:t>
            </w:r>
          </w:p>
        </w:tc>
        <w:tc>
          <w:tcPr>
            <w:tcW w:type="dxa" w:w="4680"/>
            <w:shd w:fill="F2F2F2" w:color="auto" w:val="clear"/>
            <w:tcMar>
              <w:top w:type="dxa" w:w="80"/>
              <w:left w:type="dxa" w:w="100"/>
              <w:bottom w:type="dxa" w:w="80"/>
              <w:right w:type="dxa" w:w="100"/>
            </w:tcMar>
          </w:tcPr>
          <w:p>
            <w:r>
              <w:rPr>
                <w:sz w:val="18"/>
                <w:szCs w:val="18"/>
              </w:rPr>
              <w:t xml:space="preserve">Addressed directly in Section 11 (Current State vs. Target State) and Section 13 (Roadmap), not as a single named stream.</w:t>
            </w:r>
          </w:p>
        </w:tc>
      </w:tr>
    </w:tbl>
    <w:p>
      <w:pPr>
        <w:spacing w:after="200"/>
      </w:pPr>
    </w:p>
    <w:p>
      <w:pPr>
        <w:pStyle w:val="Heading2"/>
        <w:spacing w:after="150" w:before="300"/>
      </w:pPr>
      <w:r>
        <w:t xml:space="preserve">2.5 Repository Evidence, Business Gaps, and Business Friction</w:t>
      </w:r>
    </w:p>
    <w:p>
      <w:pPr>
        <w:spacing w:after="160"/>
        <w:jc w:val="both"/>
      </w:pPr>
      <w:r>
        <w:rPr>
          <w:sz w:val="21"/>
          <w:szCs w:val="21"/>
        </w:rPr>
        <w:t xml:space="preserve">The single most consequential business friction point in the current value stream landscape is structural, not incidental: three of the six explicit, evidenced student-facing value streams (Career Discovery &amp; Recommendation, Career Health &amp; Continuous Monitoring, and Job Opportunity Discovery) all terminate, at some point in their journey, in a handoff to Knowledge &amp; Market Intelligence data that is itself capped by a mock collector rather than a live feed (Phase A Section 2.4, Phase B Section 5.3). This is not three independent gaps; it is one upstream gap with three downstream symptoms, and it should be resourced and reported on as such. A second, equally structural friction point is the Career Intelligence ↔ Employer Domain boundary, which Phase B Section 2.5 and Section 8.4 already found to be theoretical rather than an operating contract — the Job Opportunity Discovery Value Stream cannot mature past its current ceiling until that boundary becomes real.</w:t>
      </w:r>
    </w:p>
    <w:p>
      <w:pPr>
        <w:pStyle w:val="Heading1"/>
        <w:spacing w:after="200" w:before="400"/>
      </w:pPr>
      <w:r>
        <w:t xml:space="preserve">3. Value Stream Architecture Principles</w:t>
      </w:r>
    </w:p>
    <w:p>
      <w:pPr>
        <w:pStyle w:val="Heading2"/>
        <w:spacing w:after="150" w:before="300"/>
      </w:pPr>
      <w:r>
        <w:t xml:space="preserve">3.1 Value-Centric Architecture</w:t>
      </w:r>
    </w:p>
    <w:p>
      <w:pPr>
        <w:spacing w:after="160"/>
        <w:jc w:val="both"/>
      </w:pPr>
      <w:r>
        <w:rPr>
          <w:sz w:val="21"/>
          <w:szCs w:val="21"/>
        </w:rPr>
        <w:t xml:space="preserve">A value stream is defined by the value it delivers to a stakeholder, never by the sequence of system calls that happens to implement it today. Two value streams that share every underlying capability can still be distinct streams if they answer different stakeholder needs (for example, Career Discovery &amp; Recommendation and Career Health &amp; Continuous Monitoring share nearly the same underlying data but answer “what should I do next” versus “where do I stand right now” respectively) — a distinction inherited directly from Phase A's own separate cataloguing of Career Path Intelligence &amp; Recommendation and Career Health Assessment as two capabilities, not one.</w:t>
      </w:r>
    </w:p>
    <w:p>
      <w:pPr>
        <w:pStyle w:val="Heading2"/>
        <w:spacing w:after="150" w:before="300"/>
      </w:pPr>
      <w:r>
        <w:t xml:space="preserve">3.2 Stakeholder-First Thinking</w:t>
      </w:r>
    </w:p>
    <w:p>
      <w:pPr>
        <w:spacing w:after="160"/>
        <w:jc w:val="both"/>
      </w:pPr>
      <w:r>
        <w:rPr>
          <w:sz w:val="21"/>
          <w:szCs w:val="21"/>
        </w:rPr>
        <w:t xml:space="preserve">Every value stream in this catalog begins with a named primary stakeholder and a stated need in that stakeholder's own language, not in system language. Where a stream's primary stakeholder is not yet a real external party (the Employer Domain's employers and job boards, most notably), that is stated as a current-state fact, not disguised by describing the stream from the platform's internal perspective instead.</w:t>
      </w:r>
    </w:p>
    <w:p>
      <w:pPr>
        <w:pStyle w:val="Heading2"/>
        <w:spacing w:after="150" w:before="300"/>
      </w:pPr>
      <w:r>
        <w:t xml:space="preserve">3.3 Cross-Domain Collaboration</w:t>
      </w:r>
    </w:p>
    <w:p>
      <w:pPr>
        <w:spacing w:after="160"/>
        <w:jc w:val="both"/>
      </w:pPr>
      <w:r>
        <w:rPr>
          <w:sz w:val="21"/>
          <w:szCs w:val="21"/>
        </w:rPr>
        <w:t xml:space="preserve">A value stream, by definition, crosses at least two of the eight Phase B domains; a flow contained entirely within one domain is modeled as an internal capability interaction (already catalogued in Phase A Section 8 and Phase B Section 7–8) and is not re-catalogued here as an independent value stream. Every value stream profile in Section 5 and Section 6 names its participating domains explicitly and in the order value actually moves through them.</w:t>
      </w:r>
    </w:p>
    <w:p>
      <w:pPr>
        <w:pStyle w:val="Heading2"/>
        <w:spacing w:after="150" w:before="300"/>
      </w:pPr>
      <w:r>
        <w:t xml:space="preserve">3.4 Business Ownership</w:t>
      </w:r>
    </w:p>
    <w:p>
      <w:pPr>
        <w:spacing w:after="160"/>
        <w:jc w:val="both"/>
      </w:pPr>
      <w:r>
        <w:rPr>
          <w:sz w:val="21"/>
          <w:szCs w:val="21"/>
        </w:rPr>
        <w:t xml:space="preserve">Consistent with Phase A's ADR-BC-04 and Phase B's Section 9, value stream ownership is stated honestly: almost universally, “the general product/engineering function,” because no separated business-function ownership is evidenced anywhere in the repository. This document does not invent a value-stream-level RACI, a dedicated value stream owner role, or a governance board the organization does not have. Target-state ownership separation is stated per stream, each with its own adoption trigger, exactly as Phase A and Phase B do at their respective levels.</w:t>
      </w:r>
    </w:p>
    <w:p>
      <w:pPr>
        <w:pStyle w:val="Heading2"/>
        <w:spacing w:after="150" w:before="300"/>
      </w:pPr>
      <w:r>
        <w:t xml:space="preserve">3.5 Intelligence-First Design</w:t>
      </w:r>
    </w:p>
    <w:p>
      <w:pPr>
        <w:spacing w:after="160"/>
        <w:jc w:val="both"/>
      </w:pPr>
      <w:r>
        <w:rPr>
          <w:sz w:val="21"/>
          <w:szCs w:val="21"/>
        </w:rPr>
        <w:t xml:space="preserve">Every explicit student-facing value stream in this catalog either produces AI-mediated intelligence directly (career recommendations, conversational advisory, health scoring) or is built to consume it (document generation tailored to a recommendation, opportunity matching ranked by fit). This is not incidental: Phase A and Phase B both independently identify the AI Intelligence Domain as the platform's most mature technical investment, and that maturity is the connective tissue running through nearly every value stream in Section 5.</w:t>
      </w:r>
    </w:p>
    <w:p>
      <w:pPr>
        <w:pStyle w:val="Heading2"/>
        <w:spacing w:after="150" w:before="300"/>
      </w:pPr>
      <w:r>
        <w:t xml:space="preserve">3.6 Continuous Value Delivery</w:t>
      </w:r>
    </w:p>
    <w:p>
      <w:pPr>
        <w:spacing w:after="160"/>
        <w:jc w:val="both"/>
      </w:pPr>
      <w:r>
        <w:rPr>
          <w:sz w:val="21"/>
          <w:szCs w:val="21"/>
        </w:rPr>
        <w:t xml:space="preserve">Not every value stream in this catalog is a single-pass pipeline. Career Health &amp; Continuous Monitoring and, once populated, Career Planning &amp; Simulation are explicitly modeled as always-on value streams that run alongside the more linear onboarding-to-application flow rather than at one step within it — inherited directly from Phase A Section 8.4's finding that these two capabilities “run alongside this flow continuously, rather than at a single step, consistent with their longitudinal purpose.”</w:t>
      </w:r>
    </w:p>
    <w:p>
      <w:pPr>
        <w:pStyle w:val="Heading2"/>
        <w:spacing w:after="150" w:before="300"/>
      </w:pPr>
      <w:r>
        <w:t xml:space="preserve">3.7 Evolution Principles</w:t>
      </w:r>
    </w:p>
    <w:p>
      <w:pPr>
        <w:spacing w:after="160"/>
        <w:jc w:val="both"/>
      </w:pPr>
      <w:r>
        <w:rPr>
          <w:sz w:val="21"/>
          <w:szCs w:val="21"/>
        </w:rPr>
        <w:t xml:space="preserve">Value streams evolve — gain a new stage, cross a new domain boundary, or graduate from pre-activation to live — only at evidenced inflection points, never on a calendar date alone, matching Phase A Section 3.5 and Phase B Section 3.5 exactly. This document is revisited at the next EEP-02 phase boundary or when a value stream's participating domain set or maturity changes materially, whichever comes first (Section 18.5).</w:t>
      </w:r>
    </w:p>
    <w:p>
      <w:pPr>
        <w:pStyle w:val="Heading1"/>
        <w:spacing w:after="200" w:before="400"/>
      </w:pPr>
      <w:r>
        <w:t xml:space="preserve">4. Enterprise Value Stream Landscape</w:t>
      </w:r>
    </w:p>
    <w:p>
      <w:pPr>
        <w:spacing w:after="160"/>
        <w:jc w:val="both"/>
      </w:pPr>
      <w:r>
        <w:rPr>
          <w:sz w:val="21"/>
          <w:szCs w:val="21"/>
        </w:rPr>
        <w:t xml:space="preserve">Twelve value streams are catalogued: six explicit and evidenced end to end (Section 5), four implicit or pre-activation but real (Section 6), and two genuine future candidates not yet started (Section 11.3). This portfolio is smaller and more asymmetric in maturity than the program's Special Focus Areas list might suggest — deliberately, per Section 2.4's validation and the same evidentiary discipline Phase A and Phase B applied to their own portfolios.</w:t>
      </w:r>
    </w:p>
    <w:p>
      <w:pPr>
        <w:pStyle w:val="Heading2"/>
        <w:spacing w:after="150" w:before="300"/>
      </w:pPr>
      <w:r>
        <w:t xml:space="preserve">4.1 Current, Fully Evidenced Value Streams</w:t>
      </w:r>
    </w:p>
    <w:p>
      <w:pPr>
        <w:pStyle w:val="ListParagraph"/>
        <w:numPr>
          <w:ilvl w:val="0"/>
          <w:numId w:val="1"/>
        </w:numPr>
        <w:spacing w:after="100"/>
      </w:pPr>
      <w:r>
        <w:t xml:space="preserve">Student Onboarding &amp; Academic Foundation Value Stream — Level 4</w:t>
      </w:r>
    </w:p>
    <w:p>
      <w:pPr>
        <w:pStyle w:val="ListParagraph"/>
        <w:numPr>
          <w:ilvl w:val="0"/>
          <w:numId w:val="1"/>
        </w:numPr>
        <w:spacing w:after="100"/>
      </w:pPr>
      <w:r>
        <w:t xml:space="preserve">Career Discovery &amp; Recommendation Value Stream — Level 3 (compound)</w:t>
      </w:r>
    </w:p>
    <w:p>
      <w:pPr>
        <w:pStyle w:val="ListParagraph"/>
        <w:numPr>
          <w:ilvl w:val="0"/>
          <w:numId w:val="1"/>
        </w:numPr>
        <w:spacing w:after="100"/>
      </w:pPr>
      <w:r>
        <w:t xml:space="preserve">AI Advisory &amp; Conversational Guidance Value Stream — Level 4</w:t>
      </w:r>
    </w:p>
    <w:p>
      <w:pPr>
        <w:pStyle w:val="ListParagraph"/>
        <w:numPr>
          <w:ilvl w:val="0"/>
          <w:numId w:val="1"/>
        </w:numPr>
        <w:spacing w:after="100"/>
      </w:pPr>
      <w:r>
        <w:t xml:space="preserve">Career Health &amp; Continuous Monitoring Value Stream — Level 2/3 (compound, v1/chiV2)</w:t>
      </w:r>
    </w:p>
    <w:p>
      <w:pPr>
        <w:pStyle w:val="ListParagraph"/>
        <w:numPr>
          <w:ilvl w:val="0"/>
          <w:numId w:val="1"/>
        </w:numPr>
        <w:spacing w:after="100"/>
      </w:pPr>
      <w:r>
        <w:t xml:space="preserve">Resume &amp; Application Readiness Value Stream — Level 3</w:t>
      </w:r>
    </w:p>
    <w:p>
      <w:pPr>
        <w:pStyle w:val="ListParagraph"/>
        <w:numPr>
          <w:ilvl w:val="0"/>
          <w:numId w:val="1"/>
        </w:numPr>
        <w:spacing w:after="100"/>
      </w:pPr>
      <w:r>
        <w:t xml:space="preserve">Job Opportunity Discovery Value Stream — Level 2, structurally capped</w:t>
      </w:r>
    </w:p>
    <w:p>
      <w:pPr>
        <w:pStyle w:val="Heading2"/>
        <w:spacing w:after="150" w:before="300"/>
      </w:pPr>
      <w:r>
        <w:t xml:space="preserve">4.2 Current, Partially Evidenced or Pre-Activation Value Streams</w:t>
      </w:r>
    </w:p>
    <w:p>
      <w:pPr>
        <w:pStyle w:val="ListParagraph"/>
        <w:numPr>
          <w:ilvl w:val="0"/>
          <w:numId w:val="1"/>
        </w:numPr>
        <w:spacing w:after="100"/>
      </w:pPr>
      <w:r>
        <w:t xml:space="preserve">Career Planning &amp; Simulation Value Stream — Level 1</w:t>
      </w:r>
    </w:p>
    <w:p>
      <w:pPr>
        <w:pStyle w:val="ListParagraph"/>
        <w:numPr>
          <w:ilvl w:val="0"/>
          <w:numId w:val="1"/>
        </w:numPr>
        <w:spacing w:after="100"/>
      </w:pPr>
      <w:r>
        <w:t xml:space="preserve">Knowledge Evolution Value Stream — Level 2/3 (compound, internal)</w:t>
      </w:r>
    </w:p>
    <w:p>
      <w:pPr>
        <w:pStyle w:val="ListParagraph"/>
        <w:numPr>
          <w:ilvl w:val="0"/>
          <w:numId w:val="1"/>
        </w:numPr>
        <w:spacing w:after="100"/>
      </w:pPr>
      <w:r>
        <w:t xml:space="preserve">Daily Engagement &amp; Growth Value Stream — Level 2, outcome-unvalidated</w:t>
      </w:r>
    </w:p>
    <w:p>
      <w:pPr>
        <w:pStyle w:val="ListParagraph"/>
        <w:numPr>
          <w:ilvl w:val="0"/>
          <w:numId w:val="1"/>
        </w:numPr>
        <w:spacing w:after="100"/>
      </w:pPr>
      <w:r>
        <w:t xml:space="preserve">Platform Trust, Identity &amp; Governance Value Stream — Level 3, enabling/horizontal</w:t>
      </w:r>
    </w:p>
    <w:p>
      <w:pPr>
        <w:pStyle w:val="ListParagraph"/>
        <w:numPr>
          <w:ilvl w:val="0"/>
          <w:numId w:val="1"/>
        </w:numPr>
        <w:spacing w:after="100"/>
      </w:pPr>
      <w:r>
        <w:t xml:space="preserve">Employer Collaboration Value Stream — Level 1, strategic by intent</w:t>
      </w:r>
    </w:p>
    <w:p>
      <w:pPr>
        <w:pStyle w:val="Heading2"/>
        <w:spacing w:after="150" w:before="300"/>
      </w:pPr>
      <w:r>
        <w:t xml:space="preserve">4.3 Future Value Streams (not yet started)</w:t>
      </w:r>
    </w:p>
    <w:p>
      <w:pPr>
        <w:pStyle w:val="ListParagraph"/>
        <w:numPr>
          <w:ilvl w:val="0"/>
          <w:numId w:val="1"/>
        </w:numPr>
        <w:spacing w:after="100"/>
      </w:pPr>
      <w:r>
        <w:t xml:space="preserve">Career Outcome Intelligence Value Stream — Level 0 / not yet evidenced</w:t>
      </w:r>
    </w:p>
    <w:p>
      <w:pPr>
        <w:pStyle w:val="ListParagraph"/>
        <w:numPr>
          <w:ilvl w:val="0"/>
          <w:numId w:val="1"/>
        </w:numPr>
        <w:spacing w:after="100"/>
      </w:pPr>
      <w:r>
        <w:t xml:space="preserve">Partner &amp; Ecosystem Intelligence Value Stream — Level 0 / not yet evidenced, long-term only</w:t>
      </w:r>
    </w:p>
    <w:p>
      <w:pPr>
        <w:pStyle w:val="Heading1"/>
        <w:spacing w:after="200" w:before="400"/>
      </w:pPr>
      <w:r>
        <w:t xml:space="preserve">5. Value Stream Catalog — Tier 1 (Full Profile)</w:t>
      </w:r>
    </w:p>
    <w:p>
      <w:pPr>
        <w:spacing w:after="160"/>
        <w:jc w:val="both"/>
      </w:pPr>
      <w:r>
        <w:rPr>
          <w:sz w:val="21"/>
          <w:szCs w:val="21"/>
        </w:rPr>
        <w:t xml:space="preserve">Catalog methodology, carried forward from Phase A Section 7 and Phase B Section 5: the six value streams carrying the platform's core, currently evidenced end-to-end value receive a full profile against every required field. The remaining six value streams (Section 6 and Section 11.3) are catalogued with the same fields condensed, consistent with the same proportionality principle.</w:t>
      </w:r>
    </w:p>
    <w:p>
      <w:pPr>
        <w:pStyle w:val="Heading2"/>
        <w:spacing w:after="150" w:before="300"/>
      </w:pPr>
      <w:r>
        <w:t xml:space="preserve">5.1 Student Onboarding &amp; Academic Foundation Value Stream  [Core / Foundational]</w:t>
      </w:r>
    </w:p>
    <w:p>
      <w:pPr>
        <w:pStyle w:val="ListParagraph"/>
        <w:numPr>
          <w:ilvl w:val="0"/>
          <w:numId w:val="1"/>
        </w:numPr>
        <w:spacing w:after="100"/>
      </w:pPr>
      <w:r>
        <w:t xml:space="preserve">Purpose: Turn a prospective student's raw documents and self-reported data into a single, trustworthy, longitudinal academic and demographic profile.</w:t>
      </w:r>
    </w:p>
    <w:p>
      <w:pPr>
        <w:pStyle w:val="ListParagraph"/>
        <w:numPr>
          <w:ilvl w:val="0"/>
          <w:numId w:val="1"/>
        </w:numPr>
        <w:spacing w:after="100"/>
      </w:pPr>
      <w:r>
        <w:t xml:space="preserve">Business goal: Establish the one foundational data asset every other value stream in the portfolio reads from.</w:t>
      </w:r>
    </w:p>
    <w:p>
      <w:pPr>
        <w:pStyle w:val="ListParagraph"/>
        <w:numPr>
          <w:ilvl w:val="0"/>
          <w:numId w:val="1"/>
        </w:numPr>
        <w:spacing w:after="100"/>
      </w:pPr>
      <w:r>
        <w:t xml:space="preserve">Trigger: A student begins onboarding (registration, document upload, or self-reported academic data entry).</w:t>
      </w:r>
    </w:p>
    <w:p>
      <w:pPr>
        <w:pStyle w:val="ListParagraph"/>
        <w:numPr>
          <w:ilvl w:val="0"/>
          <w:numId w:val="1"/>
        </w:numPr>
        <w:spacing w:after="100"/>
      </w:pPr>
      <w:r>
        <w:t xml:space="preserve">Business outcome: A complete, PII-classified, versioned academic profile that at least ten downstream AI/runtime systems can trust without independently re-verifying it (Phase A Section 7.5, Phase B Section 5.2).</w:t>
      </w:r>
    </w:p>
    <w:p>
      <w:pPr>
        <w:pStyle w:val="ListParagraph"/>
        <w:numPr>
          <w:ilvl w:val="0"/>
          <w:numId w:val="1"/>
        </w:numPr>
        <w:spacing w:after="100"/>
      </w:pPr>
      <w:r>
        <w:t xml:space="preserve">Primary stakeholder: Students (and, for minors, their guardians, per EEP-01 Phase B's protective-by-default posture).</w:t>
      </w:r>
    </w:p>
    <w:p>
      <w:pPr>
        <w:pStyle w:val="ListParagraph"/>
        <w:numPr>
          <w:ilvl w:val="0"/>
          <w:numId w:val="1"/>
        </w:numPr>
        <w:spacing w:after="100"/>
      </w:pPr>
      <w:r>
        <w:t xml:space="preserve">Secondary stakeholders: Schools and universities (target-state data partners); every downstream value stream owner.</w:t>
      </w:r>
    </w:p>
    <w:p>
      <w:pPr>
        <w:pStyle w:val="ListParagraph"/>
        <w:numPr>
          <w:ilvl w:val="0"/>
          <w:numId w:val="1"/>
        </w:numPr>
        <w:spacing w:after="100"/>
      </w:pPr>
      <w:r>
        <w:t xml:space="preserve">Participating domains: Academic Intelligence Domain (owning); Platform Shared Services Domain (identity and access control, cross-cutting).</w:t>
      </w:r>
    </w:p>
    <w:p>
      <w:pPr>
        <w:pStyle w:val="ListParagraph"/>
        <w:numPr>
          <w:ilvl w:val="0"/>
          <w:numId w:val="1"/>
        </w:numPr>
        <w:spacing w:after="100"/>
      </w:pPr>
      <w:r>
        <w:t xml:space="preserve">Supporting capabilities: Student Onboarding &amp; Qualification Capture; Academic Profile &amp; Context Intelligence.</w:t>
      </w:r>
    </w:p>
    <w:p>
      <w:pPr>
        <w:pStyle w:val="ListParagraph"/>
        <w:numPr>
          <w:ilvl w:val="0"/>
          <w:numId w:val="1"/>
        </w:numPr>
        <w:spacing w:after="100"/>
      </w:pPr>
      <w:r>
        <w:t xml:space="preserve">Business services: student-onboarding, education-intelligence, school, university backend modules; matching front/src student-onboarding features.</w:t>
      </w:r>
    </w:p>
    <w:p>
      <w:pPr>
        <w:pStyle w:val="ListParagraph"/>
        <w:numPr>
          <w:ilvl w:val="0"/>
          <w:numId w:val="1"/>
        </w:numPr>
        <w:spacing w:after="100"/>
      </w:pPr>
      <w:r>
        <w:t xml:space="preserve">Inputs: Onboarding uploads (documents, self-reported data); school/board/curriculum reference data.</w:t>
      </w:r>
    </w:p>
    <w:p>
      <w:pPr>
        <w:pStyle w:val="ListParagraph"/>
        <w:numPr>
          <w:ilvl w:val="0"/>
          <w:numId w:val="1"/>
        </w:numPr>
        <w:spacing w:after="100"/>
      </w:pPr>
      <w:r>
        <w:t xml:space="preserve">Outputs: A trustworthy academic context object, exposed as the shared input to every downstream intelligence value stream.</w:t>
      </w:r>
    </w:p>
    <w:p>
      <w:pPr>
        <w:pStyle w:val="ListParagraph"/>
        <w:numPr>
          <w:ilvl w:val="0"/>
          <w:numId w:val="1"/>
        </w:numPr>
        <w:spacing w:after="100"/>
      </w:pPr>
      <w:r>
        <w:t xml:space="preserve">Business events: Student registered; onboarding step completed; academic profile updated.</w:t>
      </w:r>
    </w:p>
    <w:p>
      <w:pPr>
        <w:pStyle w:val="ListParagraph"/>
        <w:numPr>
          <w:ilvl w:val="0"/>
          <w:numId w:val="1"/>
        </w:numPr>
        <w:spacing w:after="100"/>
      </w:pPr>
      <w:r>
        <w:t xml:space="preserve">Business decisions: Whether a submitted document/qualification is accepted into the profile as verified versus self-reported.</w:t>
      </w:r>
    </w:p>
    <w:p>
      <w:pPr>
        <w:pStyle w:val="ListParagraph"/>
        <w:numPr>
          <w:ilvl w:val="0"/>
          <w:numId w:val="1"/>
        </w:numPr>
        <w:spacing w:after="100"/>
      </w:pPr>
      <w:r>
        <w:t xml:space="preserve">AI participation: None directly at this stage today; the profile this stream produces is the input every AI-mediated value stream downstream consumes.</w:t>
      </w:r>
    </w:p>
    <w:p>
      <w:pPr>
        <w:pStyle w:val="ListParagraph"/>
        <w:numPr>
          <w:ilvl w:val="0"/>
          <w:numId w:val="1"/>
        </w:numPr>
        <w:spacing w:after="100"/>
      </w:pPr>
      <w:r>
        <w:t xml:space="preserve">Knowledge participation: Consumes the canonical skill/role/taxonomy only indirectly, via downstream streams; does not itself draw on Knowledge &amp; Market Intelligence.</w:t>
      </w:r>
    </w:p>
    <w:p>
      <w:pPr>
        <w:pStyle w:val="ListParagraph"/>
        <w:numPr>
          <w:ilvl w:val="0"/>
          <w:numId w:val="1"/>
        </w:numPr>
        <w:spacing w:after="100"/>
      </w:pPr>
      <w:r>
        <w:t xml:space="preserve">KPIs: Profile completeness rate; time-to-complete-onboarding; data freshness; downstream consumer error rate attributable to stale/incomplete profile data.</w:t>
      </w:r>
    </w:p>
    <w:p>
      <w:pPr>
        <w:pStyle w:val="ListParagraph"/>
        <w:numPr>
          <w:ilvl w:val="0"/>
          <w:numId w:val="1"/>
        </w:numPr>
        <w:spacing w:after="100"/>
      </w:pPr>
      <w:r>
        <w:t xml:space="preserve">Current maturity: Level 4 — Integrated. A fully specified, partitioned, PII-classified physical model (EEP-01 Phase A) already exists and is explicitly designed as the shared input to ten-plus downstream systems.</w:t>
      </w:r>
    </w:p>
    <w:p>
      <w:pPr>
        <w:pStyle w:val="ListParagraph"/>
        <w:numPr>
          <w:ilvl w:val="0"/>
          <w:numId w:val="1"/>
        </w:numPr>
        <w:spacing w:after="100"/>
      </w:pPr>
      <w:r>
        <w:t xml:space="preserve">Target maturity: Level 5 — Optimized, once live partner (school/university) data feeds replace self-reported-only intake for a meaningful subset of students.</w:t>
      </w:r>
    </w:p>
    <w:p>
      <w:pPr>
        <w:pStyle w:val="ListParagraph"/>
        <w:numPr>
          <w:ilvl w:val="0"/>
          <w:numId w:val="1"/>
        </w:numPr>
        <w:spacing w:after="100"/>
      </w:pPr>
      <w:r>
        <w:t xml:space="preserve">Business risks: As the single most-depended-on value stream, any data-quality or availability issue here has the widest blast radius of any value stream failure on the platform.</w:t>
      </w:r>
    </w:p>
    <w:p>
      <w:pPr>
        <w:pStyle w:val="ListParagraph"/>
        <w:numPr>
          <w:ilvl w:val="0"/>
          <w:numId w:val="1"/>
        </w:numPr>
        <w:spacing w:after="100"/>
      </w:pPr>
      <w:r>
        <w:t xml:space="preserve">Future evolution: Short-term: none required at the data-model level (already mature); focus on downstream consumption quality. Medium-term: first academic-partner live data feed. Long-term: cross-institution academic-profile portability.</w:t>
      </w:r>
    </w:p>
    <w:p>
      <w:pPr>
        <w:pStyle w:val="Heading2"/>
        <w:spacing w:after="150" w:before="300"/>
      </w:pPr>
      <w:r>
        <w:t xml:space="preserve">5.2 Career Discovery &amp; Recommendation Value Stream  [Strategic / Core]</w:t>
      </w:r>
    </w:p>
    <w:p>
      <w:pPr>
        <w:pStyle w:val="ListParagraph"/>
        <w:numPr>
          <w:ilvl w:val="0"/>
          <w:numId w:val="1"/>
        </w:numPr>
        <w:spacing w:after="100"/>
      </w:pPr>
      <w:r>
        <w:t xml:space="preserve">Purpose: Translate a student's academic and skill profile into a ranked, explainable set of viable career paths and roles.</w:t>
      </w:r>
    </w:p>
    <w:p>
      <w:pPr>
        <w:pStyle w:val="ListParagraph"/>
        <w:numPr>
          <w:ilvl w:val="0"/>
          <w:numId w:val="1"/>
        </w:numPr>
        <w:spacing w:after="100"/>
      </w:pPr>
      <w:r>
        <w:t xml:space="preserve">Business goal: Convert overwhelming, generic career choice into a small, evidence-backed, personally relevant shortlist — the platform's core promise to students.</w:t>
      </w:r>
    </w:p>
    <w:p>
      <w:pPr>
        <w:pStyle w:val="ListParagraph"/>
        <w:numPr>
          <w:ilvl w:val="0"/>
          <w:numId w:val="1"/>
        </w:numPr>
        <w:spacing w:after="100"/>
      </w:pPr>
      <w:r>
        <w:t xml:space="preserve">Trigger: A completed or updated academic profile becomes available, or a student directly requests recommendations via dashboard or copilot.</w:t>
      </w:r>
    </w:p>
    <w:p>
      <w:pPr>
        <w:pStyle w:val="ListParagraph"/>
        <w:numPr>
          <w:ilvl w:val="0"/>
          <w:numId w:val="1"/>
        </w:numPr>
        <w:spacing w:after="100"/>
      </w:pPr>
      <w:r>
        <w:t xml:space="preserve">Business outcome: A ranked, explained set of career/role recommendations the student can act on, plus inputs to the Career Planning &amp; Simulation and Job Opportunity Discovery value streams.</w:t>
      </w:r>
    </w:p>
    <w:p>
      <w:pPr>
        <w:pStyle w:val="ListParagraph"/>
        <w:numPr>
          <w:ilvl w:val="0"/>
          <w:numId w:val="1"/>
        </w:numPr>
        <w:spacing w:after="100"/>
      </w:pPr>
      <w:r>
        <w:t xml:space="preserve">Primary stakeholder: Students.</w:t>
      </w:r>
    </w:p>
    <w:p>
      <w:pPr>
        <w:pStyle w:val="ListParagraph"/>
        <w:numPr>
          <w:ilvl w:val="0"/>
          <w:numId w:val="1"/>
        </w:numPr>
        <w:spacing w:after="100"/>
      </w:pPr>
      <w:r>
        <w:t xml:space="preserve">Secondary stakeholders: Career Health &amp; Continuous Monitoring (as a scoring input); Job Opportunity Discovery (as a ranking input); academic partners (target-state).</w:t>
      </w:r>
    </w:p>
    <w:p>
      <w:pPr>
        <w:pStyle w:val="ListParagraph"/>
        <w:numPr>
          <w:ilvl w:val="0"/>
          <w:numId w:val="1"/>
        </w:numPr>
        <w:spacing w:after="100"/>
      </w:pPr>
      <w:r>
        <w:t xml:space="preserve">Participating domains: Academic Intelligence Domain (profile input) → Knowledge &amp; Market Intelligence Domain (taxonomy and market context) → AI Intelligence Domain (agentic reasoning) → Career Intelligence Domain (recommendation decision, owning).</w:t>
      </w:r>
    </w:p>
    <w:p>
      <w:pPr>
        <w:pStyle w:val="ListParagraph"/>
        <w:numPr>
          <w:ilvl w:val="0"/>
          <w:numId w:val="1"/>
        </w:numPr>
        <w:spacing w:after="100"/>
      </w:pPr>
      <w:r>
        <w:t xml:space="preserve">Supporting capabilities: Career Path Intelligence &amp; Recommendation; Skill &amp; Knowledge Graph Management; AI Career Advisory &amp; Agentic Orchestration.</w:t>
      </w:r>
    </w:p>
    <w:p>
      <w:pPr>
        <w:pStyle w:val="ListParagraph"/>
        <w:numPr>
          <w:ilvl w:val="0"/>
          <w:numId w:val="1"/>
        </w:numPr>
        <w:spacing w:after="100"/>
      </w:pPr>
      <w:r>
        <w:t xml:space="preserve">Business services: career-copilot, careerGraph, roles, roleAliases, jobMatchPremium, qualification.</w:t>
      </w:r>
    </w:p>
    <w:p>
      <w:pPr>
        <w:pStyle w:val="ListParagraph"/>
        <w:numPr>
          <w:ilvl w:val="0"/>
          <w:numId w:val="1"/>
        </w:numPr>
        <w:spacing w:after="100"/>
      </w:pPr>
      <w:r>
        <w:t xml:space="preserve">Inputs: Student academic profile and history; canonical skill/role/job-family taxonomy; target-state live labor-market demand signal.</w:t>
      </w:r>
    </w:p>
    <w:p>
      <w:pPr>
        <w:pStyle w:val="ListParagraph"/>
        <w:numPr>
          <w:ilvl w:val="0"/>
          <w:numId w:val="1"/>
        </w:numPr>
        <w:spacing w:after="100"/>
      </w:pPr>
      <w:r>
        <w:t xml:space="preserve">Outputs: Ranked career/role recommendations with explanation, consumed by Career Planning &amp; Simulation and Job Opportunity Discovery.</w:t>
      </w:r>
    </w:p>
    <w:p>
      <w:pPr>
        <w:pStyle w:val="ListParagraph"/>
        <w:numPr>
          <w:ilvl w:val="0"/>
          <w:numId w:val="1"/>
        </w:numPr>
        <w:spacing w:after="100"/>
      </w:pPr>
      <w:r>
        <w:t xml:space="preserve">Business events: Recommendation generated; recommendation accepted or dismissed.</w:t>
      </w:r>
    </w:p>
    <w:p>
      <w:pPr>
        <w:pStyle w:val="ListParagraph"/>
        <w:numPr>
          <w:ilvl w:val="0"/>
          <w:numId w:val="1"/>
        </w:numPr>
        <w:spacing w:after="100"/>
      </w:pPr>
      <w:r>
        <w:t xml:space="preserve">Business decisions: Which roles surface in a student's ranked shortlist, and how each is explained.</w:t>
      </w:r>
    </w:p>
    <w:p>
      <w:pPr>
        <w:pStyle w:val="ListParagraph"/>
        <w:numPr>
          <w:ilvl w:val="0"/>
          <w:numId w:val="1"/>
        </w:numPr>
        <w:spacing w:after="100"/>
      </w:pPr>
      <w:r>
        <w:t xml:space="preserve">AI participation: Central — six coordinated agent classes and a five-provider fallback chain already run in production (Phase A Section 7.1, Phase B Section 5.4).</w:t>
      </w:r>
    </w:p>
    <w:p>
      <w:pPr>
        <w:pStyle w:val="ListParagraph"/>
        <w:numPr>
          <w:ilvl w:val="0"/>
          <w:numId w:val="1"/>
        </w:numPr>
        <w:spacing w:after="100"/>
      </w:pPr>
      <w:r>
        <w:t xml:space="preserve">Knowledge participation: Direct and structural — this value stream cannot exceed the real-world maturity of the taxonomy and market data it draws on from Knowledge &amp; Market Intelligence.</w:t>
      </w:r>
    </w:p>
    <w:p>
      <w:pPr>
        <w:pStyle w:val="ListParagraph"/>
        <w:numPr>
          <w:ilvl w:val="0"/>
          <w:numId w:val="1"/>
        </w:numPr>
        <w:spacing w:after="100"/>
      </w:pPr>
      <w:r>
        <w:t xml:space="preserve">KPIs: Recommendation acceptance rate; time-to-first-recommendation; recommendation-to-application conversion; explanation comprehension (qualitative).</w:t>
      </w:r>
    </w:p>
    <w:p>
      <w:pPr>
        <w:pStyle w:val="ListParagraph"/>
        <w:numPr>
          <w:ilvl w:val="0"/>
          <w:numId w:val="1"/>
        </w:numPr>
        <w:spacing w:after="100"/>
      </w:pPr>
      <w:r>
        <w:t xml:space="preserve">Current maturity: Level 3 — Managed (compound: the AI advisory and agent-coordination stage is Level 4; the value stream's overall ceiling is set by Knowledge &amp; Market Intelligence's Level 2 Labor Market &amp; Salary Intelligence input).</w:t>
      </w:r>
    </w:p>
    <w:p>
      <w:pPr>
        <w:pStyle w:val="ListParagraph"/>
        <w:numPr>
          <w:ilvl w:val="0"/>
          <w:numId w:val="1"/>
        </w:numPr>
        <w:spacing w:after="100"/>
      </w:pPr>
      <w:r>
        <w:t xml:space="preserve">Target maturity: Level 4 — Integrated, once recommendations are grounded in live, not mock, labor-market data.</w:t>
      </w:r>
    </w:p>
    <w:p>
      <w:pPr>
        <w:pStyle w:val="ListParagraph"/>
        <w:numPr>
          <w:ilvl w:val="0"/>
          <w:numId w:val="1"/>
        </w:numPr>
        <w:spacing w:after="100"/>
      </w:pPr>
      <w:r>
        <w:t xml:space="preserve">Business risks: Recommendation quality is currently bounded by mock market data — a business risk of low-confidence advice being presented with high-confidence framing (Section 16).</w:t>
      </w:r>
    </w:p>
    <w:p>
      <w:pPr>
        <w:pStyle w:val="ListParagraph"/>
        <w:numPr>
          <w:ilvl w:val="0"/>
          <w:numId w:val="1"/>
        </w:numPr>
        <w:spacing w:after="100"/>
      </w:pPr>
      <w:r>
        <w:t xml:space="preserve">Future evolution: Short-term: instrument recommendation acceptance as a first-class KPI. Medium-term: replace mock labor-market input with a live source. Long-term: agents plan their own multi-step recommendation workflow rather than executing a fixed sequence.</w:t>
      </w:r>
    </w:p>
    <w:p>
      <w:pPr>
        <w:pStyle w:val="Heading2"/>
        <w:spacing w:after="150" w:before="300"/>
      </w:pPr>
      <w:r>
        <w:t xml:space="preserve">5.3 AI Advisory &amp; Conversational Guidance Value Stream  [Strategic / AI-native]</w:t>
      </w:r>
    </w:p>
    <w:p>
      <w:pPr>
        <w:pStyle w:val="ListParagraph"/>
        <w:numPr>
          <w:ilvl w:val="0"/>
          <w:numId w:val="1"/>
        </w:numPr>
        <w:spacing w:after="100"/>
      </w:pPr>
      <w:r>
        <w:t xml:space="preserve">Purpose: Give a student real-time, conversational, agent-coordinated career guidance that can reason across their profile, recommendations, and market data on demand.</w:t>
      </w:r>
    </w:p>
    <w:p>
      <w:pPr>
        <w:pStyle w:val="ListParagraph"/>
        <w:numPr>
          <w:ilvl w:val="0"/>
          <w:numId w:val="1"/>
        </w:numPr>
        <w:spacing w:after="100"/>
      </w:pPr>
      <w:r>
        <w:t xml:space="preserve">Business goal: Deliver advisory depth and responsiveness a static recommendation list cannot match — the platform's primary AI-native differentiator.</w:t>
      </w:r>
    </w:p>
    <w:p>
      <w:pPr>
        <w:pStyle w:val="ListParagraph"/>
        <w:numPr>
          <w:ilvl w:val="0"/>
          <w:numId w:val="1"/>
        </w:numPr>
        <w:spacing w:after="100"/>
      </w:pPr>
      <w:r>
        <w:t xml:space="preserve">Trigger: A student initiates a conversation, asks a follow-up question, or requests agent-driven task execution (for example, an opportunity search).</w:t>
      </w:r>
    </w:p>
    <w:p>
      <w:pPr>
        <w:pStyle w:val="ListParagraph"/>
        <w:numPr>
          <w:ilvl w:val="0"/>
          <w:numId w:val="1"/>
        </w:numPr>
        <w:spacing w:after="100"/>
      </w:pPr>
      <w:r>
        <w:t xml:space="preserve">Business outcome: Conversational guidance, task execution, and governed, confidence-scored AI output the student can trust and the platform can audit.</w:t>
      </w:r>
    </w:p>
    <w:p>
      <w:pPr>
        <w:pStyle w:val="ListParagraph"/>
        <w:numPr>
          <w:ilvl w:val="0"/>
          <w:numId w:val="1"/>
        </w:numPr>
        <w:spacing w:after="100"/>
      </w:pPr>
      <w:r>
        <w:t xml:space="preserve">Primary stakeholder: Students.</w:t>
      </w:r>
    </w:p>
    <w:p>
      <w:pPr>
        <w:pStyle w:val="ListParagraph"/>
        <w:numPr>
          <w:ilvl w:val="0"/>
          <w:numId w:val="1"/>
        </w:numPr>
        <w:spacing w:after="100"/>
      </w:pPr>
      <w:r>
        <w:t xml:space="preserve">Secondary stakeholders: Career Discovery &amp; Recommendation (consumes agent output directly); Resume &amp; Application Readiness (consumes generation quality).</w:t>
      </w:r>
    </w:p>
    <w:p>
      <w:pPr>
        <w:pStyle w:val="ListParagraph"/>
        <w:numPr>
          <w:ilvl w:val="0"/>
          <w:numId w:val="1"/>
        </w:numPr>
        <w:spacing w:after="100"/>
      </w:pPr>
      <w:r>
        <w:t xml:space="preserve">Participating domains: Academic Intelligence Domain and Knowledge &amp; Market Intelligence Domain (context) → AI Intelligence Domain (owning: conversational advisory, agent coordination, quality governance) → Career Intelligence Domain and Candidate Experience &amp; Growth Domain (consuming outputs).</w:t>
      </w:r>
    </w:p>
    <w:p>
      <w:pPr>
        <w:pStyle w:val="ListParagraph"/>
        <w:numPr>
          <w:ilvl w:val="0"/>
          <w:numId w:val="1"/>
        </w:numPr>
        <w:spacing w:after="100"/>
      </w:pPr>
      <w:r>
        <w:t xml:space="preserve">Supporting capabilities: AI Career Advisory &amp; Agentic Orchestration; AI Quality &amp; Confidence Governance; AI Personalization &amp; Adaptive Weighting.</w:t>
      </w:r>
    </w:p>
    <w:p>
      <w:pPr>
        <w:pStyle w:val="ListParagraph"/>
        <w:numPr>
          <w:ilvl w:val="0"/>
          <w:numId w:val="1"/>
        </w:numPr>
        <w:spacing w:after="100"/>
      </w:pPr>
      <w:r>
        <w:t xml:space="preserve">Business services: ai-career-advisor, ava-memory, career-copilot's six agent classes, careerAgentCoordinator.js, adaptiveWeight, and the confidence/circuit-breaker/shadow-evaluation modules.</w:t>
      </w:r>
    </w:p>
    <w:p>
      <w:pPr>
        <w:pStyle w:val="ListParagraph"/>
        <w:numPr>
          <w:ilvl w:val="0"/>
          <w:numId w:val="1"/>
        </w:numPr>
        <w:spacing w:after="100"/>
      </w:pPr>
      <w:r>
        <w:t xml:space="preserve">Inputs: Student conversation/queries; academic and career-recommendation context; memory of prior interactions (ava-memory).</w:t>
      </w:r>
    </w:p>
    <w:p>
      <w:pPr>
        <w:pStyle w:val="ListParagraph"/>
        <w:numPr>
          <w:ilvl w:val="0"/>
          <w:numId w:val="1"/>
        </w:numPr>
        <w:spacing w:after="100"/>
      </w:pPr>
      <w:r>
        <w:t xml:space="preserve">Outputs: Conversational responses; agent-driven task results; governed, confidence-scored output consumed by other value streams.</w:t>
      </w:r>
    </w:p>
    <w:p>
      <w:pPr>
        <w:pStyle w:val="ListParagraph"/>
        <w:numPr>
          <w:ilvl w:val="0"/>
          <w:numId w:val="1"/>
        </w:numPr>
        <w:spacing w:after="100"/>
      </w:pPr>
      <w:r>
        <w:t xml:space="preserve">Business events: Advisory session started; agent task executed; AI output confidence-flagged.</w:t>
      </w:r>
    </w:p>
    <w:p>
      <w:pPr>
        <w:pStyle w:val="ListParagraph"/>
        <w:numPr>
          <w:ilvl w:val="0"/>
          <w:numId w:val="1"/>
        </w:numPr>
        <w:spacing w:after="100"/>
      </w:pPr>
      <w:r>
        <w:t xml:space="preserve">Business decisions: Which of five fallback AI providers serves a given request; whether an AI output passes quality governance before reaching a student.</w:t>
      </w:r>
    </w:p>
    <w:p>
      <w:pPr>
        <w:pStyle w:val="ListParagraph"/>
        <w:numPr>
          <w:ilvl w:val="0"/>
          <w:numId w:val="1"/>
        </w:numPr>
        <w:spacing w:after="100"/>
      </w:pPr>
      <w:r>
        <w:t xml:space="preserve">AI participation: This is the value stream's entire reason to exist — the most AI-native journey in the portfolio.</w:t>
      </w:r>
    </w:p>
    <w:p>
      <w:pPr>
        <w:pStyle w:val="ListParagraph"/>
        <w:numPr>
          <w:ilvl w:val="0"/>
          <w:numId w:val="1"/>
        </w:numPr>
        <w:spacing w:after="100"/>
      </w:pPr>
      <w:r>
        <w:t xml:space="preserve">Knowledge participation: Draws directly on Knowledge &amp; Market Intelligence's context-assembly capability at every conversational turn.</w:t>
      </w:r>
    </w:p>
    <w:p>
      <w:pPr>
        <w:pStyle w:val="ListParagraph"/>
        <w:numPr>
          <w:ilvl w:val="0"/>
          <w:numId w:val="1"/>
        </w:numPr>
        <w:spacing w:after="100"/>
      </w:pPr>
      <w:r>
        <w:t xml:space="preserve">KPIs: Advisory session completion rate; agent task success rate; provider fallback frequency; user-reported trust/confidence.</w:t>
      </w:r>
    </w:p>
    <w:p>
      <w:pPr>
        <w:pStyle w:val="ListParagraph"/>
        <w:numPr>
          <w:ilvl w:val="0"/>
          <w:numId w:val="1"/>
        </w:numPr>
        <w:spacing w:after="100"/>
      </w:pPr>
      <w:r>
        <w:t xml:space="preserve">Current maturity: Level 4 — Integrated. Five-provider fallback and six coordinated agent classes already run in production — the most advanced value stream in this catalog by the same evidence Phase A and Phase B independently found for the underlying capability and domain.</w:t>
      </w:r>
    </w:p>
    <w:p>
      <w:pPr>
        <w:pStyle w:val="ListParagraph"/>
        <w:numPr>
          <w:ilvl w:val="0"/>
          <w:numId w:val="1"/>
        </w:numPr>
        <w:spacing w:after="100"/>
      </w:pPr>
      <w:r>
        <w:t xml:space="preserve">Target maturity: Level 5 — Optimized, reached when agents plan their own multi-step tool sequence rather than executing a fixed run(), per EEP-01 Phase F's explicit trigger.</w:t>
      </w:r>
    </w:p>
    <w:p>
      <w:pPr>
        <w:pStyle w:val="ListParagraph"/>
        <w:numPr>
          <w:ilvl w:val="0"/>
          <w:numId w:val="1"/>
        </w:numPr>
        <w:spacing w:after="100"/>
      </w:pPr>
      <w:r>
        <w:t xml:space="preserve">Business risks: Highest AI-vendor concentration risk of any value stream in the portfolio; carries the platform's primary responsible-AI/explainability burden given a minor-heavy user base.</w:t>
      </w:r>
    </w:p>
    <w:p>
      <w:pPr>
        <w:pStyle w:val="ListParagraph"/>
        <w:numPr>
          <w:ilvl w:val="0"/>
          <w:numId w:val="1"/>
        </w:numPr>
        <w:spacing w:after="100"/>
      </w:pPr>
      <w:r>
        <w:t xml:space="preserve">Future evolution: Short-term: instrument agent task success/failure as a first-class metric. Medium-term: introduce a Supervisor/handoff pattern once more than two agents coordinate on one task. Long-term: proactive, not only reactive, advisory triggers tied to Career Health Assessment score changes.</w:t>
      </w:r>
    </w:p>
    <w:p>
      <w:pPr>
        <w:pStyle w:val="Heading2"/>
        <w:spacing w:after="150" w:before="300"/>
      </w:pPr>
      <w:r>
        <w:t xml:space="preserve">5.4 Career Health &amp; Continuous Monitoring Value Stream  [Business / Core / Continuous]</w:t>
      </w:r>
    </w:p>
    <w:p>
      <w:pPr>
        <w:pStyle w:val="ListParagraph"/>
        <w:numPr>
          <w:ilvl w:val="0"/>
          <w:numId w:val="1"/>
        </w:numPr>
        <w:spacing w:after="100"/>
      </w:pPr>
      <w:r>
        <w:t xml:space="preserve">Purpose: Produce a single, explainable, ongoing measure of how career-ready and market-aligned a student currently is, and keep it current as the student's profile and the market change.</w:t>
      </w:r>
    </w:p>
    <w:p>
      <w:pPr>
        <w:pStyle w:val="ListParagraph"/>
        <w:numPr>
          <w:ilvl w:val="0"/>
          <w:numId w:val="1"/>
        </w:numPr>
        <w:spacing w:after="100"/>
      </w:pPr>
      <w:r>
        <w:t xml:space="preserve">Business goal: Give students a simple, trackable signal of employability progress over time, not a one-time score.</w:t>
      </w:r>
    </w:p>
    <w:p>
      <w:pPr>
        <w:pStyle w:val="ListParagraph"/>
        <w:numPr>
          <w:ilvl w:val="0"/>
          <w:numId w:val="1"/>
        </w:numPr>
        <w:spacing w:after="100"/>
      </w:pPr>
      <w:r>
        <w:t xml:space="preserve">Trigger: Continuous — recalculated as academic profile, skill graph position, or engagement history changes, rather than on a single discrete request.</w:t>
      </w:r>
    </w:p>
    <w:p>
      <w:pPr>
        <w:pStyle w:val="ListParagraph"/>
        <w:numPr>
          <w:ilvl w:val="0"/>
          <w:numId w:val="1"/>
        </w:numPr>
        <w:spacing w:after="100"/>
      </w:pPr>
      <w:r>
        <w:t xml:space="preserve">Business outcome: A composite career-health score with contributing factors, visible to the student and available to trigger re-engagement.</w:t>
      </w:r>
    </w:p>
    <w:p>
      <w:pPr>
        <w:pStyle w:val="ListParagraph"/>
        <w:numPr>
          <w:ilvl w:val="0"/>
          <w:numId w:val="1"/>
        </w:numPr>
        <w:spacing w:after="100"/>
      </w:pPr>
      <w:r>
        <w:t xml:space="preserve">Primary stakeholder: Students.</w:t>
      </w:r>
    </w:p>
    <w:p>
      <w:pPr>
        <w:pStyle w:val="ListParagraph"/>
        <w:numPr>
          <w:ilvl w:val="0"/>
          <w:numId w:val="1"/>
        </w:numPr>
        <w:spacing w:after="100"/>
      </w:pPr>
      <w:r>
        <w:t xml:space="preserve">Secondary stakeholders: Academic partners (target-state, cohort-level reporting); Daily Engagement &amp; Growth Value Stream (score changes as a re-engagement trigger).</w:t>
      </w:r>
    </w:p>
    <w:p>
      <w:pPr>
        <w:pStyle w:val="ListParagraph"/>
        <w:numPr>
          <w:ilvl w:val="0"/>
          <w:numId w:val="1"/>
        </w:numPr>
        <w:spacing w:after="100"/>
      </w:pPr>
      <w:r>
        <w:t xml:space="preserve">Participating domains: Academic Intelligence Domain and Knowledge &amp; Market Intelligence Domain (inputs) → Career Intelligence Domain (owning, scoring decision).</w:t>
      </w:r>
    </w:p>
    <w:p>
      <w:pPr>
        <w:pStyle w:val="ListParagraph"/>
        <w:numPr>
          <w:ilvl w:val="0"/>
          <w:numId w:val="1"/>
        </w:numPr>
        <w:spacing w:after="100"/>
      </w:pPr>
      <w:r>
        <w:t xml:space="preserve">Supporting capabilities: Career Health Assessment (v1: careerHealthIndex; in-flight successor: chiV2).</w:t>
      </w:r>
    </w:p>
    <w:p>
      <w:pPr>
        <w:pStyle w:val="ListParagraph"/>
        <w:numPr>
          <w:ilvl w:val="0"/>
          <w:numId w:val="1"/>
        </w:numPr>
        <w:spacing w:after="100"/>
      </w:pPr>
      <w:r>
        <w:t xml:space="preserve">Business services: careerHealthIndex, chiV2.</w:t>
      </w:r>
    </w:p>
    <w:p>
      <w:pPr>
        <w:pStyle w:val="ListParagraph"/>
        <w:numPr>
          <w:ilvl w:val="0"/>
          <w:numId w:val="1"/>
        </w:numPr>
        <w:spacing w:after="100"/>
      </w:pPr>
      <w:r>
        <w:t xml:space="preserve">Inputs: Academic performance and history; skill graph position; engagement history.</w:t>
      </w:r>
    </w:p>
    <w:p>
      <w:pPr>
        <w:pStyle w:val="ListParagraph"/>
        <w:numPr>
          <w:ilvl w:val="0"/>
          <w:numId w:val="1"/>
        </w:numPr>
        <w:spacing w:after="100"/>
      </w:pPr>
      <w:r>
        <w:t xml:space="preserve">Outputs: A composite career-health score and its contributing factors.</w:t>
      </w:r>
    </w:p>
    <w:p>
      <w:pPr>
        <w:pStyle w:val="ListParagraph"/>
        <w:numPr>
          <w:ilvl w:val="0"/>
          <w:numId w:val="1"/>
        </w:numPr>
        <w:spacing w:after="100"/>
      </w:pPr>
      <w:r>
        <w:t xml:space="preserve">Business events: Career health changed; re-engagement triggered.</w:t>
      </w:r>
    </w:p>
    <w:p>
      <w:pPr>
        <w:pStyle w:val="ListParagraph"/>
        <w:numPr>
          <w:ilvl w:val="0"/>
          <w:numId w:val="1"/>
        </w:numPr>
        <w:spacing w:after="100"/>
      </w:pPr>
      <w:r>
        <w:t xml:space="preserve">Business decisions: Which factors compose the score and how they are weighted; when a score change is material enough to notify a student.</w:t>
      </w:r>
    </w:p>
    <w:p>
      <w:pPr>
        <w:pStyle w:val="ListParagraph"/>
        <w:numPr>
          <w:ilvl w:val="0"/>
          <w:numId w:val="1"/>
        </w:numPr>
        <w:spacing w:after="100"/>
      </w:pPr>
      <w:r>
        <w:t xml:space="preserve">AI participation: Model-driven scoring within this value stream is subject to the same AI Quality &amp; Confidence Governance principles as any other AI-mediated output.</w:t>
      </w:r>
    </w:p>
    <w:p>
      <w:pPr>
        <w:pStyle w:val="ListParagraph"/>
        <w:numPr>
          <w:ilvl w:val="0"/>
          <w:numId w:val="1"/>
        </w:numPr>
        <w:spacing w:after="100"/>
      </w:pPr>
      <w:r>
        <w:t xml:space="preserve">Knowledge participation: Partial — draws on skill graph position; does not yet draw on live labor-market data.</w:t>
      </w:r>
    </w:p>
    <w:p>
      <w:pPr>
        <w:pStyle w:val="ListParagraph"/>
        <w:numPr>
          <w:ilvl w:val="0"/>
          <w:numId w:val="1"/>
        </w:numPr>
        <w:spacing w:after="100"/>
      </w:pPr>
      <w:r>
        <w:t xml:space="preserve">KPIs: Score-to-outcome correlation (validation, not vanity); score stability/volatility; re-engagement rate after a score change.</w:t>
      </w:r>
    </w:p>
    <w:p>
      <w:pPr>
        <w:pStyle w:val="ListParagraph"/>
        <w:numPr>
          <w:ilvl w:val="0"/>
          <w:numId w:val="1"/>
        </w:numPr>
        <w:spacing w:after="100"/>
      </w:pPr>
      <w:r>
        <w:t xml:space="preserve">Current maturity: Level 3 — Managed for the v1 implementation; Level 2 — Emerging for the in-flight chiV2 successor, which has not yet fully superseded v1.</w:t>
      </w:r>
    </w:p>
    <w:p>
      <w:pPr>
        <w:pStyle w:val="ListParagraph"/>
        <w:numPr>
          <w:ilvl w:val="0"/>
          <w:numId w:val="1"/>
        </w:numPr>
        <w:spacing w:after="100"/>
      </w:pPr>
      <w:r>
        <w:t xml:space="preserve">Target maturity: Level 4 — Integrated, once chiV2 fully supersedes v1 and the score is validated against real outcome data rather than only internal consistency.</w:t>
      </w:r>
    </w:p>
    <w:p>
      <w:pPr>
        <w:pStyle w:val="ListParagraph"/>
        <w:numPr>
          <w:ilvl w:val="0"/>
          <w:numId w:val="1"/>
        </w:numPr>
        <w:spacing w:after="100"/>
      </w:pPr>
      <w:r>
        <w:t xml:space="preserve">Business risks: Running two parallel scoring implementations risks visible score inconsistency if both are ever exposed to the same student population simultaneously.</w:t>
      </w:r>
    </w:p>
    <w:p>
      <w:pPr>
        <w:pStyle w:val="ListParagraph"/>
        <w:numPr>
          <w:ilvl w:val="0"/>
          <w:numId w:val="1"/>
        </w:numPr>
        <w:spacing w:after="100"/>
      </w:pPr>
      <w:r>
        <w:t xml:space="preserve">Future evolution: Short-term: define and document the v1-to-chiV2 migration/cutover plan explicitly. Medium-term: outcome-validate the score. Long-term: expose the score, with consent, to academic/employer partners.</w:t>
      </w:r>
    </w:p>
    <w:p>
      <w:pPr>
        <w:pStyle w:val="Heading2"/>
        <w:spacing w:after="150" w:before="300"/>
      </w:pPr>
      <w:r>
        <w:t xml:space="preserve">5.5 Resume &amp; Application Readiness Value Stream  [Operational / Core]</w:t>
      </w:r>
    </w:p>
    <w:p>
      <w:pPr>
        <w:pStyle w:val="ListParagraph"/>
        <w:numPr>
          <w:ilvl w:val="0"/>
          <w:numId w:val="1"/>
        </w:numPr>
        <w:spacing w:after="100"/>
      </w:pPr>
      <w:r>
        <w:t xml:space="preserve">Purpose: Convert career intelligence and academic profile data into the concrete application artifacts — resumes, cover letters — a student needs to act on a recommendation or opportunity.</w:t>
      </w:r>
    </w:p>
    <w:p>
      <w:pPr>
        <w:pStyle w:val="ListParagraph"/>
        <w:numPr>
          <w:ilvl w:val="0"/>
          <w:numId w:val="1"/>
        </w:numPr>
        <w:spacing w:after="100"/>
      </w:pPr>
      <w:r>
        <w:t xml:space="preserve">Business goal: Close the loop from insight to action; the value stream most directly tied to a student actually applying to something.</w:t>
      </w:r>
    </w:p>
    <w:p>
      <w:pPr>
        <w:pStyle w:val="ListParagraph"/>
        <w:numPr>
          <w:ilvl w:val="0"/>
          <w:numId w:val="1"/>
        </w:numPr>
        <w:spacing w:after="100"/>
      </w:pPr>
      <w:r>
        <w:t xml:space="preserve">Trigger: A student uploads an existing resume, requests generation or refinement, or acts on a recommendation or opportunity match.</w:t>
      </w:r>
    </w:p>
    <w:p>
      <w:pPr>
        <w:pStyle w:val="ListParagraph"/>
        <w:numPr>
          <w:ilvl w:val="0"/>
          <w:numId w:val="1"/>
        </w:numPr>
        <w:spacing w:after="100"/>
      </w:pPr>
      <w:r>
        <w:t xml:space="preserve">Business outcome: A generated or refined resume and cover letter the student can export and use, plus growth suggestions for improvement.</w:t>
      </w:r>
    </w:p>
    <w:p>
      <w:pPr>
        <w:pStyle w:val="ListParagraph"/>
        <w:numPr>
          <w:ilvl w:val="0"/>
          <w:numId w:val="1"/>
        </w:numPr>
        <w:spacing w:after="100"/>
      </w:pPr>
      <w:r>
        <w:t xml:space="preserve">Primary stakeholder: Students.</w:t>
      </w:r>
    </w:p>
    <w:p>
      <w:pPr>
        <w:pStyle w:val="ListParagraph"/>
        <w:numPr>
          <w:ilvl w:val="0"/>
          <w:numId w:val="1"/>
        </w:numPr>
        <w:spacing w:after="100"/>
      </w:pPr>
      <w:r>
        <w:t xml:space="preserve">Secondary stakeholders: Career Discovery &amp; Recommendation and Job Opportunity Discovery (as upstream context providers whose output this stream tailors documents against).</w:t>
      </w:r>
    </w:p>
    <w:p>
      <w:pPr>
        <w:pStyle w:val="ListParagraph"/>
        <w:numPr>
          <w:ilvl w:val="0"/>
          <w:numId w:val="1"/>
        </w:numPr>
        <w:spacing w:after="100"/>
      </w:pPr>
      <w:r>
        <w:t xml:space="preserve">Participating domains: Academic Intelligence Domain and Career Intelligence Domain (context) → Candidate Experience &amp; Growth Domain (owning) → AI Intelligence Domain (generation quality, cross-cutting).</w:t>
      </w:r>
    </w:p>
    <w:p>
      <w:pPr>
        <w:pStyle w:val="ListParagraph"/>
        <w:numPr>
          <w:ilvl w:val="0"/>
          <w:numId w:val="1"/>
        </w:numPr>
        <w:spacing w:after="100"/>
      </w:pPr>
      <w:r>
        <w:t xml:space="preserve">Supporting capabilities: Candidate Document Generation.</w:t>
      </w:r>
    </w:p>
    <w:p>
      <w:pPr>
        <w:pStyle w:val="ListParagraph"/>
        <w:numPr>
          <w:ilvl w:val="0"/>
          <w:numId w:val="1"/>
        </w:numPr>
        <w:spacing w:after="100"/>
      </w:pPr>
      <w:r>
        <w:t xml:space="preserve">Business services: resume, coverLetter, resumeGrowth, resumeParser; front/src resume components and upload hooks.</w:t>
      </w:r>
    </w:p>
    <w:p>
      <w:pPr>
        <w:pStyle w:val="ListParagraph"/>
        <w:numPr>
          <w:ilvl w:val="0"/>
          <w:numId w:val="1"/>
        </w:numPr>
        <w:spacing w:after="100"/>
      </w:pPr>
      <w:r>
        <w:t xml:space="preserve">Inputs: Uploaded/parsed resume content; academic and skill profile; target role or opportunity context.</w:t>
      </w:r>
    </w:p>
    <w:p>
      <w:pPr>
        <w:pStyle w:val="ListParagraph"/>
        <w:numPr>
          <w:ilvl w:val="0"/>
          <w:numId w:val="1"/>
        </w:numPr>
        <w:spacing w:after="100"/>
      </w:pPr>
      <w:r>
        <w:t xml:space="preserve">Outputs: Generated or refined resume and cover letter artifacts; growth suggestions.</w:t>
      </w:r>
    </w:p>
    <w:p>
      <w:pPr>
        <w:pStyle w:val="ListParagraph"/>
        <w:numPr>
          <w:ilvl w:val="0"/>
          <w:numId w:val="1"/>
        </w:numPr>
        <w:spacing w:after="100"/>
      </w:pPr>
      <w:r>
        <w:t xml:space="preserve">Business events: Resume uploaded; resume improved; application submitted (downstream of this stream, outside current platform ownership).</w:t>
      </w:r>
    </w:p>
    <w:p>
      <w:pPr>
        <w:pStyle w:val="ListParagraph"/>
        <w:numPr>
          <w:ilvl w:val="0"/>
          <w:numId w:val="1"/>
        </w:numPr>
        <w:spacing w:after="100"/>
      </w:pPr>
      <w:r>
        <w:t xml:space="preserve">Business decisions: How closely a generated document is tailored to a specific role versus kept general-purpose.</w:t>
      </w:r>
    </w:p>
    <w:p>
      <w:pPr>
        <w:pStyle w:val="ListParagraph"/>
        <w:numPr>
          <w:ilvl w:val="0"/>
          <w:numId w:val="1"/>
        </w:numPr>
        <w:spacing w:after="100"/>
      </w:pPr>
      <w:r>
        <w:t xml:space="preserve">AI participation: Direct — document generation quality depends on the same AI provider layer serving AI Advisory &amp; Conversational Guidance.</w:t>
      </w:r>
    </w:p>
    <w:p>
      <w:pPr>
        <w:pStyle w:val="ListParagraph"/>
        <w:numPr>
          <w:ilvl w:val="0"/>
          <w:numId w:val="1"/>
        </w:numPr>
        <w:spacing w:after="100"/>
      </w:pPr>
      <w:r>
        <w:t xml:space="preserve">Knowledge participation: Indirect, via the Career Discovery &amp; Recommendation context it draws on for role-targeted tailoring.</w:t>
      </w:r>
    </w:p>
    <w:p>
      <w:pPr>
        <w:pStyle w:val="ListParagraph"/>
        <w:numPr>
          <w:ilvl w:val="0"/>
          <w:numId w:val="1"/>
        </w:numPr>
        <w:spacing w:after="100"/>
      </w:pPr>
      <w:r>
        <w:t xml:space="preserve">KPIs: Document generation completion rate; edit-and-export rate; downstream application rate after generation.</w:t>
      </w:r>
    </w:p>
    <w:p>
      <w:pPr>
        <w:pStyle w:val="ListParagraph"/>
        <w:numPr>
          <w:ilvl w:val="0"/>
          <w:numId w:val="1"/>
        </w:numPr>
        <w:spacing w:after="100"/>
      </w:pPr>
      <w:r>
        <w:t xml:space="preserve">Current maturity: Level 3 — Managed. Both intake (parsing) and generation sides are implemented with dedicated routing layers described in-code as production-grade.</w:t>
      </w:r>
    </w:p>
    <w:p>
      <w:pPr>
        <w:pStyle w:val="ListParagraph"/>
        <w:numPr>
          <w:ilvl w:val="0"/>
          <w:numId w:val="1"/>
        </w:numPr>
        <w:spacing w:after="100"/>
      </w:pPr>
      <w:r>
        <w:t xml:space="preserve">Target maturity: Level 4 — Integrated, once document generation is explicitly grounded in live opportunity requirements, dependent on Job Opportunity Discovery reaching Level 4.</w:t>
      </w:r>
    </w:p>
    <w:p>
      <w:pPr>
        <w:pStyle w:val="ListParagraph"/>
        <w:numPr>
          <w:ilvl w:val="0"/>
          <w:numId w:val="1"/>
        </w:numPr>
        <w:spacing w:after="100"/>
      </w:pPr>
      <w:r>
        <w:t xml:space="preserve">Business risks: Generated content quality is only as good as the AI provider currently serving the request; fallback-chain provider switches could produce visible quality variance.</w:t>
      </w:r>
    </w:p>
    <w:p>
      <w:pPr>
        <w:pStyle w:val="ListParagraph"/>
        <w:numPr>
          <w:ilvl w:val="0"/>
          <w:numId w:val="1"/>
        </w:numPr>
        <w:spacing w:after="100"/>
      </w:pPr>
      <w:r>
        <w:t xml:space="preserve">Future evolution: Short-term: measure edit-and-export rate as a proxy for generation quality. Medium-term: role-specific tailoring once live opportunity data exists. Long-term: direct one-click apply once Employer Collaboration supports it.</w:t>
      </w:r>
    </w:p>
    <w:p>
      <w:pPr>
        <w:pStyle w:val="Heading2"/>
        <w:spacing w:after="150" w:before="300"/>
      </w:pPr>
      <w:r>
        <w:t xml:space="preserve">5.6 Job Opportunity Discovery Value Stream  [Business / Core, Structurally Capped]</w:t>
      </w:r>
    </w:p>
    <w:p>
      <w:pPr>
        <w:pStyle w:val="ListParagraph"/>
        <w:numPr>
          <w:ilvl w:val="0"/>
          <w:numId w:val="1"/>
        </w:numPr>
        <w:spacing w:after="100"/>
      </w:pPr>
      <w:r>
        <w:t xml:space="preserve">Purpose: Surface specific, timely job or opportunity matches to a student, ranked by fit, moving the platform from advisory-only to action-enabling.</w:t>
      </w:r>
    </w:p>
    <w:p>
      <w:pPr>
        <w:pStyle w:val="ListParagraph"/>
        <w:numPr>
          <w:ilvl w:val="0"/>
          <w:numId w:val="1"/>
        </w:numPr>
        <w:spacing w:after="100"/>
      </w:pPr>
      <w:r>
        <w:t xml:space="preserve">Business goal: Bridge career intelligence and an actual application.</w:t>
      </w:r>
    </w:p>
    <w:p>
      <w:pPr>
        <w:pStyle w:val="ListParagraph"/>
        <w:numPr>
          <w:ilvl w:val="0"/>
          <w:numId w:val="1"/>
        </w:numPr>
        <w:spacing w:after="100"/>
      </w:pPr>
      <w:r>
        <w:t xml:space="preserve">Trigger: A career recommendation is generated or updated, or a student directly browses opportunities.</w:t>
      </w:r>
    </w:p>
    <w:p>
      <w:pPr>
        <w:pStyle w:val="ListParagraph"/>
        <w:numPr>
          <w:ilvl w:val="0"/>
          <w:numId w:val="1"/>
        </w:numPr>
        <w:spacing w:after="100"/>
      </w:pPr>
      <w:r>
        <w:t xml:space="preserve">Business outcome: Ranked opportunity matches, including a premium/filtered match tier, that a student can act on via Resume &amp; Application Readiness.</w:t>
      </w:r>
    </w:p>
    <w:p>
      <w:pPr>
        <w:pStyle w:val="ListParagraph"/>
        <w:numPr>
          <w:ilvl w:val="0"/>
          <w:numId w:val="1"/>
        </w:numPr>
        <w:spacing w:after="100"/>
      </w:pPr>
      <w:r>
        <w:t xml:space="preserve">Primary stakeholder: Students.</w:t>
      </w:r>
    </w:p>
    <w:p>
      <w:pPr>
        <w:pStyle w:val="ListParagraph"/>
        <w:numPr>
          <w:ilvl w:val="0"/>
          <w:numId w:val="1"/>
        </w:numPr>
        <w:spacing w:after="100"/>
      </w:pPr>
      <w:r>
        <w:t xml:space="preserve">Secondary stakeholders: Employers and job-board partners (target-state, as the eventual live source of matched opportunities).</w:t>
      </w:r>
    </w:p>
    <w:p>
      <w:pPr>
        <w:pStyle w:val="ListParagraph"/>
        <w:numPr>
          <w:ilvl w:val="0"/>
          <w:numId w:val="1"/>
        </w:numPr>
        <w:spacing w:after="100"/>
      </w:pPr>
      <w:r>
        <w:t xml:space="preserve">Participating domains: Career Intelligence Domain (owning, ranking) → Knowledge &amp; Market Intelligence Domain (market context) → Employer Domain (opportunity source — currently the value stream's binding external constraint).</w:t>
      </w:r>
    </w:p>
    <w:p>
      <w:pPr>
        <w:pStyle w:val="ListParagraph"/>
        <w:numPr>
          <w:ilvl w:val="0"/>
          <w:numId w:val="1"/>
        </w:numPr>
        <w:spacing w:after="100"/>
      </w:pPr>
      <w:r>
        <w:t xml:space="preserve">Supporting capabilities: Career Opportunity Radar; jobMatchPremium; Employer Integration &amp; Opportunity Ingestion.</w:t>
      </w:r>
    </w:p>
    <w:p>
      <w:pPr>
        <w:pStyle w:val="ListParagraph"/>
        <w:numPr>
          <w:ilvl w:val="0"/>
          <w:numId w:val="1"/>
        </w:numPr>
        <w:spacing w:after="100"/>
      </w:pPr>
      <w:r>
        <w:t xml:space="preserve">Business services: opportunityRadar, jobMatchPremium — named in code as an “AI Career Opportunity Radar.”</w:t>
      </w:r>
    </w:p>
    <w:p>
      <w:pPr>
        <w:pStyle w:val="ListParagraph"/>
        <w:numPr>
          <w:ilvl w:val="0"/>
          <w:numId w:val="1"/>
        </w:numPr>
        <w:spacing w:after="100"/>
      </w:pPr>
      <w:r>
        <w:t xml:space="preserve">Inputs: Career recommendations; target-state live job/opportunity feed; student profile.</w:t>
      </w:r>
    </w:p>
    <w:p>
      <w:pPr>
        <w:pStyle w:val="ListParagraph"/>
        <w:numPr>
          <w:ilvl w:val="0"/>
          <w:numId w:val="1"/>
        </w:numPr>
        <w:spacing w:after="100"/>
      </w:pPr>
      <w:r>
        <w:t xml:space="preserve">Outputs: Ranked opportunity matches; premium/filtered match tiers.</w:t>
      </w:r>
    </w:p>
    <w:p>
      <w:pPr>
        <w:pStyle w:val="ListParagraph"/>
        <w:numPr>
          <w:ilvl w:val="0"/>
          <w:numId w:val="1"/>
        </w:numPr>
        <w:spacing w:after="100"/>
      </w:pPr>
      <w:r>
        <w:t xml:space="preserve">Business events: Opportunity discovered; opportunity matched to student.</w:t>
      </w:r>
    </w:p>
    <w:p>
      <w:pPr>
        <w:pStyle w:val="ListParagraph"/>
        <w:numPr>
          <w:ilvl w:val="0"/>
          <w:numId w:val="1"/>
        </w:numPr>
        <w:spacing w:after="100"/>
      </w:pPr>
      <w:r>
        <w:t xml:space="preserve">Business decisions: Which opportunities rank highly enough to surface, and which qualify for the premium tier.</w:t>
      </w:r>
    </w:p>
    <w:p>
      <w:pPr>
        <w:pStyle w:val="ListParagraph"/>
        <w:numPr>
          <w:ilvl w:val="0"/>
          <w:numId w:val="1"/>
        </w:numPr>
        <w:spacing w:after="100"/>
      </w:pPr>
      <w:r>
        <w:t xml:space="preserve">AI participation: Ranking and matching logic draws on the same AI-native infrastructure as Career Discovery &amp; Recommendation.</w:t>
      </w:r>
    </w:p>
    <w:p>
      <w:pPr>
        <w:pStyle w:val="ListParagraph"/>
        <w:numPr>
          <w:ilvl w:val="0"/>
          <w:numId w:val="1"/>
        </w:numPr>
        <w:spacing w:after="100"/>
      </w:pPr>
      <w:r>
        <w:t xml:space="preserve">Knowledge participation: Direct and structural — this value stream's real-world credibility is capped by Knowledge &amp; Market Intelligence's mock-data ceiling and by the Employer Domain's pre-activation state simultaneously.</w:t>
      </w:r>
    </w:p>
    <w:p>
      <w:pPr>
        <w:pStyle w:val="ListParagraph"/>
        <w:numPr>
          <w:ilvl w:val="0"/>
          <w:numId w:val="1"/>
        </w:numPr>
        <w:spacing w:after="100"/>
      </w:pPr>
      <w:r>
        <w:t xml:space="preserve">KPIs: Match relevance (click-through, save, apply rate); feed freshness/coverage once live; premium-tier conversion.</w:t>
      </w:r>
    </w:p>
    <w:p>
      <w:pPr>
        <w:pStyle w:val="ListParagraph"/>
        <w:numPr>
          <w:ilvl w:val="0"/>
          <w:numId w:val="1"/>
        </w:numPr>
        <w:spacing w:after="100"/>
      </w:pPr>
      <w:r>
        <w:t xml:space="preserve">Current maturity: Level 2 — Emerging. Ranking and routing logic exists and is exercised, but its primary input is a mock collector, capping real-world maturity regardless of internal sophistication.</w:t>
      </w:r>
    </w:p>
    <w:p>
      <w:pPr>
        <w:pStyle w:val="ListParagraph"/>
        <w:numPr>
          <w:ilvl w:val="0"/>
          <w:numId w:val="1"/>
        </w:numPr>
        <w:spacing w:after="100"/>
      </w:pPr>
      <w:r>
        <w:t xml:space="preserve">Target maturity: Level 4 — Integrated, gated entirely on the Employer Collaboration Value Stream reaching a live-feed state.</w:t>
      </w:r>
    </w:p>
    <w:p>
      <w:pPr>
        <w:pStyle w:val="ListParagraph"/>
        <w:numPr>
          <w:ilvl w:val="0"/>
          <w:numId w:val="1"/>
        </w:numPr>
        <w:spacing w:after="100"/>
      </w:pPr>
      <w:r>
        <w:t xml:space="preserve">Business risks: Presenting mock-derived matches as if live, even unintentionally, is a credibility and trust risk for a career-stakes product (Section 16).</w:t>
      </w:r>
    </w:p>
    <w:p>
      <w:pPr>
        <w:pStyle w:val="ListParagraph"/>
        <w:numPr>
          <w:ilvl w:val="0"/>
          <w:numId w:val="1"/>
        </w:numPr>
        <w:spacing w:after="100"/>
      </w:pPr>
      <w:r>
        <w:t xml:space="preserve">Future evolution: Short-term: make the mock-data limitation visible in-product rather than implicit. Medium-term: first live feed integration. Long-term: multi-source aggregation across several employer/job-board partners.</w:t>
      </w:r>
    </w:p>
    <w:p>
      <w:pPr>
        <w:pStyle w:val="Heading1"/>
        <w:spacing w:after="200" w:before="400"/>
      </w:pPr>
      <w:r>
        <w:t xml:space="preserve">6. Value Stream Catalog — Tier 2 (Condensed Profiles)</w:t>
      </w:r>
    </w:p>
    <w:p>
      <w:pPr>
        <w:spacing w:after="160"/>
        <w:jc w:val="both"/>
      </w:pPr>
      <w:r>
        <w:rPr>
          <w:sz w:val="21"/>
          <w:szCs w:val="21"/>
        </w:rPr>
        <w:t xml:space="preserve">The following value streams support or extend the Tier 1 catalog rather than carrying primary, currently-evidenced end-to-end strategic differentiation. Each is real and evidenced in the repository at the maturity stated; profiles are condensed to the fields most decision-relevant at this tier, consistent with the proportionality principle applied throughout Phase A, Phase B, and Section 5 above.</w:t>
      </w:r>
    </w:p>
    <w:p>
      <w:pPr>
        <w:pStyle w:val="Heading2"/>
        <w:spacing w:after="150" w:before="300"/>
      </w:pPr>
      <w:r>
        <w:t xml:space="preserve">6.1 Career Planning &amp; Simulation Value Stream  [Strategic / Innovation, Level 1]</w:t>
      </w:r>
    </w:p>
    <w:p>
      <w:pPr>
        <w:pStyle w:val="ListParagraph"/>
        <w:numPr>
          <w:ilvl w:val="0"/>
          <w:numId w:val="1"/>
        </w:numPr>
        <w:spacing w:after="100"/>
      </w:pPr>
      <w:r>
        <w:t xml:space="preserve">Purpose / business goal: Give a student a longitudinal, simulate-able model of their own career trajectory so “what if” decisions can be explored before being made.</w:t>
      </w:r>
    </w:p>
    <w:p>
      <w:pPr>
        <w:pStyle w:val="ListParagraph"/>
        <w:numPr>
          <w:ilvl w:val="0"/>
          <w:numId w:val="1"/>
        </w:numPr>
        <w:spacing w:after="100"/>
      </w:pPr>
      <w:r>
        <w:t xml:space="preserve">Trigger → outcome: A student requests a scenario exploration → (target-state) a simulated trajectory comparison; today, no populated outcome exists behind the module's public interface.</w:t>
      </w:r>
    </w:p>
    <w:p>
      <w:pPr>
        <w:pStyle w:val="ListParagraph"/>
        <w:numPr>
          <w:ilvl w:val="0"/>
          <w:numId w:val="1"/>
        </w:numPr>
        <w:spacing w:after="100"/>
      </w:pPr>
      <w:r>
        <w:t xml:space="preserve">Stakeholders: Students (primary); Career Health &amp; Continuous Monitoring (as a longitudinal data consumer, target-state).</w:t>
      </w:r>
    </w:p>
    <w:p>
      <w:pPr>
        <w:pStyle w:val="ListParagraph"/>
        <w:numPr>
          <w:ilvl w:val="0"/>
          <w:numId w:val="1"/>
        </w:numPr>
        <w:spacing w:after="100"/>
      </w:pPr>
      <w:r>
        <w:t xml:space="preserve">Participating domains: Academic Intelligence Domain (historical data) → Career Intelligence Domain (owning).</w:t>
      </w:r>
    </w:p>
    <w:p>
      <w:pPr>
        <w:pStyle w:val="ListParagraph"/>
        <w:numPr>
          <w:ilvl w:val="0"/>
          <w:numId w:val="1"/>
        </w:numPr>
        <w:spacing w:after="100"/>
      </w:pPr>
      <w:r>
        <w:t xml:space="preserve">Supporting capability: Career Digital Twin &amp; Simulation.</w:t>
      </w:r>
    </w:p>
    <w:p>
      <w:pPr>
        <w:pStyle w:val="ListParagraph"/>
        <w:numPr>
          <w:ilvl w:val="0"/>
          <w:numId w:val="1"/>
        </w:numPr>
        <w:spacing w:after="100"/>
      </w:pPr>
      <w:r>
        <w:t xml:space="preserve">AI / Knowledge participation: Not yet evidenced — the module exists as a defined public interface/boundary with no populated simulation engine behind it.</w:t>
      </w:r>
    </w:p>
    <w:p>
      <w:pPr>
        <w:pStyle w:val="ListParagraph"/>
        <w:numPr>
          <w:ilvl w:val="0"/>
          <w:numId w:val="1"/>
        </w:numPr>
        <w:spacing w:after="100"/>
      </w:pPr>
      <w:r>
        <w:t xml:space="preserve">KPIs (target-state): Simulation usage rate; scenarios explored per active student; correlation between simulation use and later positive outcome signals.</w:t>
      </w:r>
    </w:p>
    <w:p>
      <w:pPr>
        <w:pStyle w:val="ListParagraph"/>
        <w:numPr>
          <w:ilvl w:val="0"/>
          <w:numId w:val="1"/>
        </w:numPr>
        <w:spacing w:after="100"/>
      </w:pPr>
      <w:r>
        <w:t xml:space="preserve">Current → target maturity: Level 1 → Level 3, once the module is populated behind its existing interface and connected to real historical data.</w:t>
      </w:r>
    </w:p>
    <w:p>
      <w:pPr>
        <w:pStyle w:val="ListParagraph"/>
        <w:numPr>
          <w:ilvl w:val="0"/>
          <w:numId w:val="1"/>
        </w:numPr>
        <w:spacing w:after="100"/>
      </w:pPr>
      <w:r>
        <w:t xml:space="preserve">Risk: Presenting a simulation as prediction rather than scenario exploration risks false certainty for a predominantly minor/young-adult population.</w:t>
      </w:r>
    </w:p>
    <w:p>
      <w:pPr>
        <w:pStyle w:val="Heading2"/>
        <w:spacing w:after="150" w:before="300"/>
      </w:pPr>
      <w:r>
        <w:t xml:space="preserve">6.2 Knowledge Evolution Value Stream  [AI-native / Shared / Internal]</w:t>
      </w:r>
    </w:p>
    <w:p>
      <w:pPr>
        <w:pStyle w:val="ListParagraph"/>
        <w:numPr>
          <w:ilvl w:val="0"/>
          <w:numId w:val="1"/>
        </w:numPr>
        <w:spacing w:after="100"/>
      </w:pPr>
      <w:r>
        <w:t xml:space="preserve">Purpose / business goal: Keep the skill/role/job-family taxonomy and labor-market data current, versioned, and trustworthy for every value stream that reasons about the real world.</w:t>
      </w:r>
    </w:p>
    <w:p>
      <w:pPr>
        <w:pStyle w:val="ListParagraph"/>
        <w:numPr>
          <w:ilvl w:val="0"/>
          <w:numId w:val="1"/>
        </w:numPr>
        <w:spacing w:after="100"/>
      </w:pPr>
      <w:r>
        <w:t xml:space="preserve">Trigger → outcome: New market/skill-demand signal becomes available → a versioned taxonomy and market dataset every consuming value stream can trust.</w:t>
      </w:r>
    </w:p>
    <w:p>
      <w:pPr>
        <w:pStyle w:val="ListParagraph"/>
        <w:numPr>
          <w:ilvl w:val="0"/>
          <w:numId w:val="1"/>
        </w:numPr>
        <w:spacing w:after="100"/>
      </w:pPr>
      <w:r>
        <w:t xml:space="preserve">Stakeholders: No direct end-user stakeholder; every other student-facing value stream is a secondary stakeholder and consumer.</w:t>
      </w:r>
    </w:p>
    <w:p>
      <w:pPr>
        <w:pStyle w:val="ListParagraph"/>
        <w:numPr>
          <w:ilvl w:val="0"/>
          <w:numId w:val="1"/>
        </w:numPr>
        <w:spacing w:after="100"/>
      </w:pPr>
      <w:r>
        <w:t xml:space="preserve">Participating domains: Employer Domain (target-state live source) → Knowledge &amp; Market Intelligence Domain (owning, entirely).</w:t>
      </w:r>
    </w:p>
    <w:p>
      <w:pPr>
        <w:pStyle w:val="ListParagraph"/>
        <w:numPr>
          <w:ilvl w:val="0"/>
          <w:numId w:val="1"/>
        </w:numPr>
        <w:spacing w:after="100"/>
      </w:pPr>
      <w:r>
        <w:t xml:space="preserve">Supporting capabilities: Skill &amp; Knowledge Graph Management; Knowledge Runtime &amp; Context Assembly; Labor Market &amp; Salary Intelligence; Source &amp; Market Intelligence Curation.</w:t>
      </w:r>
    </w:p>
    <w:p>
      <w:pPr>
        <w:pStyle w:val="ListParagraph"/>
        <w:numPr>
          <w:ilvl w:val="0"/>
          <w:numId w:val="1"/>
        </w:numPr>
        <w:spacing w:after="100"/>
      </w:pPr>
      <w:r>
        <w:t xml:space="preserve">AI / Knowledge participation: This value stream is the knowledge substrate every AI-mediated value stream in Section 5 draws context from at run time.</w:t>
      </w:r>
    </w:p>
    <w:p>
      <w:pPr>
        <w:pStyle w:val="ListParagraph"/>
        <w:numPr>
          <w:ilvl w:val="0"/>
          <w:numId w:val="1"/>
        </w:numPr>
        <w:spacing w:after="100"/>
      </w:pPr>
      <w:r>
        <w:t xml:space="preserve">KPIs: Taxonomy coverage vs. real-world job postings; graph and feed freshness; downstream value-stream confidence/error rate attributable to this stream's inputs.</w:t>
      </w:r>
    </w:p>
    <w:p>
      <w:pPr>
        <w:pStyle w:val="ListParagraph"/>
        <w:numPr>
          <w:ilvl w:val="0"/>
          <w:numId w:val="1"/>
        </w:numPr>
        <w:spacing w:after="100"/>
      </w:pPr>
      <w:r>
        <w:t xml:space="preserve">Current → target maturity: Level 3 for taxonomy/context assembly, Level 2 for market/salary data → Level 4 across the stream, gated on the same first-signed-partner trigger as Employer Collaboration.</w:t>
      </w:r>
    </w:p>
    <w:p>
      <w:pPr>
        <w:pStyle w:val="ListParagraph"/>
        <w:numPr>
          <w:ilvl w:val="0"/>
          <w:numId w:val="1"/>
        </w:numPr>
        <w:spacing w:after="100"/>
      </w:pPr>
      <w:r>
        <w:t xml:space="preserve">Risk: The single highest-leverage upstream gap in the portfolio — every value stream that reasons about the real world inherits this stream's mock-data ceiling (Section 2.5, Section 16).</w:t>
      </w:r>
    </w:p>
    <w:p>
      <w:pPr>
        <w:pStyle w:val="Heading2"/>
        <w:spacing w:after="150" w:before="300"/>
      </w:pPr>
      <w:r>
        <w:t xml:space="preserve">6.3 Daily Engagement &amp; Growth Value Stream  [Supporting]</w:t>
      </w:r>
    </w:p>
    <w:p>
      <w:pPr>
        <w:pStyle w:val="ListParagraph"/>
        <w:numPr>
          <w:ilvl w:val="0"/>
          <w:numId w:val="1"/>
        </w:numPr>
        <w:spacing w:after="100"/>
      </w:pPr>
      <w:r>
        <w:t xml:space="preserve">Purpose / business goal: Convert intelligence and generated artifacts into sustained, return engagement rather than a single visit.</w:t>
      </w:r>
    </w:p>
    <w:p>
      <w:pPr>
        <w:pStyle w:val="ListParagraph"/>
        <w:numPr>
          <w:ilvl w:val="0"/>
          <w:numId w:val="1"/>
        </w:numPr>
        <w:spacing w:after="100"/>
      </w:pPr>
      <w:r>
        <w:t xml:space="preserve">Trigger → outcome: A recommendation, health-score change, or generated document becomes available → a return visit or continued platform use.</w:t>
      </w:r>
    </w:p>
    <w:p>
      <w:pPr>
        <w:pStyle w:val="ListParagraph"/>
        <w:numPr>
          <w:ilvl w:val="0"/>
          <w:numId w:val="1"/>
        </w:numPr>
        <w:spacing w:after="100"/>
      </w:pPr>
      <w:r>
        <w:t xml:space="preserve">Stakeholders: Students (primary).</w:t>
      </w:r>
    </w:p>
    <w:p>
      <w:pPr>
        <w:pStyle w:val="ListParagraph"/>
        <w:numPr>
          <w:ilvl w:val="0"/>
          <w:numId w:val="1"/>
        </w:numPr>
        <w:spacing w:after="100"/>
      </w:pPr>
      <w:r>
        <w:t xml:space="preserve">Participating domains: Career Intelligence Domain and Candidate Experience &amp; Growth Domain (owning).</w:t>
      </w:r>
    </w:p>
    <w:p>
      <w:pPr>
        <w:pStyle w:val="ListParagraph"/>
        <w:numPr>
          <w:ilvl w:val="0"/>
          <w:numId w:val="1"/>
        </w:numPr>
        <w:spacing w:after="100"/>
      </w:pPr>
      <w:r>
        <w:t xml:space="preserve">Supporting capabilities: Growth &amp; Progress Tracking; Daily Engagement &amp; Conversion.</w:t>
      </w:r>
    </w:p>
    <w:p>
      <w:pPr>
        <w:pStyle w:val="ListParagraph"/>
        <w:numPr>
          <w:ilvl w:val="0"/>
          <w:numId w:val="1"/>
        </w:numPr>
        <w:spacing w:after="100"/>
      </w:pPr>
      <w:r>
        <w:t xml:space="preserve">AI / Knowledge participation: Indirect, via the value streams whose outputs drive engagement triggers.</w:t>
      </w:r>
    </w:p>
    <w:p>
      <w:pPr>
        <w:pStyle w:val="ListParagraph"/>
        <w:numPr>
          <w:ilvl w:val="0"/>
          <w:numId w:val="1"/>
        </w:numPr>
        <w:spacing w:after="100"/>
      </w:pPr>
      <w:r>
        <w:t xml:space="preserve">KPIs: Return-visit rate; progress-tracking completion; engagement-to-conversion rate.</w:t>
      </w:r>
    </w:p>
    <w:p>
      <w:pPr>
        <w:pStyle w:val="ListParagraph"/>
        <w:numPr>
          <w:ilvl w:val="0"/>
          <w:numId w:val="1"/>
        </w:numPr>
        <w:spacing w:after="100"/>
      </w:pPr>
      <w:r>
        <w:t xml:space="preserve">Current → target maturity: Level 2 — Emerging, not yet outcome-validated → Level 3, once engagement is instrumented as a first-class, cross-stream funnel.</w:t>
      </w:r>
    </w:p>
    <w:p>
      <w:pPr>
        <w:pStyle w:val="ListParagraph"/>
        <w:numPr>
          <w:ilvl w:val="0"/>
          <w:numId w:val="1"/>
        </w:numPr>
        <w:spacing w:after="100"/>
      </w:pPr>
      <w:r>
        <w:t xml:space="preserve">Risk: Currently under-measured relative to the maturity of the value streams that feed it.</w:t>
      </w:r>
    </w:p>
    <w:p>
      <w:pPr>
        <w:pStyle w:val="Heading2"/>
        <w:spacing w:after="150" w:before="300"/>
      </w:pPr>
      <w:r>
        <w:t xml:space="preserve">6.4 Platform Trust, Identity &amp; Governance Value Stream  [Enabling / Horizontal, cross-cutting]</w:t>
      </w:r>
    </w:p>
    <w:p>
      <w:pPr>
        <w:pStyle w:val="ListParagraph"/>
        <w:numPr>
          <w:ilvl w:val="0"/>
          <w:numId w:val="1"/>
        </w:numPr>
        <w:spacing w:after="100"/>
      </w:pPr>
      <w:r>
        <w:t xml:space="preserve">Purpose / business goal: Provide the identity, access, configuration, and architectural/AI-quality conformance that every other value stream depends on to operate safely and consistently.</w:t>
      </w:r>
    </w:p>
    <w:p>
      <w:pPr>
        <w:pStyle w:val="ListParagraph"/>
        <w:numPr>
          <w:ilvl w:val="0"/>
          <w:numId w:val="1"/>
        </w:numPr>
        <w:spacing w:after="100"/>
      </w:pPr>
      <w:r>
        <w:t xml:space="preserve">Trigger → outcome: Continuous → every other value stream's transactions are authenticated, authorized, and conformance-checked without needing to reason about it themselves.</w:t>
      </w:r>
    </w:p>
    <w:p>
      <w:pPr>
        <w:pStyle w:val="ListParagraph"/>
        <w:numPr>
          <w:ilvl w:val="0"/>
          <w:numId w:val="1"/>
        </w:numPr>
        <w:spacing w:after="100"/>
      </w:pPr>
      <w:r>
        <w:t xml:space="preserve">Stakeholders: Platform administrators (primary, internal); every other value stream, as a dependent.</w:t>
      </w:r>
    </w:p>
    <w:p>
      <w:pPr>
        <w:pStyle w:val="ListParagraph"/>
        <w:numPr>
          <w:ilvl w:val="0"/>
          <w:numId w:val="1"/>
        </w:numPr>
        <w:spacing w:after="100"/>
      </w:pPr>
      <w:r>
        <w:t xml:space="preserve">Participating domains: Platform Shared Services Domain and Governance Domain (owning, both horizontal across all other domains).</w:t>
      </w:r>
    </w:p>
    <w:p>
      <w:pPr>
        <w:pStyle w:val="ListParagraph"/>
        <w:numPr>
          <w:ilvl w:val="0"/>
          <w:numId w:val="1"/>
        </w:numPr>
        <w:spacing w:after="100"/>
      </w:pPr>
      <w:r>
        <w:t xml:space="preserve">Supporting capabilities: Identity, Roles &amp; Access Administration; Platform Configuration &amp; Secrets Stewardship; User Activity &amp; Behavioral Analytics; Architecture &amp; Engineering Standards Conformance; Intelligence Quality &amp; Drift Monitoring.</w:t>
      </w:r>
    </w:p>
    <w:p>
      <w:pPr>
        <w:pStyle w:val="ListParagraph"/>
        <w:numPr>
          <w:ilvl w:val="0"/>
          <w:numId w:val="1"/>
        </w:numPr>
        <w:spacing w:after="100"/>
      </w:pPr>
      <w:r>
        <w:t xml:space="preserve">AI / Knowledge participation: Intelligence Quality &amp; Drift Monitoring is the value stream's direct governance touchpoint over every other stream's AI output.</w:t>
      </w:r>
    </w:p>
    <w:p>
      <w:pPr>
        <w:pStyle w:val="ListParagraph"/>
        <w:numPr>
          <w:ilvl w:val="0"/>
          <w:numId w:val="1"/>
        </w:numPr>
        <w:spacing w:after="100"/>
      </w:pPr>
      <w:r>
        <w:t xml:space="preserve">KPIs: Conformance drift-item count; access-control incident rate; configuration/secrets hygiene findings.</w:t>
      </w:r>
    </w:p>
    <w:p>
      <w:pPr>
        <w:pStyle w:val="ListParagraph"/>
        <w:numPr>
          <w:ilvl w:val="0"/>
          <w:numId w:val="1"/>
        </w:numPr>
        <w:spacing w:after="100"/>
      </w:pPr>
      <w:r>
        <w:t xml:space="preserve">Current → target maturity: Level 3, with documented drift (four items, per EEP-01 Phase J) → Level 4, once those items close and conformance is continuously enforced rather than periodically audited.</w:t>
      </w:r>
    </w:p>
    <w:p>
      <w:pPr>
        <w:pStyle w:val="ListParagraph"/>
        <w:numPr>
          <w:ilvl w:val="0"/>
          <w:numId w:val="1"/>
        </w:numPr>
        <w:spacing w:after="100"/>
      </w:pPr>
      <w:r>
        <w:t xml:space="preserve">Risk: A governance function that is not itself fully conformant reduces confidence in every other value stream's stated maturity in this catalog until those items close — inherited directly from Phase B Section 16.6.</w:t>
      </w:r>
    </w:p>
    <w:p>
      <w:pPr>
        <w:pStyle w:val="Heading2"/>
        <w:spacing w:after="150" w:before="300"/>
      </w:pPr>
      <w:r>
        <w:t xml:space="preserve">6.5 Employer Collaboration Value Stream  [Strategic, Level 1, Pre-Activation]</w:t>
      </w:r>
    </w:p>
    <w:p>
      <w:pPr>
        <w:pStyle w:val="ListParagraph"/>
        <w:numPr>
          <w:ilvl w:val="0"/>
          <w:numId w:val="1"/>
        </w:numPr>
        <w:spacing w:after="100"/>
      </w:pPr>
      <w:r>
        <w:t xml:space="preserve">Purpose / business goal: Bring real employers and job boards into the platform as live, structured partners, and eventually as a two-sided marketplace.</w:t>
      </w:r>
    </w:p>
    <w:p>
      <w:pPr>
        <w:pStyle w:val="ListParagraph"/>
        <w:numPr>
          <w:ilvl w:val="0"/>
          <w:numId w:val="1"/>
        </w:numPr>
        <w:spacing w:after="100"/>
      </w:pPr>
      <w:r>
        <w:t xml:space="preserve">Trigger → outcome (target-state): A partner signs a data-sharing agreement → live opportunity and market data flowing into Job Opportunity Discovery and Knowledge Evolution.</w:t>
      </w:r>
    </w:p>
    <w:p>
      <w:pPr>
        <w:pStyle w:val="ListParagraph"/>
        <w:numPr>
          <w:ilvl w:val="0"/>
          <w:numId w:val="1"/>
        </w:numPr>
        <w:spacing w:after="100"/>
      </w:pPr>
      <w:r>
        <w:t xml:space="preserve">Stakeholders: Employers and job boards (target-state, primary); every value stream that consumes real-world market or opportunity data (secondary).</w:t>
      </w:r>
    </w:p>
    <w:p>
      <w:pPr>
        <w:pStyle w:val="ListParagraph"/>
        <w:numPr>
          <w:ilvl w:val="0"/>
          <w:numId w:val="1"/>
        </w:numPr>
        <w:spacing w:after="100"/>
      </w:pPr>
      <w:r>
        <w:t xml:space="preserve">Participating domains: Employer Domain (owning) → Career Intelligence Domain and Knowledge &amp; Market Intelligence Domain (consuming, once live).</w:t>
      </w:r>
    </w:p>
    <w:p>
      <w:pPr>
        <w:pStyle w:val="ListParagraph"/>
        <w:numPr>
          <w:ilvl w:val="0"/>
          <w:numId w:val="1"/>
        </w:numPr>
        <w:spacing w:after="100"/>
      </w:pPr>
      <w:r>
        <w:t xml:space="preserve">Supporting capability: Employer Integration &amp; Opportunity Ingestion.</w:t>
      </w:r>
    </w:p>
    <w:p>
      <w:pPr>
        <w:pStyle w:val="ListParagraph"/>
        <w:numPr>
          <w:ilvl w:val="0"/>
          <w:numId w:val="1"/>
        </w:numPr>
        <w:spacing w:after="100"/>
      </w:pPr>
      <w:r>
        <w:t xml:space="preserve">AI / Knowledge participation: None yet — this value stream is entirely upstream of, and currently blocking, the AI- and knowledge-mediated value streams that depend on it.</w:t>
      </w:r>
    </w:p>
    <w:p>
      <w:pPr>
        <w:pStyle w:val="ListParagraph"/>
        <w:numPr>
          <w:ilvl w:val="0"/>
          <w:numId w:val="1"/>
        </w:numPr>
        <w:spacing w:after="100"/>
      </w:pPr>
      <w:r>
        <w:t xml:space="preserve">KPIs (target-state): Number of live partner integrations; feed volume and freshness; opportunity-to-application conversion once live.</w:t>
      </w:r>
    </w:p>
    <w:p>
      <w:pPr>
        <w:pStyle w:val="ListParagraph"/>
        <w:numPr>
          <w:ilvl w:val="0"/>
          <w:numId w:val="1"/>
        </w:numPr>
        <w:spacing w:after="100"/>
      </w:pPr>
      <w:r>
        <w:t xml:space="preserve">Current → target maturity: Level 1 → Level 3 at first signed partner contract (the explicit EEP-01/Phase A/Phase B trigger); Level 4+ requires multiple concurrent live partners.</w:t>
      </w:r>
    </w:p>
    <w:p>
      <w:pPr>
        <w:pStyle w:val="ListParagraph"/>
        <w:numPr>
          <w:ilvl w:val="0"/>
          <w:numId w:val="1"/>
        </w:numPr>
        <w:spacing w:after="100"/>
      </w:pPr>
      <w:r>
        <w:t xml:space="preserve">Risk: The single largest strategic-vs-actual gap in the portfolio; every downstream claim of “real labor market data” elsewhere in this catalog is currently unsupported until this value stream activates (Section 16).</w:t>
      </w:r>
    </w:p>
    <w:p>
      <w:pPr>
        <w:pStyle w:val="Heading2"/>
        <w:spacing w:after="150" w:before="300"/>
      </w:pPr>
      <w:r>
        <w:t xml:space="preserve">6.6 Career Outcome Intelligence Value Stream  [Future, Not Yet Started]</w:t>
      </w:r>
    </w:p>
    <w:p>
      <w:pPr>
        <w:pStyle w:val="ListParagraph"/>
        <w:numPr>
          <w:ilvl w:val="0"/>
          <w:numId w:val="1"/>
        </w:numPr>
        <w:spacing w:after="100"/>
      </w:pPr>
      <w:r>
        <w:t xml:space="preserve">Purpose / business goal: Connect a recommendation, health score, or generated document to a confirmed downstream employment or salary outcome, closing the loop this catalog's own KPI language (score-to-outcome correlation, recommendation-to-application conversion) currently assumes but does not yet measure.</w:t>
      </w:r>
    </w:p>
    <w:p>
      <w:pPr>
        <w:pStyle w:val="ListParagraph"/>
        <w:numPr>
          <w:ilvl w:val="0"/>
          <w:numId w:val="1"/>
        </w:numPr>
        <w:spacing w:after="100"/>
      </w:pPr>
      <w:r>
        <w:t xml:space="preserve">Stakeholders: Students (ultimate beneficiary of validated advice); every value-stream owner in Section 5 (as a consumer of outcome-validation data).</w:t>
      </w:r>
    </w:p>
    <w:p>
      <w:pPr>
        <w:pStyle w:val="ListParagraph"/>
        <w:numPr>
          <w:ilvl w:val="0"/>
          <w:numId w:val="1"/>
        </w:numPr>
        <w:spacing w:after="100"/>
      </w:pPr>
      <w:r>
        <w:t xml:space="preserve">Participating domains (target-state): Career Intelligence Domain and Candidate Experience &amp; Growth Domain, jointly, per Phase B Section 11.3's own framing.</w:t>
      </w:r>
    </w:p>
    <w:p>
      <w:pPr>
        <w:pStyle w:val="ListParagraph"/>
        <w:numPr>
          <w:ilvl w:val="0"/>
          <w:numId w:val="1"/>
        </w:numPr>
        <w:spacing w:after="100"/>
      </w:pPr>
      <w:r>
        <w:t xml:space="preserve">Current maturity: Level 0 — not evidenced anywhere in the repository as an owned, instrumented flow today.</w:t>
      </w:r>
    </w:p>
    <w:p>
      <w:pPr>
        <w:pStyle w:val="ListParagraph"/>
        <w:numPr>
          <w:ilvl w:val="0"/>
          <w:numId w:val="1"/>
        </w:numPr>
        <w:spacing w:after="100"/>
      </w:pPr>
      <w:r>
        <w:t xml:space="preserve">Adoption trigger: A dedicated outcome-tracking data pipeline (post-graduation or post-application employment/salary signal) is built and consumed by two or more existing value streams — matching Phase B Section 11.3's domain-level trigger exactly.</w:t>
      </w:r>
    </w:p>
    <w:p>
      <w:pPr>
        <w:pStyle w:val="Heading1"/>
        <w:spacing w:after="200" w:before="400"/>
      </w:pPr>
      <w:r>
        <w:t xml:space="preserve">7. Stakeholder Value Mapping</w:t>
      </w:r>
    </w:p>
    <w:p>
      <w:pPr>
        <w:spacing w:after="160"/>
        <w:jc w:val="both"/>
      </w:pPr>
      <w:r>
        <w:rPr>
          <w:sz w:val="21"/>
          <w:szCs w:val="21"/>
        </w:rPr>
        <w:t xml:space="preserve">This section maps the value streams catalogued in Section 5 and Section 6 to the stakeholders they serve, distinguishing stakeholders with an active, evidenced value stream today from stakeholders named only in target-state or future value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tcPr>
          <w:p>
            <w:r>
              <w:rPr>
                <w:b/>
                <w:bCs/>
                <w:color w:val="FFFFFF"/>
                <w:sz w:val="18"/>
                <w:szCs w:val="18"/>
              </w:rPr>
              <w:t xml:space="preserve">Stakeholder</w:t>
            </w:r>
          </w:p>
        </w:tc>
        <w:tc>
          <w:tcPr>
            <w:tcW w:type="dxa" w:w="3120"/>
            <w:shd w:fill="1F3864" w:color="auto" w:val="clear"/>
            <w:tcMar>
              <w:top w:type="dxa" w:w="80"/>
              <w:left w:type="dxa" w:w="100"/>
              <w:bottom w:type="dxa" w:w="80"/>
              <w:right w:type="dxa" w:w="100"/>
            </w:tcMar>
          </w:tcPr>
          <w:p>
            <w:r>
              <w:rPr>
                <w:b/>
                <w:bCs/>
                <w:color w:val="FFFFFF"/>
                <w:sz w:val="18"/>
                <w:szCs w:val="18"/>
              </w:rPr>
              <w:t xml:space="preserve">Current-state value streams</w:t>
            </w:r>
          </w:p>
        </w:tc>
        <w:tc>
          <w:tcPr>
            <w:tcW w:type="dxa" w:w="3120"/>
            <w:shd w:fill="1F3864" w:color="auto" w:val="clear"/>
            <w:tcMar>
              <w:top w:type="dxa" w:w="80"/>
              <w:left w:type="dxa" w:w="100"/>
              <w:bottom w:type="dxa" w:w="80"/>
              <w:right w:type="dxa" w:w="100"/>
            </w:tcMar>
          </w:tcPr>
          <w:p>
            <w:r>
              <w:rPr>
                <w:b/>
                <w:bCs/>
                <w:color w:val="FFFFFF"/>
                <w:sz w:val="18"/>
                <w:szCs w:val="18"/>
              </w:rPr>
              <w:t xml:space="preserve">Target/future value streams</w:t>
            </w:r>
          </w:p>
        </w:tc>
      </w:tr>
      <w:tr>
        <w:tc>
          <w:tcPr>
            <w:tcW w:type="dxa" w:w="3120"/>
            <w:shd w:fill="FFFFFF" w:color="auto" w:val="clear"/>
            <w:tcMar>
              <w:top w:type="dxa" w:w="80"/>
              <w:left w:type="dxa" w:w="100"/>
              <w:bottom w:type="dxa" w:w="80"/>
              <w:right w:type="dxa" w:w="100"/>
            </w:tcMar>
          </w:tcPr>
          <w:p>
            <w:r>
              <w:rPr>
                <w:sz w:val="18"/>
                <w:szCs w:val="18"/>
              </w:rPr>
              <w:t xml:space="preserve">Students</w:t>
            </w:r>
          </w:p>
        </w:tc>
        <w:tc>
          <w:tcPr>
            <w:tcW w:type="dxa" w:w="3120"/>
            <w:shd w:fill="FFFFFF" w:color="auto" w:val="clear"/>
            <w:tcMar>
              <w:top w:type="dxa" w:w="80"/>
              <w:left w:type="dxa" w:w="100"/>
              <w:bottom w:type="dxa" w:w="80"/>
              <w:right w:type="dxa" w:w="100"/>
            </w:tcMar>
          </w:tcPr>
          <w:p>
            <w:r>
              <w:rPr>
                <w:sz w:val="18"/>
                <w:szCs w:val="18"/>
              </w:rPr>
              <w:t xml:space="preserve">Student Onboarding &amp; Academic Foundation; Career Discovery &amp; Recommendation; AI Advisory &amp; Conversational Guidance; Career Health &amp; Continuous Monitoring; Resume &amp; Application Readiness; Job Opportunity Discovery; Career Planning &amp; Simulation (Level 1); Daily Engagement &amp; Growth</w:t>
            </w:r>
          </w:p>
        </w:tc>
        <w:tc>
          <w:tcPr>
            <w:tcW w:type="dxa" w:w="3120"/>
            <w:shd w:fill="FFFFFF" w:color="auto" w:val="clear"/>
            <w:tcMar>
              <w:top w:type="dxa" w:w="80"/>
              <w:left w:type="dxa" w:w="100"/>
              <w:bottom w:type="dxa" w:w="80"/>
              <w:right w:type="dxa" w:w="100"/>
            </w:tcMar>
          </w:tcPr>
          <w:p>
            <w:r>
              <w:rPr>
                <w:sz w:val="18"/>
                <w:szCs w:val="18"/>
              </w:rPr>
              <w:t xml:space="preserve">Career Outcome Intelligence</w:t>
            </w:r>
          </w:p>
        </w:tc>
      </w:tr>
      <w:tr>
        <w:tc>
          <w:tcPr>
            <w:tcW w:type="dxa" w:w="3120"/>
            <w:shd w:fill="F2F2F2" w:color="auto" w:val="clear"/>
            <w:tcMar>
              <w:top w:type="dxa" w:w="80"/>
              <w:left w:type="dxa" w:w="100"/>
              <w:bottom w:type="dxa" w:w="80"/>
              <w:right w:type="dxa" w:w="100"/>
            </w:tcMar>
          </w:tcPr>
          <w:p>
            <w:r>
              <w:rPr>
                <w:sz w:val="18"/>
                <w:szCs w:val="18"/>
              </w:rPr>
              <w:t xml:space="preserve">Parents / guardians</w:t>
            </w:r>
          </w:p>
        </w:tc>
        <w:tc>
          <w:tcPr>
            <w:tcW w:type="dxa" w:w="3120"/>
            <w:shd w:fill="F2F2F2" w:color="auto" w:val="clear"/>
            <w:tcMar>
              <w:top w:type="dxa" w:w="80"/>
              <w:left w:type="dxa" w:w="100"/>
              <w:bottom w:type="dxa" w:w="80"/>
              <w:right w:type="dxa" w:w="100"/>
            </w:tcMar>
          </w:tcPr>
          <w:p>
            <w:r>
              <w:rPr>
                <w:sz w:val="18"/>
                <w:szCs w:val="18"/>
              </w:rPr>
              <w:t xml:space="preserve">Indirect beneficiary of Academic Intelligence's protective-by-default data posture; no dedicated value stream addresses parents directly</w:t>
            </w:r>
          </w:p>
        </w:tc>
        <w:tc>
          <w:tcPr>
            <w:tcW w:type="dxa" w:w="3120"/>
            <w:shd w:fill="F2F2F2" w:color="auto" w:val="clear"/>
            <w:tcMar>
              <w:top w:type="dxa" w:w="80"/>
              <w:left w:type="dxa" w:w="100"/>
              <w:bottom w:type="dxa" w:w="80"/>
              <w:right w:type="dxa" w:w="100"/>
            </w:tcMar>
          </w:tcPr>
          <w:p>
            <w:r>
              <w:rPr>
                <w:sz w:val="18"/>
                <w:szCs w:val="18"/>
              </w:rPr>
              <w:t xml:space="preserve">None evidenced</w:t>
            </w:r>
          </w:p>
        </w:tc>
      </w:tr>
      <w:tr>
        <w:tc>
          <w:tcPr>
            <w:tcW w:type="dxa" w:w="3120"/>
            <w:shd w:fill="FFFFFF" w:color="auto" w:val="clear"/>
            <w:tcMar>
              <w:top w:type="dxa" w:w="80"/>
              <w:left w:type="dxa" w:w="100"/>
              <w:bottom w:type="dxa" w:w="80"/>
              <w:right w:type="dxa" w:w="100"/>
            </w:tcMar>
          </w:tcPr>
          <w:p>
            <w:r>
              <w:rPr>
                <w:sz w:val="18"/>
                <w:szCs w:val="18"/>
              </w:rPr>
              <w:t xml:space="preserve">Schools / universities</w:t>
            </w:r>
          </w:p>
        </w:tc>
        <w:tc>
          <w:tcPr>
            <w:tcW w:type="dxa" w:w="3120"/>
            <w:shd w:fill="FFFFFF" w:color="auto" w:val="clear"/>
            <w:tcMar>
              <w:top w:type="dxa" w:w="80"/>
              <w:left w:type="dxa" w:w="100"/>
              <w:bottom w:type="dxa" w:w="80"/>
              <w:right w:type="dxa" w:w="100"/>
            </w:tcMar>
          </w:tcPr>
          <w:p>
            <w:r>
              <w:rPr>
                <w:sz w:val="18"/>
                <w:szCs w:val="18"/>
              </w:rPr>
              <w:t xml:space="preserve">None with live data exchange today</w:t>
            </w:r>
          </w:p>
        </w:tc>
        <w:tc>
          <w:tcPr>
            <w:tcW w:type="dxa" w:w="3120"/>
            <w:shd w:fill="FFFFFF" w:color="auto" w:val="clear"/>
            <w:tcMar>
              <w:top w:type="dxa" w:w="80"/>
              <w:left w:type="dxa" w:w="100"/>
              <w:bottom w:type="dxa" w:w="80"/>
              <w:right w:type="dxa" w:w="100"/>
            </w:tcMar>
          </w:tcPr>
          <w:p>
            <w:r>
              <w:rPr>
                <w:sz w:val="18"/>
                <w:szCs w:val="18"/>
              </w:rPr>
              <w:t xml:space="preserve">Student Onboarding &amp; Academic Foundation (live partner feed); Career Health &amp; Continuous Monitoring (cohort reporting); Partner &amp; Ecosystem Intelligence</w:t>
            </w:r>
          </w:p>
        </w:tc>
      </w:tr>
      <w:tr>
        <w:tc>
          <w:tcPr>
            <w:tcW w:type="dxa" w:w="3120"/>
            <w:shd w:fill="F2F2F2" w:color="auto" w:val="clear"/>
            <w:tcMar>
              <w:top w:type="dxa" w:w="80"/>
              <w:left w:type="dxa" w:w="100"/>
              <w:bottom w:type="dxa" w:w="80"/>
              <w:right w:type="dxa" w:w="100"/>
            </w:tcMar>
          </w:tcPr>
          <w:p>
            <w:r>
              <w:rPr>
                <w:sz w:val="18"/>
                <w:szCs w:val="18"/>
              </w:rPr>
              <w:t xml:space="preserve">Employers</w:t>
            </w:r>
          </w:p>
        </w:tc>
        <w:tc>
          <w:tcPr>
            <w:tcW w:type="dxa" w:w="3120"/>
            <w:shd w:fill="F2F2F2" w:color="auto" w:val="clear"/>
            <w:tcMar>
              <w:top w:type="dxa" w:w="80"/>
              <w:left w:type="dxa" w:w="100"/>
              <w:bottom w:type="dxa" w:w="80"/>
              <w:right w:type="dxa" w:w="100"/>
            </w:tcMar>
          </w:tcPr>
          <w:p>
            <w:r>
              <w:rPr>
                <w:sz w:val="18"/>
                <w:szCs w:val="18"/>
              </w:rPr>
              <w:t xml:space="preserve">None — Employer Domain is pre-activation</w:t>
            </w:r>
          </w:p>
        </w:tc>
        <w:tc>
          <w:tcPr>
            <w:tcW w:type="dxa" w:w="3120"/>
            <w:shd w:fill="F2F2F2" w:color="auto" w:val="clear"/>
            <w:tcMar>
              <w:top w:type="dxa" w:w="80"/>
              <w:left w:type="dxa" w:w="100"/>
              <w:bottom w:type="dxa" w:w="80"/>
              <w:right w:type="dxa" w:w="100"/>
            </w:tcMar>
          </w:tcPr>
          <w:p>
            <w:r>
              <w:rPr>
                <w:sz w:val="18"/>
                <w:szCs w:val="18"/>
              </w:rPr>
              <w:t xml:space="preserve">Employer Collaboration; Job Opportunity Discovery (as a live source)</w:t>
            </w:r>
          </w:p>
        </w:tc>
      </w:tr>
      <w:tr>
        <w:tc>
          <w:tcPr>
            <w:tcW w:type="dxa" w:w="3120"/>
            <w:shd w:fill="FFFFFF" w:color="auto" w:val="clear"/>
            <w:tcMar>
              <w:top w:type="dxa" w:w="80"/>
              <w:left w:type="dxa" w:w="100"/>
              <w:bottom w:type="dxa" w:w="80"/>
              <w:right w:type="dxa" w:w="100"/>
            </w:tcMar>
          </w:tcPr>
          <w:p>
            <w:r>
              <w:rPr>
                <w:sz w:val="18"/>
                <w:szCs w:val="18"/>
              </w:rPr>
              <w:t xml:space="preserve">Recruiters</w:t>
            </w:r>
          </w:p>
        </w:tc>
        <w:tc>
          <w:tcPr>
            <w:tcW w:type="dxa" w:w="3120"/>
            <w:shd w:fill="FFFFFF" w:color="auto" w:val="clear"/>
            <w:tcMar>
              <w:top w:type="dxa" w:w="80"/>
              <w:left w:type="dxa" w:w="100"/>
              <w:bottom w:type="dxa" w:w="80"/>
              <w:right w:type="dxa" w:w="100"/>
            </w:tcMar>
          </w:tcPr>
          <w:p>
            <w:r>
              <w:rPr>
                <w:sz w:val="18"/>
                <w:szCs w:val="18"/>
              </w:rPr>
              <w:t xml:space="preserve">None evidenced</w:t>
            </w:r>
          </w:p>
        </w:tc>
        <w:tc>
          <w:tcPr>
            <w:tcW w:type="dxa" w:w="3120"/>
            <w:shd w:fill="FFFFFF" w:color="auto" w:val="clear"/>
            <w:tcMar>
              <w:top w:type="dxa" w:w="80"/>
              <w:left w:type="dxa" w:w="100"/>
              <w:bottom w:type="dxa" w:w="80"/>
              <w:right w:type="dxa" w:w="100"/>
            </w:tcMar>
          </w:tcPr>
          <w:p>
            <w:r>
              <w:rPr>
                <w:sz w:val="18"/>
                <w:szCs w:val="18"/>
              </w:rPr>
              <w:t xml:space="preserve">Employer Collaboration, once employer-facing self-service capabilities exist</w:t>
            </w:r>
          </w:p>
        </w:tc>
      </w:tr>
      <w:tr>
        <w:tc>
          <w:tcPr>
            <w:tcW w:type="dxa" w:w="3120"/>
            <w:shd w:fill="F2F2F2" w:color="auto" w:val="clear"/>
            <w:tcMar>
              <w:top w:type="dxa" w:w="80"/>
              <w:left w:type="dxa" w:w="100"/>
              <w:bottom w:type="dxa" w:w="80"/>
              <w:right w:type="dxa" w:w="100"/>
            </w:tcMar>
          </w:tcPr>
          <w:p>
            <w:r>
              <w:rPr>
                <w:sz w:val="18"/>
                <w:szCs w:val="18"/>
              </w:rPr>
              <w:t xml:space="preserve">Career advisors</w:t>
            </w:r>
          </w:p>
        </w:tc>
        <w:tc>
          <w:tcPr>
            <w:tcW w:type="dxa" w:w="3120"/>
            <w:shd w:fill="F2F2F2" w:color="auto" w:val="clear"/>
            <w:tcMar>
              <w:top w:type="dxa" w:w="80"/>
              <w:left w:type="dxa" w:w="100"/>
              <w:bottom w:type="dxa" w:w="80"/>
              <w:right w:type="dxa" w:w="100"/>
            </w:tcMar>
          </w:tcPr>
          <w:p>
            <w:r>
              <w:rPr>
                <w:sz w:val="18"/>
                <w:szCs w:val="18"/>
              </w:rPr>
              <w:t xml:space="preserve">Not evidenced as a distinct external stakeholder; advisory is delivered by AI Advisory &amp; Conversational Guidance directly to students, not mediated by a human advisor role in the repository today</w:t>
            </w:r>
          </w:p>
        </w:tc>
        <w:tc>
          <w:tcPr>
            <w:tcW w:type="dxa" w:w="3120"/>
            <w:shd w:fill="F2F2F2" w:color="auto" w:val="clear"/>
            <w:tcMar>
              <w:top w:type="dxa" w:w="80"/>
              <w:left w:type="dxa" w:w="100"/>
              <w:bottom w:type="dxa" w:w="80"/>
              <w:right w:type="dxa" w:w="100"/>
            </w:tcMar>
          </w:tcPr>
          <w:p>
            <w:r>
              <w:rPr>
                <w:sz w:val="18"/>
                <w:szCs w:val="18"/>
              </w:rPr>
              <w:t xml:space="preserve">None evidenced</w:t>
            </w:r>
          </w:p>
        </w:tc>
      </w:tr>
      <w:tr>
        <w:tc>
          <w:tcPr>
            <w:tcW w:type="dxa" w:w="3120"/>
            <w:shd w:fill="FFFFFF" w:color="auto" w:val="clear"/>
            <w:tcMar>
              <w:top w:type="dxa" w:w="80"/>
              <w:left w:type="dxa" w:w="100"/>
              <w:bottom w:type="dxa" w:w="80"/>
              <w:right w:type="dxa" w:w="100"/>
            </w:tcMar>
          </w:tcPr>
          <w:p>
            <w:r>
              <w:rPr>
                <w:sz w:val="18"/>
                <w:szCs w:val="18"/>
              </w:rPr>
              <w:t xml:space="preserve">Platform administrators</w:t>
            </w:r>
          </w:p>
        </w:tc>
        <w:tc>
          <w:tcPr>
            <w:tcW w:type="dxa" w:w="3120"/>
            <w:shd w:fill="FFFFFF" w:color="auto" w:val="clear"/>
            <w:tcMar>
              <w:top w:type="dxa" w:w="80"/>
              <w:left w:type="dxa" w:w="100"/>
              <w:bottom w:type="dxa" w:w="80"/>
              <w:right w:type="dxa" w:w="100"/>
            </w:tcMar>
          </w:tcPr>
          <w:p>
            <w:r>
              <w:rPr>
                <w:sz w:val="18"/>
                <w:szCs w:val="18"/>
              </w:rPr>
              <w:t xml:space="preserve">Platform Trust, Identity &amp; Governance (as primary internal stakeholder)</w:t>
            </w:r>
          </w:p>
        </w:tc>
        <w:tc>
          <w:tcPr>
            <w:tcW w:type="dxa" w:w="3120"/>
            <w:shd w:fill="FFFFFF" w:color="auto" w:val="clear"/>
            <w:tcMar>
              <w:top w:type="dxa" w:w="80"/>
              <w:left w:type="dxa" w:w="100"/>
              <w:bottom w:type="dxa" w:w="80"/>
              <w:right w:type="dxa" w:w="100"/>
            </w:tcMar>
          </w:tcPr>
          <w:p>
            <w:r>
              <w:rPr>
                <w:sz w:val="18"/>
                <w:szCs w:val="18"/>
              </w:rPr>
              <w:t xml:space="preserve">None beyond current scope</w:t>
            </w:r>
          </w:p>
        </w:tc>
      </w:tr>
      <w:tr>
        <w:tc>
          <w:tcPr>
            <w:tcW w:type="dxa" w:w="3120"/>
            <w:shd w:fill="F2F2F2" w:color="auto" w:val="clear"/>
            <w:tcMar>
              <w:top w:type="dxa" w:w="80"/>
              <w:left w:type="dxa" w:w="100"/>
              <w:bottom w:type="dxa" w:w="80"/>
              <w:right w:type="dxa" w:w="100"/>
            </w:tcMar>
          </w:tcPr>
          <w:p>
            <w:r>
              <w:rPr>
                <w:sz w:val="18"/>
                <w:szCs w:val="18"/>
              </w:rPr>
              <w:t xml:space="preserve">Knowledge curators</w:t>
            </w:r>
          </w:p>
        </w:tc>
        <w:tc>
          <w:tcPr>
            <w:tcW w:type="dxa" w:w="3120"/>
            <w:shd w:fill="F2F2F2" w:color="auto" w:val="clear"/>
            <w:tcMar>
              <w:top w:type="dxa" w:w="80"/>
              <w:left w:type="dxa" w:w="100"/>
              <w:bottom w:type="dxa" w:w="80"/>
              <w:right w:type="dxa" w:w="100"/>
            </w:tcMar>
          </w:tcPr>
          <w:p>
            <w:r>
              <w:rPr>
                <w:sz w:val="18"/>
                <w:szCs w:val="18"/>
              </w:rPr>
              <w:t xml:space="preserve">Knowledge Evolution (implicit internal stakeholder — no separately evidenced human curator role beyond general product/engineering function, per Phase B Section 9)</w:t>
            </w:r>
          </w:p>
        </w:tc>
        <w:tc>
          <w:tcPr>
            <w:tcW w:type="dxa" w:w="3120"/>
            <w:shd w:fill="F2F2F2" w:color="auto" w:val="clear"/>
            <w:tcMar>
              <w:top w:type="dxa" w:w="80"/>
              <w:left w:type="dxa" w:w="100"/>
              <w:bottom w:type="dxa" w:w="80"/>
              <w:right w:type="dxa" w:w="100"/>
            </w:tcMar>
          </w:tcPr>
          <w:p>
            <w:r>
              <w:rPr>
                <w:sz w:val="18"/>
                <w:szCs w:val="18"/>
              </w:rPr>
              <w:t xml:space="preserve">Source &amp; Market Intelligence Curation reaching live, partner-sourced data</w:t>
            </w:r>
          </w:p>
        </w:tc>
      </w:tr>
      <w:tr>
        <w:tc>
          <w:tcPr>
            <w:tcW w:type="dxa" w:w="3120"/>
            <w:shd w:fill="FFFFFF" w:color="auto" w:val="clear"/>
            <w:tcMar>
              <w:top w:type="dxa" w:w="80"/>
              <w:left w:type="dxa" w:w="100"/>
              <w:bottom w:type="dxa" w:w="80"/>
              <w:right w:type="dxa" w:w="100"/>
            </w:tcMar>
          </w:tcPr>
          <w:p>
            <w:r>
              <w:rPr>
                <w:sz w:val="18"/>
                <w:szCs w:val="18"/>
              </w:rPr>
              <w:t xml:space="preserve">Future partners (job boards, data providers)</w:t>
            </w:r>
          </w:p>
        </w:tc>
        <w:tc>
          <w:tcPr>
            <w:tcW w:type="dxa" w:w="3120"/>
            <w:shd w:fill="FFFFFF" w:color="auto" w:val="clear"/>
            <w:tcMar>
              <w:top w:type="dxa" w:w="80"/>
              <w:left w:type="dxa" w:w="100"/>
              <w:bottom w:type="dxa" w:w="80"/>
              <w:right w:type="dxa" w:w="100"/>
            </w:tcMar>
          </w:tcPr>
          <w:p>
            <w:r>
              <w:rPr>
                <w:sz w:val="18"/>
                <w:szCs w:val="18"/>
              </w:rPr>
              <w:t xml:space="preserve">None</w:t>
            </w:r>
          </w:p>
        </w:tc>
        <w:tc>
          <w:tcPr>
            <w:tcW w:type="dxa" w:w="3120"/>
            <w:shd w:fill="FFFFFF" w:color="auto" w:val="clear"/>
            <w:tcMar>
              <w:top w:type="dxa" w:w="80"/>
              <w:left w:type="dxa" w:w="100"/>
              <w:bottom w:type="dxa" w:w="80"/>
              <w:right w:type="dxa" w:w="100"/>
            </w:tcMar>
          </w:tcPr>
          <w:p>
            <w:r>
              <w:rPr>
                <w:sz w:val="18"/>
                <w:szCs w:val="18"/>
              </w:rPr>
              <w:t xml:space="preserve">Employer Collaboration; Knowledge Evolution (live feed); Partner &amp; Ecosystem Intelligence</w:t>
            </w:r>
          </w:p>
        </w:tc>
      </w:tr>
    </w:tbl>
    <w:p>
      <w:pPr>
        <w:spacing w:after="200"/>
      </w:pPr>
    </w:p>
    <w:p>
      <w:pPr>
        <w:pStyle w:val="Heading1"/>
        <w:spacing w:after="200" w:before="400"/>
      </w:pPr>
      <w:r>
        <w:t xml:space="preserve">8. Cross-Domain Collaboration</w:t>
      </w:r>
    </w:p>
    <w:p>
      <w:pPr>
        <w:pStyle w:val="Heading2"/>
        <w:spacing w:after="150" w:before="300"/>
      </w:pPr>
      <w:r>
        <w:t xml:space="preserve">8.1 Domain Participation</w:t>
      </w:r>
    </w:p>
    <w:p>
      <w:pPr>
        <w:spacing w:after="160"/>
        <w:jc w:val="both"/>
      </w:pPr>
      <w:r>
        <w:rPr>
          <w:sz w:val="21"/>
          <w:szCs w:val="21"/>
        </w:rPr>
        <w:t xml:space="preserve">Every Tier 1 value stream in Section 5 crosses at least two, and as many as four, of the eight Phase B domains. Career Discovery &amp; Recommendation is the widest-reaching single stream, touching Academic Intelligence, Knowledge &amp; Market Intelligence, AI Intelligence, and Career Intelligence Domains in one journey. Platform Trust, Identity &amp; Governance is the only value stream that participates in every other stream simultaneously, by virtue of its horizontal, enabling role (Section 6.4).</w:t>
      </w:r>
    </w:p>
    <w:p>
      <w:pPr>
        <w:pStyle w:val="Heading2"/>
        <w:spacing w:after="150" w:before="300"/>
      </w:pPr>
      <w:r>
        <w:t xml:space="preserve">8.2 Capability Collaboration</w:t>
      </w:r>
    </w:p>
    <w:p>
      <w:pPr>
        <w:spacing w:after="160"/>
        <w:jc w:val="both"/>
      </w:pPr>
      <w:r>
        <w:rPr>
          <w:sz w:val="21"/>
          <w:szCs w:val="21"/>
        </w:rPr>
        <w:t xml:space="preserve">Capability collaboration within value streams reuses, without alteration, the cross-capability dependency evidence already established in Phase A Section 8. Where Phase A found that Academic Profile &amp; Context Intelligence is the most widely shared capability in the platform (ten-plus downstream consumers), this document finds the same is true at the value-stream level: five of the six Tier 1 value streams in Section 5 depend directly on the Student Onboarding &amp; Academic Foundation Value Stream's output.</w:t>
      </w:r>
    </w:p>
    <w:p>
      <w:pPr>
        <w:pStyle w:val="Heading2"/>
        <w:spacing w:after="150" w:before="300"/>
      </w:pPr>
      <w:r>
        <w:t xml:space="preserve">8.3 Knowledge Flow</w:t>
      </w:r>
    </w:p>
    <w:p>
      <w:pPr>
        <w:spacing w:after="160"/>
        <w:jc w:val="both"/>
      </w:pPr>
      <w:r>
        <w:rPr>
          <w:sz w:val="21"/>
          <w:szCs w:val="21"/>
        </w:rPr>
        <w:t xml:space="preserve">Knowledge flows one-directionally, matching Phase B Section 7.3 exactly: the Knowledge Evolution Value Stream publishes a versioned taxonomy and market dataset that Career Discovery &amp; Recommendation, Career Health &amp; Continuous Monitoring, Job Opportunity Discovery, and AI Advisory &amp; Conversational Guidance all read at decision time. None of those consuming value streams write back into the taxonomy.</w:t>
      </w:r>
    </w:p>
    <w:p>
      <w:pPr>
        <w:pStyle w:val="Heading2"/>
        <w:spacing w:after="150" w:before="300"/>
      </w:pPr>
      <w:r>
        <w:t xml:space="preserve">8.4 Decision Flow</w:t>
      </w:r>
    </w:p>
    <w:p>
      <w:pPr>
        <w:spacing w:after="160"/>
        <w:jc w:val="both"/>
      </w:pPr>
      <w:r>
        <w:rPr>
          <w:sz w:val="21"/>
          <w:szCs w:val="21"/>
        </w:rPr>
        <w:t xml:space="preserve">Student-facing career decisions (which roles to recommend, what a health score is, which opportunities to surface) are made inside the Career Intelligence Domain's owning value streams. The AI Advisory &amp; Conversational Guidance Value Stream supplies the reasoning substrate those decisions run on, but — consistent with Phase B Section 7.3 — does not itself own the business decision output; it is a horizontal, threading value stream rather than a decision-owning one.</w:t>
      </w:r>
    </w:p>
    <w:p>
      <w:pPr>
        <w:pStyle w:val="Heading2"/>
        <w:spacing w:after="150" w:before="300"/>
      </w:pPr>
      <w:r>
        <w:t xml:space="preserve">8.5 Business Handoffs</w:t>
      </w:r>
    </w:p>
    <w:p>
      <w:pPr>
        <w:spacing w:after="160"/>
        <w:jc w:val="both"/>
      </w:pPr>
      <w:r>
        <w:rPr>
          <w:sz w:val="21"/>
          <w:szCs w:val="21"/>
        </w:rPr>
        <w:t xml:space="preserve">The primary evidenced student journey moves through value streams in this order, inherited directly from Phase A Section 8.4 and Phase B Section 7.2: Student Onboarding &amp; Academic Foundation → Knowledge Evolution (context assembly, read-only) → Career Discovery &amp; Recommendation → AI Advisory &amp; Conversational Guidance (conversational refinement) → Job Opportunity Discovery → Resume &amp; Application Readiness. Career Health &amp; Continuous Monitoring and Career Planning &amp; Simulation run alongside this flow continuously rather than as a discrete handoff step. Platform Trust, Identity &amp; Governance underlies every handoff as cross-cutting infrastructure rather than participating in the transactional flow itself.</w:t>
      </w:r>
    </w:p>
    <w:p>
      <w:pPr>
        <w:pStyle w:val="Heading2"/>
        <w:spacing w:after="150" w:before="300"/>
      </w:pPr>
      <w:r>
        <w:t xml:space="preserve">8.6 Ownership Transitions</w:t>
      </w:r>
    </w:p>
    <w:p>
      <w:pPr>
        <w:spacing w:after="160"/>
        <w:jc w:val="both"/>
      </w:pPr>
      <w:r>
        <w:rPr>
          <w:sz w:val="21"/>
          <w:szCs w:val="21"/>
        </w:rPr>
        <w:t xml:space="preserve">Consistent with Phase A ADR-BC-04 and Phase B Section 6.2, no value stream in this catalog currently changes hands between separate business functions during a handoff — all eight domains, and therefore all twelve value streams, sit under the same general product/engineering function today. Ownership-transition rules stated in Section 6 and Section 9 below are therefore target-state design, not a description of a cross-team process that exists yet.</w:t>
      </w:r>
    </w:p>
    <w:p>
      <w:pPr>
        <w:pStyle w:val="Heading2"/>
        <w:spacing w:after="150" w:before="300"/>
      </w:pPr>
      <w:r>
        <w:t xml:space="preserve">8.7 AI and Human Interactions</w:t>
      </w:r>
    </w:p>
    <w:p>
      <w:pPr>
        <w:spacing w:after="160"/>
        <w:jc w:val="both"/>
      </w:pPr>
      <w:r>
        <w:rPr>
          <w:sz w:val="21"/>
          <w:szCs w:val="21"/>
        </w:rPr>
        <w:t xml:space="preserve">AI participation is concentrated, not evenly distributed: three of six Tier 1 value streams (Career Discovery &amp; Recommendation, AI Advisory &amp; Conversational Guidance, Resume &amp; Application Readiness) are directly AI-mediated in their core output; Career Health &amp; Continuous Monitoring is AI-adjacent (model-driven scoring under governance); Student Onboarding &amp; Academic Foundation and Job Opportunity Discovery's core logic is not itself AI-generated, though Job Opportunity Discovery's ranking draws on the same AI-native infrastructure. No value stream in this catalog is evidenced to route through a human advisor or curator role distinct from the platform itself.</w:t>
      </w:r>
    </w:p>
    <w:p>
      <w:pPr>
        <w:pStyle w:val="Heading1"/>
        <w:spacing w:after="200" w:before="400"/>
      </w:pPr>
      <w:r>
        <w:t xml:space="preserve">9. Enterprise Business Value Network</w:t>
      </w:r>
    </w:p>
    <w:p>
      <w:pPr>
        <w:pStyle w:val="Heading2"/>
        <w:spacing w:after="150" w:before="300"/>
      </w:pPr>
      <w:r>
        <w:t xml:space="preserve">9.1 Value Producers and Consumers</w:t>
      </w:r>
    </w:p>
    <w:p>
      <w:pPr>
        <w:spacing w:after="160"/>
        <w:jc w:val="both"/>
      </w:pPr>
      <w:r>
        <w:rPr>
          <w:sz w:val="21"/>
          <w:szCs w:val="21"/>
        </w:rPr>
        <w:t xml:space="preserve">Two domains are net value producers with no upstream domain dependency within the business-domain layer: Academic Intelligence Domain (the source of the academic profile every other domain reads) and, structurally though not yet in practice, Employer Domain (the intended source of live market and opportunity data). Every other domain is a net value transformer — consuming at least one upstream domain's output and producing a refined output for a downstream domain or a student directly.</w:t>
      </w:r>
    </w:p>
    <w:p>
      <w:pPr>
        <w:pStyle w:val="Heading2"/>
        <w:spacing w:after="150" w:before="300"/>
      </w:pPr>
      <w:r>
        <w:t xml:space="preserve">9.2 Value Exchanges</w:t>
      </w:r>
    </w:p>
    <w:p>
      <w:pPr>
        <w:pStyle w:val="ListParagraph"/>
        <w:numPr>
          <w:ilvl w:val="0"/>
          <w:numId w:val="1"/>
        </w:numPr>
        <w:spacing w:after="100"/>
      </w:pPr>
      <w:r>
        <w:t xml:space="preserve">Academic Intelligence → Career Intelligence, AI Intelligence, Knowledge &amp; Market Intelligence: a trustworthy academic profile, exchanged continuously as the profile updates.</w:t>
      </w:r>
    </w:p>
    <w:p>
      <w:pPr>
        <w:pStyle w:val="ListParagraph"/>
        <w:numPr>
          <w:ilvl w:val="0"/>
          <w:numId w:val="1"/>
        </w:numPr>
        <w:spacing w:after="100"/>
      </w:pPr>
      <w:r>
        <w:t xml:space="preserve">Knowledge &amp; Market Intelligence → Career Intelligence, AI Intelligence, Candidate Experience &amp; Growth: a versioned taxonomy and market dataset, exchanged at decision time, read-only.</w:t>
      </w:r>
    </w:p>
    <w:p>
      <w:pPr>
        <w:pStyle w:val="ListParagraph"/>
        <w:numPr>
          <w:ilvl w:val="0"/>
          <w:numId w:val="1"/>
        </w:numPr>
        <w:spacing w:after="100"/>
      </w:pPr>
      <w:r>
        <w:t xml:space="preserve">AI Intelligence → Career Intelligence, Candidate Experience &amp; Growth: governed, confidence-scored reasoning output, exchanged conversationally and via agent task execution.</w:t>
      </w:r>
    </w:p>
    <w:p>
      <w:pPr>
        <w:pStyle w:val="ListParagraph"/>
        <w:numPr>
          <w:ilvl w:val="0"/>
          <w:numId w:val="1"/>
        </w:numPr>
        <w:spacing w:after="100"/>
      </w:pPr>
      <w:r>
        <w:t xml:space="preserve">Career Intelligence → Candidate Experience &amp; Growth: recommendations and opportunity matches, exchanged as generation and engagement triggers.</w:t>
      </w:r>
    </w:p>
    <w:p>
      <w:pPr>
        <w:pStyle w:val="ListParagraph"/>
        <w:numPr>
          <w:ilvl w:val="0"/>
          <w:numId w:val="1"/>
        </w:numPr>
        <w:spacing w:after="100"/>
      </w:pPr>
      <w:r>
        <w:t xml:space="preserve">Employer Domain → Career Intelligence, Knowledge &amp; Market Intelligence (target-state): live opportunity and market data, not yet exchanged in production.</w:t>
      </w:r>
    </w:p>
    <w:p>
      <w:pPr>
        <w:pStyle w:val="Heading2"/>
        <w:spacing w:after="150" w:before="300"/>
      </w:pPr>
      <w:r>
        <w:t xml:space="preserve">9.3 Knowledge Exchanges</w:t>
      </w:r>
    </w:p>
    <w:p>
      <w:pPr>
        <w:spacing w:after="160"/>
        <w:jc w:val="both"/>
      </w:pPr>
      <w:r>
        <w:rPr>
          <w:sz w:val="21"/>
          <w:szCs w:val="21"/>
        </w:rPr>
        <w:t xml:space="preserve">The Knowledge Evolution Value Stream (Section 6.2) is the platform's single knowledge-exchange hub — every AI-mediated value stream in Section 5 draws its situational context from this stream at run time, and no value stream currently writes knowledge back into it except through the (target-state) Employer Collaboration Value Stream's live feed.</w:t>
      </w:r>
    </w:p>
    <w:p>
      <w:pPr>
        <w:pStyle w:val="Heading2"/>
        <w:spacing w:after="150" w:before="300"/>
      </w:pPr>
      <w:r>
        <w:t xml:space="preserve">9.4 AI-Supported Decisions</w:t>
      </w:r>
    </w:p>
    <w:p>
      <w:pPr>
        <w:spacing w:after="160"/>
        <w:jc w:val="both"/>
      </w:pPr>
      <w:r>
        <w:rPr>
          <w:sz w:val="21"/>
          <w:szCs w:val="21"/>
        </w:rPr>
        <w:t xml:space="preserve">AI-supported decisions cluster around three points in the network: which career paths to recommend (Career Discovery &amp; Recommendation), how to respond conversationally or execute an agent task (AI Advisory &amp; Conversational Guidance), and how to score career health (Career Health &amp; Continuous Monitoring, under governance). All three route through the AI Intelligence Domain's Quality Governance context (Phase B Section 8.2) before reaching a student, which functions as the network's one evidenced anti-corruption boundary (Phase B Section 8.4).</w:t>
      </w:r>
    </w:p>
    <w:p>
      <w:pPr>
        <w:pStyle w:val="Heading2"/>
        <w:spacing w:after="150" w:before="300"/>
      </w:pPr>
      <w:r>
        <w:t xml:space="preserve">9.5 Business Dependencies and Strategic Relationships</w:t>
      </w:r>
    </w:p>
    <w:p>
      <w:pPr>
        <w:spacing w:after="160"/>
        <w:jc w:val="both"/>
      </w:pPr>
      <w:r>
        <w:rPr>
          <w:sz w:val="21"/>
          <w:szCs w:val="21"/>
        </w:rPr>
        <w:t xml:space="preserve">The network's single most consequential strategic relationship is the not-yet-real one: the Employer Domain's live-feed relationship with Knowledge &amp; Market Intelligence and Career Intelligence. Until it activates, the network's value creation is real but internally bounded — every student-facing value stream can operate on today's data, but none can yet claim full real-world grounding for its market-facing claims.</w:t>
      </w:r>
    </w:p>
    <w:p>
      <w:pPr>
        <w:pStyle w:val="Heading1"/>
        <w:spacing w:after="200" w:before="400"/>
      </w:pPr>
      <w:r>
        <w:t xml:space="preserve">10. Business Events</w:t>
      </w:r>
    </w:p>
    <w:p>
      <w:pPr>
        <w:spacing w:after="160"/>
        <w:jc w:val="both"/>
      </w:pPr>
      <w:r>
        <w:rPr>
          <w:sz w:val="21"/>
          <w:szCs w:val="21"/>
        </w:rPr>
        <w:t xml:space="preserve">Business events are stated in business language — what happened to whom — never in technical event-bus or database-trigger language, consistent with this document's technology-independence principle (Section 3.1). Where a business event corresponds to a named technical event elsewhere in EEP-01's Event Architecture (Phase C) or Messaging Architecture (Phase D), this document does not restate that technical definition; it names only the business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tcPr>
          <w:p>
            <w:r>
              <w:rPr>
                <w:b/>
                <w:bCs/>
                <w:color w:val="FFFFFF"/>
                <w:sz w:val="18"/>
                <w:szCs w:val="18"/>
              </w:rPr>
              <w:t xml:space="preserve">Business event</w:t>
            </w:r>
          </w:p>
        </w:tc>
        <w:tc>
          <w:tcPr>
            <w:tcW w:type="dxa" w:w="3120"/>
            <w:shd w:fill="1F3864" w:color="auto" w:val="clear"/>
            <w:tcMar>
              <w:top w:type="dxa" w:w="80"/>
              <w:left w:type="dxa" w:w="100"/>
              <w:bottom w:type="dxa" w:w="80"/>
              <w:right w:type="dxa" w:w="100"/>
            </w:tcMar>
          </w:tcPr>
          <w:p>
            <w:r>
              <w:rPr>
                <w:b/>
                <w:bCs/>
                <w:color w:val="FFFFFF"/>
                <w:sz w:val="18"/>
                <w:szCs w:val="18"/>
              </w:rPr>
              <w:t xml:space="preserve">Originating value stream</w:t>
            </w:r>
          </w:p>
        </w:tc>
        <w:tc>
          <w:tcPr>
            <w:tcW w:type="dxa" w:w="3120"/>
            <w:shd w:fill="1F3864" w:color="auto" w:val="clear"/>
            <w:tcMar>
              <w:top w:type="dxa" w:w="80"/>
              <w:left w:type="dxa" w:w="100"/>
              <w:bottom w:type="dxa" w:w="80"/>
              <w:right w:type="dxa" w:w="100"/>
            </w:tcMar>
          </w:tcPr>
          <w:p>
            <w:r>
              <w:rPr>
                <w:b/>
                <w:bCs/>
                <w:color w:val="FFFFFF"/>
                <w:sz w:val="18"/>
                <w:szCs w:val="18"/>
              </w:rPr>
              <w:t xml:space="preserve">Business significance</w:t>
            </w:r>
          </w:p>
        </w:tc>
      </w:tr>
      <w:tr>
        <w:tc>
          <w:tcPr>
            <w:tcW w:type="dxa" w:w="3120"/>
            <w:shd w:fill="FFFFFF" w:color="auto" w:val="clear"/>
            <w:tcMar>
              <w:top w:type="dxa" w:w="80"/>
              <w:left w:type="dxa" w:w="100"/>
              <w:bottom w:type="dxa" w:w="80"/>
              <w:right w:type="dxa" w:w="100"/>
            </w:tcMar>
          </w:tcPr>
          <w:p>
            <w:r>
              <w:rPr>
                <w:sz w:val="18"/>
                <w:szCs w:val="18"/>
              </w:rPr>
              <w:t xml:space="preserve">Student registered</w:t>
            </w:r>
          </w:p>
        </w:tc>
        <w:tc>
          <w:tcPr>
            <w:tcW w:type="dxa" w:w="3120"/>
            <w:shd w:fill="FFFFFF" w:color="auto" w:val="clear"/>
            <w:tcMar>
              <w:top w:type="dxa" w:w="80"/>
              <w:left w:type="dxa" w:w="100"/>
              <w:bottom w:type="dxa" w:w="80"/>
              <w:right w:type="dxa" w:w="100"/>
            </w:tcMar>
          </w:tcPr>
          <w:p>
            <w:r>
              <w:rPr>
                <w:sz w:val="18"/>
                <w:szCs w:val="18"/>
              </w:rPr>
              <w:t xml:space="preserve">Student Onboarding &amp; Academic Foundation</w:t>
            </w:r>
          </w:p>
        </w:tc>
        <w:tc>
          <w:tcPr>
            <w:tcW w:type="dxa" w:w="3120"/>
            <w:shd w:fill="FFFFFF" w:color="auto" w:val="clear"/>
            <w:tcMar>
              <w:top w:type="dxa" w:w="80"/>
              <w:left w:type="dxa" w:w="100"/>
              <w:bottom w:type="dxa" w:w="80"/>
              <w:right w:type="dxa" w:w="100"/>
            </w:tcMar>
          </w:tcPr>
          <w:p>
            <w:r>
              <w:rPr>
                <w:sz w:val="18"/>
                <w:szCs w:val="18"/>
              </w:rPr>
              <w:t xml:space="preserve">The point at which a stakeholder need first becomes a platform relationship.</w:t>
            </w:r>
          </w:p>
        </w:tc>
      </w:tr>
      <w:tr>
        <w:tc>
          <w:tcPr>
            <w:tcW w:type="dxa" w:w="3120"/>
            <w:shd w:fill="F2F2F2" w:color="auto" w:val="clear"/>
            <w:tcMar>
              <w:top w:type="dxa" w:w="80"/>
              <w:left w:type="dxa" w:w="100"/>
              <w:bottom w:type="dxa" w:w="80"/>
              <w:right w:type="dxa" w:w="100"/>
            </w:tcMar>
          </w:tcPr>
          <w:p>
            <w:r>
              <w:rPr>
                <w:sz w:val="18"/>
                <w:szCs w:val="18"/>
              </w:rPr>
              <w:t xml:space="preserve">Onboarding step completed</w:t>
            </w:r>
          </w:p>
        </w:tc>
        <w:tc>
          <w:tcPr>
            <w:tcW w:type="dxa" w:w="3120"/>
            <w:shd w:fill="F2F2F2" w:color="auto" w:val="clear"/>
            <w:tcMar>
              <w:top w:type="dxa" w:w="80"/>
              <w:left w:type="dxa" w:w="100"/>
              <w:bottom w:type="dxa" w:w="80"/>
              <w:right w:type="dxa" w:w="100"/>
            </w:tcMar>
          </w:tcPr>
          <w:p>
            <w:r>
              <w:rPr>
                <w:sz w:val="18"/>
                <w:szCs w:val="18"/>
              </w:rPr>
              <w:t xml:space="preserve">Student Onboarding &amp; Academic Foundation</w:t>
            </w:r>
          </w:p>
        </w:tc>
        <w:tc>
          <w:tcPr>
            <w:tcW w:type="dxa" w:w="3120"/>
            <w:shd w:fill="F2F2F2" w:color="auto" w:val="clear"/>
            <w:tcMar>
              <w:top w:type="dxa" w:w="80"/>
              <w:left w:type="dxa" w:w="100"/>
              <w:bottom w:type="dxa" w:w="80"/>
              <w:right w:type="dxa" w:w="100"/>
            </w:tcMar>
          </w:tcPr>
          <w:p>
            <w:r>
              <w:rPr>
                <w:sz w:val="18"/>
                <w:szCs w:val="18"/>
              </w:rPr>
              <w:t xml:space="preserve">Incremental profile trust-building toward a complete academic context.</w:t>
            </w:r>
          </w:p>
        </w:tc>
      </w:tr>
      <w:tr>
        <w:tc>
          <w:tcPr>
            <w:tcW w:type="dxa" w:w="3120"/>
            <w:shd w:fill="FFFFFF" w:color="auto" w:val="clear"/>
            <w:tcMar>
              <w:top w:type="dxa" w:w="80"/>
              <w:left w:type="dxa" w:w="100"/>
              <w:bottom w:type="dxa" w:w="80"/>
              <w:right w:type="dxa" w:w="100"/>
            </w:tcMar>
          </w:tcPr>
          <w:p>
            <w:r>
              <w:rPr>
                <w:sz w:val="18"/>
                <w:szCs w:val="18"/>
              </w:rPr>
              <w:t xml:space="preserve">Academic profile updated</w:t>
            </w:r>
          </w:p>
        </w:tc>
        <w:tc>
          <w:tcPr>
            <w:tcW w:type="dxa" w:w="3120"/>
            <w:shd w:fill="FFFFFF" w:color="auto" w:val="clear"/>
            <w:tcMar>
              <w:top w:type="dxa" w:w="80"/>
              <w:left w:type="dxa" w:w="100"/>
              <w:bottom w:type="dxa" w:w="80"/>
              <w:right w:type="dxa" w:w="100"/>
            </w:tcMar>
          </w:tcPr>
          <w:p>
            <w:r>
              <w:rPr>
                <w:sz w:val="18"/>
                <w:szCs w:val="18"/>
              </w:rPr>
              <w:t xml:space="preserve">Student Onboarding &amp; Academic Foundation</w:t>
            </w:r>
          </w:p>
        </w:tc>
        <w:tc>
          <w:tcPr>
            <w:tcW w:type="dxa" w:w="3120"/>
            <w:shd w:fill="FFFFFF" w:color="auto" w:val="clear"/>
            <w:tcMar>
              <w:top w:type="dxa" w:w="80"/>
              <w:left w:type="dxa" w:w="100"/>
              <w:bottom w:type="dxa" w:w="80"/>
              <w:right w:type="dxa" w:w="100"/>
            </w:tcMar>
          </w:tcPr>
          <w:p>
            <w:r>
              <w:rPr>
                <w:sz w:val="18"/>
                <w:szCs w:val="18"/>
              </w:rPr>
              <w:t xml:space="preserve">Triggers downstream re-evaluation across Career Discovery, Career Health, and Knowledge context assembly.</w:t>
            </w:r>
          </w:p>
        </w:tc>
      </w:tr>
      <w:tr>
        <w:tc>
          <w:tcPr>
            <w:tcW w:type="dxa" w:w="3120"/>
            <w:shd w:fill="F2F2F2" w:color="auto" w:val="clear"/>
            <w:tcMar>
              <w:top w:type="dxa" w:w="80"/>
              <w:left w:type="dxa" w:w="100"/>
              <w:bottom w:type="dxa" w:w="80"/>
              <w:right w:type="dxa" w:w="100"/>
            </w:tcMar>
          </w:tcPr>
          <w:p>
            <w:r>
              <w:rPr>
                <w:sz w:val="18"/>
                <w:szCs w:val="18"/>
              </w:rPr>
              <w:t xml:space="preserve">Recommendation generated</w:t>
            </w:r>
          </w:p>
        </w:tc>
        <w:tc>
          <w:tcPr>
            <w:tcW w:type="dxa" w:w="3120"/>
            <w:shd w:fill="F2F2F2" w:color="auto" w:val="clear"/>
            <w:tcMar>
              <w:top w:type="dxa" w:w="80"/>
              <w:left w:type="dxa" w:w="100"/>
              <w:bottom w:type="dxa" w:w="80"/>
              <w:right w:type="dxa" w:w="100"/>
            </w:tcMar>
          </w:tcPr>
          <w:p>
            <w:r>
              <w:rPr>
                <w:sz w:val="18"/>
                <w:szCs w:val="18"/>
              </w:rPr>
              <w:t xml:space="preserve">Career Discovery &amp; Recommendation</w:t>
            </w:r>
          </w:p>
        </w:tc>
        <w:tc>
          <w:tcPr>
            <w:tcW w:type="dxa" w:w="3120"/>
            <w:shd w:fill="F2F2F2" w:color="auto" w:val="clear"/>
            <w:tcMar>
              <w:top w:type="dxa" w:w="80"/>
              <w:left w:type="dxa" w:w="100"/>
              <w:bottom w:type="dxa" w:w="80"/>
              <w:right w:type="dxa" w:w="100"/>
            </w:tcMar>
          </w:tcPr>
          <w:p>
            <w:r>
              <w:rPr>
                <w:sz w:val="18"/>
                <w:szCs w:val="18"/>
              </w:rPr>
              <w:t xml:space="preserve">The platform's core value-delivery moment for a given student interaction.</w:t>
            </w:r>
          </w:p>
        </w:tc>
      </w:tr>
      <w:tr>
        <w:tc>
          <w:tcPr>
            <w:tcW w:type="dxa" w:w="3120"/>
            <w:shd w:fill="FFFFFF" w:color="auto" w:val="clear"/>
            <w:tcMar>
              <w:top w:type="dxa" w:w="80"/>
              <w:left w:type="dxa" w:w="100"/>
              <w:bottom w:type="dxa" w:w="80"/>
              <w:right w:type="dxa" w:w="100"/>
            </w:tcMar>
          </w:tcPr>
          <w:p>
            <w:r>
              <w:rPr>
                <w:sz w:val="18"/>
                <w:szCs w:val="18"/>
              </w:rPr>
              <w:t xml:space="preserve">Recommendation accepted / dismissed</w:t>
            </w:r>
          </w:p>
        </w:tc>
        <w:tc>
          <w:tcPr>
            <w:tcW w:type="dxa" w:w="3120"/>
            <w:shd w:fill="FFFFFF" w:color="auto" w:val="clear"/>
            <w:tcMar>
              <w:top w:type="dxa" w:w="80"/>
              <w:left w:type="dxa" w:w="100"/>
              <w:bottom w:type="dxa" w:w="80"/>
              <w:right w:type="dxa" w:w="100"/>
            </w:tcMar>
          </w:tcPr>
          <w:p>
            <w:r>
              <w:rPr>
                <w:sz w:val="18"/>
                <w:szCs w:val="18"/>
              </w:rPr>
              <w:t xml:space="preserve">Career Discovery &amp; Recommendation</w:t>
            </w:r>
          </w:p>
        </w:tc>
        <w:tc>
          <w:tcPr>
            <w:tcW w:type="dxa" w:w="3120"/>
            <w:shd w:fill="FFFFFF" w:color="auto" w:val="clear"/>
            <w:tcMar>
              <w:top w:type="dxa" w:w="80"/>
              <w:left w:type="dxa" w:w="100"/>
              <w:bottom w:type="dxa" w:w="80"/>
              <w:right w:type="dxa" w:w="100"/>
            </w:tcMar>
          </w:tcPr>
          <w:p>
            <w:r>
              <w:rPr>
                <w:sz w:val="18"/>
                <w:szCs w:val="18"/>
              </w:rPr>
              <w:t xml:space="preserve">The primary signal of recommendation quality; currently under-instrumented as a KPI (Section 13.1).</w:t>
            </w:r>
          </w:p>
        </w:tc>
      </w:tr>
      <w:tr>
        <w:tc>
          <w:tcPr>
            <w:tcW w:type="dxa" w:w="3120"/>
            <w:shd w:fill="F2F2F2" w:color="auto" w:val="clear"/>
            <w:tcMar>
              <w:top w:type="dxa" w:w="80"/>
              <w:left w:type="dxa" w:w="100"/>
              <w:bottom w:type="dxa" w:w="80"/>
              <w:right w:type="dxa" w:w="100"/>
            </w:tcMar>
          </w:tcPr>
          <w:p>
            <w:r>
              <w:rPr>
                <w:sz w:val="18"/>
                <w:szCs w:val="18"/>
              </w:rPr>
              <w:t xml:space="preserve">Career health changed</w:t>
            </w:r>
          </w:p>
        </w:tc>
        <w:tc>
          <w:tcPr>
            <w:tcW w:type="dxa" w:w="3120"/>
            <w:shd w:fill="F2F2F2" w:color="auto" w:val="clear"/>
            <w:tcMar>
              <w:top w:type="dxa" w:w="80"/>
              <w:left w:type="dxa" w:w="100"/>
              <w:bottom w:type="dxa" w:w="80"/>
              <w:right w:type="dxa" w:w="100"/>
            </w:tcMar>
          </w:tcPr>
          <w:p>
            <w:r>
              <w:rPr>
                <w:sz w:val="18"/>
                <w:szCs w:val="18"/>
              </w:rPr>
              <w:t xml:space="preserve">Career Health &amp; Continuous Monitoring</w:t>
            </w:r>
          </w:p>
        </w:tc>
        <w:tc>
          <w:tcPr>
            <w:tcW w:type="dxa" w:w="3120"/>
            <w:shd w:fill="F2F2F2" w:color="auto" w:val="clear"/>
            <w:tcMar>
              <w:top w:type="dxa" w:w="80"/>
              <w:left w:type="dxa" w:w="100"/>
              <w:bottom w:type="dxa" w:w="80"/>
              <w:right w:type="dxa" w:w="100"/>
            </w:tcMar>
          </w:tcPr>
          <w:p>
            <w:r>
              <w:rPr>
                <w:sz w:val="18"/>
                <w:szCs w:val="18"/>
              </w:rPr>
              <w:t xml:space="preserve">Triggers, or should trigger, re-engagement via Daily Engagement &amp; Growth.</w:t>
            </w:r>
          </w:p>
        </w:tc>
      </w:tr>
      <w:tr>
        <w:tc>
          <w:tcPr>
            <w:tcW w:type="dxa" w:w="3120"/>
            <w:shd w:fill="FFFFFF" w:color="auto" w:val="clear"/>
            <w:tcMar>
              <w:top w:type="dxa" w:w="80"/>
              <w:left w:type="dxa" w:w="100"/>
              <w:bottom w:type="dxa" w:w="80"/>
              <w:right w:type="dxa" w:w="100"/>
            </w:tcMar>
          </w:tcPr>
          <w:p>
            <w:r>
              <w:rPr>
                <w:sz w:val="18"/>
                <w:szCs w:val="18"/>
              </w:rPr>
              <w:t xml:space="preserve">Opportunity discovered</w:t>
            </w:r>
          </w:p>
        </w:tc>
        <w:tc>
          <w:tcPr>
            <w:tcW w:type="dxa" w:w="3120"/>
            <w:shd w:fill="FFFFFF" w:color="auto" w:val="clear"/>
            <w:tcMar>
              <w:top w:type="dxa" w:w="80"/>
              <w:left w:type="dxa" w:w="100"/>
              <w:bottom w:type="dxa" w:w="80"/>
              <w:right w:type="dxa" w:w="100"/>
            </w:tcMar>
          </w:tcPr>
          <w:p>
            <w:r>
              <w:rPr>
                <w:sz w:val="18"/>
                <w:szCs w:val="18"/>
              </w:rPr>
              <w:t xml:space="preserve">Job Opportunity Discovery</w:t>
            </w:r>
          </w:p>
        </w:tc>
        <w:tc>
          <w:tcPr>
            <w:tcW w:type="dxa" w:w="3120"/>
            <w:shd w:fill="FFFFFF" w:color="auto" w:val="clear"/>
            <w:tcMar>
              <w:top w:type="dxa" w:w="80"/>
              <w:left w:type="dxa" w:w="100"/>
              <w:bottom w:type="dxa" w:w="80"/>
              <w:right w:type="dxa" w:w="100"/>
            </w:tcMar>
          </w:tcPr>
          <w:p>
            <w:r>
              <w:rPr>
                <w:sz w:val="18"/>
                <w:szCs w:val="18"/>
              </w:rPr>
              <w:t xml:space="preserve">Converts advisory-only value into an actionable next step.</w:t>
            </w:r>
          </w:p>
        </w:tc>
      </w:tr>
      <w:tr>
        <w:tc>
          <w:tcPr>
            <w:tcW w:type="dxa" w:w="3120"/>
            <w:shd w:fill="F2F2F2" w:color="auto" w:val="clear"/>
            <w:tcMar>
              <w:top w:type="dxa" w:w="80"/>
              <w:left w:type="dxa" w:w="100"/>
              <w:bottom w:type="dxa" w:w="80"/>
              <w:right w:type="dxa" w:w="100"/>
            </w:tcMar>
          </w:tcPr>
          <w:p>
            <w:r>
              <w:rPr>
                <w:sz w:val="18"/>
                <w:szCs w:val="18"/>
              </w:rPr>
              <w:t xml:space="preserve">Resume uploaded</w:t>
            </w:r>
          </w:p>
        </w:tc>
        <w:tc>
          <w:tcPr>
            <w:tcW w:type="dxa" w:w="3120"/>
            <w:shd w:fill="F2F2F2" w:color="auto" w:val="clear"/>
            <w:tcMar>
              <w:top w:type="dxa" w:w="80"/>
              <w:left w:type="dxa" w:w="100"/>
              <w:bottom w:type="dxa" w:w="80"/>
              <w:right w:type="dxa" w:w="100"/>
            </w:tcMar>
          </w:tcPr>
          <w:p>
            <w:r>
              <w:rPr>
                <w:sz w:val="18"/>
                <w:szCs w:val="18"/>
              </w:rPr>
              <w:t xml:space="preserve">Resume &amp; Application Readiness</w:t>
            </w:r>
          </w:p>
        </w:tc>
        <w:tc>
          <w:tcPr>
            <w:tcW w:type="dxa" w:w="3120"/>
            <w:shd w:fill="F2F2F2" w:color="auto" w:val="clear"/>
            <w:tcMar>
              <w:top w:type="dxa" w:w="80"/>
              <w:left w:type="dxa" w:w="100"/>
              <w:bottom w:type="dxa" w:w="80"/>
              <w:right w:type="dxa" w:w="100"/>
            </w:tcMar>
          </w:tcPr>
          <w:p>
            <w:r>
              <w:rPr>
                <w:sz w:val="18"/>
                <w:szCs w:val="18"/>
              </w:rPr>
              <w:t xml:space="preserve">The intake half of the document-generation loop.</w:t>
            </w:r>
          </w:p>
        </w:tc>
      </w:tr>
      <w:tr>
        <w:tc>
          <w:tcPr>
            <w:tcW w:type="dxa" w:w="3120"/>
            <w:shd w:fill="FFFFFF" w:color="auto" w:val="clear"/>
            <w:tcMar>
              <w:top w:type="dxa" w:w="80"/>
              <w:left w:type="dxa" w:w="100"/>
              <w:bottom w:type="dxa" w:w="80"/>
              <w:right w:type="dxa" w:w="100"/>
            </w:tcMar>
          </w:tcPr>
          <w:p>
            <w:r>
              <w:rPr>
                <w:sz w:val="18"/>
                <w:szCs w:val="18"/>
              </w:rPr>
              <w:t xml:space="preserve">Resume improved</w:t>
            </w:r>
          </w:p>
        </w:tc>
        <w:tc>
          <w:tcPr>
            <w:tcW w:type="dxa" w:w="3120"/>
            <w:shd w:fill="FFFFFF" w:color="auto" w:val="clear"/>
            <w:tcMar>
              <w:top w:type="dxa" w:w="80"/>
              <w:left w:type="dxa" w:w="100"/>
              <w:bottom w:type="dxa" w:w="80"/>
              <w:right w:type="dxa" w:w="100"/>
            </w:tcMar>
          </w:tcPr>
          <w:p>
            <w:r>
              <w:rPr>
                <w:sz w:val="18"/>
                <w:szCs w:val="18"/>
              </w:rPr>
              <w:t xml:space="preserve">Resume &amp; Application Readiness</w:t>
            </w:r>
          </w:p>
        </w:tc>
        <w:tc>
          <w:tcPr>
            <w:tcW w:type="dxa" w:w="3120"/>
            <w:shd w:fill="FFFFFF" w:color="auto" w:val="clear"/>
            <w:tcMar>
              <w:top w:type="dxa" w:w="80"/>
              <w:left w:type="dxa" w:w="100"/>
              <w:bottom w:type="dxa" w:w="80"/>
              <w:right w:type="dxa" w:w="100"/>
            </w:tcMar>
          </w:tcPr>
          <w:p>
            <w:r>
              <w:rPr>
                <w:sz w:val="18"/>
                <w:szCs w:val="18"/>
              </w:rPr>
              <w:t xml:space="preserve">The generation half of the loop; the value stream's core deliverable.</w:t>
            </w:r>
          </w:p>
        </w:tc>
      </w:tr>
      <w:tr>
        <w:tc>
          <w:tcPr>
            <w:tcW w:type="dxa" w:w="3120"/>
            <w:shd w:fill="F2F2F2" w:color="auto" w:val="clear"/>
            <w:tcMar>
              <w:top w:type="dxa" w:w="80"/>
              <w:left w:type="dxa" w:w="100"/>
              <w:bottom w:type="dxa" w:w="80"/>
              <w:right w:type="dxa" w:w="100"/>
            </w:tcMar>
          </w:tcPr>
          <w:p>
            <w:r>
              <w:rPr>
                <w:sz w:val="18"/>
                <w:szCs w:val="18"/>
              </w:rPr>
              <w:t xml:space="preserve">Application submitted</w:t>
            </w:r>
          </w:p>
        </w:tc>
        <w:tc>
          <w:tcPr>
            <w:tcW w:type="dxa" w:w="3120"/>
            <w:shd w:fill="F2F2F2" w:color="auto" w:val="clear"/>
            <w:tcMar>
              <w:top w:type="dxa" w:w="80"/>
              <w:left w:type="dxa" w:w="100"/>
              <w:bottom w:type="dxa" w:w="80"/>
              <w:right w:type="dxa" w:w="100"/>
            </w:tcMar>
          </w:tcPr>
          <w:p>
            <w:r>
              <w:rPr>
                <w:sz w:val="18"/>
                <w:szCs w:val="18"/>
              </w:rPr>
              <w:t xml:space="preserve">Downstream of Resume &amp; Application Readiness</w:t>
            </w:r>
          </w:p>
        </w:tc>
        <w:tc>
          <w:tcPr>
            <w:tcW w:type="dxa" w:w="3120"/>
            <w:shd w:fill="F2F2F2" w:color="auto" w:val="clear"/>
            <w:tcMar>
              <w:top w:type="dxa" w:w="80"/>
              <w:left w:type="dxa" w:w="100"/>
              <w:bottom w:type="dxa" w:w="80"/>
              <w:right w:type="dxa" w:w="100"/>
            </w:tcMar>
          </w:tcPr>
          <w:p>
            <w:r>
              <w:rPr>
                <w:sz w:val="18"/>
                <w:szCs w:val="18"/>
              </w:rPr>
              <w:t xml:space="preserve">The platform's closest current proxy for a real career outcome; occurs outside the platform's own ownership boundary today.</w:t>
            </w:r>
          </w:p>
        </w:tc>
      </w:tr>
      <w:tr>
        <w:tc>
          <w:tcPr>
            <w:tcW w:type="dxa" w:w="3120"/>
            <w:shd w:fill="FFFFFF" w:color="auto" w:val="clear"/>
            <w:tcMar>
              <w:top w:type="dxa" w:w="80"/>
              <w:left w:type="dxa" w:w="100"/>
              <w:bottom w:type="dxa" w:w="80"/>
              <w:right w:type="dxa" w:w="100"/>
            </w:tcMar>
          </w:tcPr>
          <w:p>
            <w:r>
              <w:rPr>
                <w:sz w:val="18"/>
                <w:szCs w:val="18"/>
              </w:rPr>
              <w:t xml:space="preserve">Employer joined</w:t>
            </w:r>
          </w:p>
        </w:tc>
        <w:tc>
          <w:tcPr>
            <w:tcW w:type="dxa" w:w="3120"/>
            <w:shd w:fill="FFFFFF" w:color="auto" w:val="clear"/>
            <w:tcMar>
              <w:top w:type="dxa" w:w="80"/>
              <w:left w:type="dxa" w:w="100"/>
              <w:bottom w:type="dxa" w:w="80"/>
              <w:right w:type="dxa" w:w="100"/>
            </w:tcMar>
          </w:tcPr>
          <w:p>
            <w:r>
              <w:rPr>
                <w:sz w:val="18"/>
                <w:szCs w:val="18"/>
              </w:rPr>
              <w:t xml:space="preserve">Employer Collaboration (target-state)</w:t>
            </w:r>
          </w:p>
        </w:tc>
        <w:tc>
          <w:tcPr>
            <w:tcW w:type="dxa" w:w="3120"/>
            <w:shd w:fill="FFFFFF" w:color="auto" w:val="clear"/>
            <w:tcMar>
              <w:top w:type="dxa" w:w="80"/>
              <w:left w:type="dxa" w:w="100"/>
              <w:bottom w:type="dxa" w:w="80"/>
              <w:right w:type="dxa" w:w="100"/>
            </w:tcMar>
          </w:tcPr>
          <w:p>
            <w:r>
              <w:rPr>
                <w:sz w:val="18"/>
                <w:szCs w:val="18"/>
              </w:rPr>
              <w:t xml:space="preserve">Would be the single highest-leverage business event in the entire portfolio, per Section 2.5 and Section 16.</w:t>
            </w:r>
          </w:p>
        </w:tc>
      </w:tr>
      <w:tr>
        <w:tc>
          <w:tcPr>
            <w:tcW w:type="dxa" w:w="3120"/>
            <w:shd w:fill="F2F2F2" w:color="auto" w:val="clear"/>
            <w:tcMar>
              <w:top w:type="dxa" w:w="80"/>
              <w:left w:type="dxa" w:w="100"/>
              <w:bottom w:type="dxa" w:w="80"/>
              <w:right w:type="dxa" w:w="100"/>
            </w:tcMar>
          </w:tcPr>
          <w:p>
            <w:r>
              <w:rPr>
                <w:sz w:val="18"/>
                <w:szCs w:val="18"/>
              </w:rPr>
              <w:t xml:space="preserve">Knowledge updated</w:t>
            </w:r>
          </w:p>
        </w:tc>
        <w:tc>
          <w:tcPr>
            <w:tcW w:type="dxa" w:w="3120"/>
            <w:shd w:fill="F2F2F2" w:color="auto" w:val="clear"/>
            <w:tcMar>
              <w:top w:type="dxa" w:w="80"/>
              <w:left w:type="dxa" w:w="100"/>
              <w:bottom w:type="dxa" w:w="80"/>
              <w:right w:type="dxa" w:w="100"/>
            </w:tcMar>
          </w:tcPr>
          <w:p>
            <w:r>
              <w:rPr>
                <w:sz w:val="18"/>
                <w:szCs w:val="18"/>
              </w:rPr>
              <w:t xml:space="preserve">Knowledge Evolution</w:t>
            </w:r>
          </w:p>
        </w:tc>
        <w:tc>
          <w:tcPr>
            <w:tcW w:type="dxa" w:w="3120"/>
            <w:shd w:fill="F2F2F2" w:color="auto" w:val="clear"/>
            <w:tcMar>
              <w:top w:type="dxa" w:w="80"/>
              <w:left w:type="dxa" w:w="100"/>
              <w:bottom w:type="dxa" w:w="80"/>
              <w:right w:type="dxa" w:w="100"/>
            </w:tcMar>
          </w:tcPr>
          <w:p>
            <w:r>
              <w:rPr>
                <w:sz w:val="18"/>
                <w:szCs w:val="18"/>
              </w:rPr>
              <w:t xml:space="preserve">Refreshes the shared context every AI-mediated value stream depends on.</w:t>
            </w:r>
          </w:p>
        </w:tc>
      </w:tr>
      <w:tr>
        <w:tc>
          <w:tcPr>
            <w:tcW w:type="dxa" w:w="3120"/>
            <w:shd w:fill="FFFFFF" w:color="auto" w:val="clear"/>
            <w:tcMar>
              <w:top w:type="dxa" w:w="80"/>
              <w:left w:type="dxa" w:w="100"/>
              <w:bottom w:type="dxa" w:w="80"/>
              <w:right w:type="dxa" w:w="100"/>
            </w:tcMar>
          </w:tcPr>
          <w:p>
            <w:r>
              <w:rPr>
                <w:sz w:val="18"/>
                <w:szCs w:val="18"/>
              </w:rPr>
              <w:t xml:space="preserve">Outcome measured</w:t>
            </w:r>
          </w:p>
        </w:tc>
        <w:tc>
          <w:tcPr>
            <w:tcW w:type="dxa" w:w="3120"/>
            <w:shd w:fill="FFFFFF" w:color="auto" w:val="clear"/>
            <w:tcMar>
              <w:top w:type="dxa" w:w="80"/>
              <w:left w:type="dxa" w:w="100"/>
              <w:bottom w:type="dxa" w:w="80"/>
              <w:right w:type="dxa" w:w="100"/>
            </w:tcMar>
          </w:tcPr>
          <w:p>
            <w:r>
              <w:rPr>
                <w:sz w:val="18"/>
                <w:szCs w:val="18"/>
              </w:rPr>
              <w:t xml:space="preserve">Career Outcome Intelligence (future)</w:t>
            </w:r>
          </w:p>
        </w:tc>
        <w:tc>
          <w:tcPr>
            <w:tcW w:type="dxa" w:w="3120"/>
            <w:shd w:fill="FFFFFF" w:color="auto" w:val="clear"/>
            <w:tcMar>
              <w:top w:type="dxa" w:w="80"/>
              <w:left w:type="dxa" w:w="100"/>
              <w:bottom w:type="dxa" w:w="80"/>
              <w:right w:type="dxa" w:w="100"/>
            </w:tcMar>
          </w:tcPr>
          <w:p>
            <w:r>
              <w:rPr>
                <w:sz w:val="18"/>
                <w:szCs w:val="18"/>
              </w:rPr>
              <w:t xml:space="preserve">Not currently evidenced as an owned event anywhere in the repository.</w:t>
            </w:r>
          </w:p>
        </w:tc>
      </w:tr>
    </w:tbl>
    <w:p>
      <w:pPr>
        <w:spacing w:after="200"/>
      </w:pPr>
    </w:p>
    <w:p>
      <w:pPr>
        <w:spacing w:after="160"/>
        <w:jc w:val="both"/>
      </w:pPr>
      <w:r>
        <w:rPr>
          <w:sz w:val="21"/>
          <w:szCs w:val="21"/>
        </w:rPr>
        <w:t xml:space="preserve">Business events are differentiated from technical events (API calls, database writes, queue messages) by one test applied consistently throughout this document: a business event changes what is true about a stakeholder's situation; a technical event changes what is true about the system's internal state. “Academic profile updated” is a business event; the underlying row-level-security-scoped database write that implements it is a technical event already catalogued, and not redefined, in EEP-01 Phase C.</w:t>
      </w:r>
    </w:p>
    <w:p>
      <w:pPr>
        <w:pStyle w:val="Heading1"/>
        <w:spacing w:after="200" w:before="400"/>
      </w:pPr>
      <w:r>
        <w:t xml:space="preserve">11. Value Stream Maturity</w:t>
      </w:r>
    </w:p>
    <w:p>
      <w:pPr>
        <w:spacing w:after="160"/>
        <w:jc w:val="both"/>
      </w:pPr>
      <w:r>
        <w:rPr>
          <w:sz w:val="21"/>
          <w:szCs w:val="21"/>
        </w:rPr>
        <w:t xml:space="preserve">Maturity model, unchanged from Phase A Section 9 and Phase B Section 10: Level 1 Initial (exists as an idea or structural placeholder only) · Level 2 Emerging (implemented but data- or dependency-limited) · Level 3 Managed (implemented, in active use, production-oriented) · Level 4 Integrated (implemented, in use, and consumed reliably by multiple other value streams) · Level 5 Optimized (integrated and validated against real outcome data, with continuous improvement evidenced). Value-stream-level maturity is the evidence-weighted composite of its participating capabilities' and domains' maturity (Phase A Section 9, Phase B Section 10), not a separate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tcPr>
          <w:p>
            <w:r>
              <w:rPr>
                <w:b/>
                <w:bCs/>
                <w:color w:val="FFFFFF"/>
                <w:sz w:val="18"/>
                <w:szCs w:val="18"/>
              </w:rPr>
              <w:t xml:space="preserve">Value stream</w:t>
            </w:r>
          </w:p>
        </w:tc>
        <w:tc>
          <w:tcPr>
            <w:tcW w:type="dxa" w:w="3120"/>
            <w:shd w:fill="1F3864" w:color="auto" w:val="clear"/>
            <w:tcMar>
              <w:top w:type="dxa" w:w="80"/>
              <w:left w:type="dxa" w:w="100"/>
              <w:bottom w:type="dxa" w:w="80"/>
              <w:right w:type="dxa" w:w="100"/>
            </w:tcMar>
          </w:tcPr>
          <w:p>
            <w:r>
              <w:rPr>
                <w:b/>
                <w:bCs/>
                <w:color w:val="FFFFFF"/>
                <w:sz w:val="18"/>
                <w:szCs w:val="18"/>
              </w:rPr>
              <w:t xml:space="preserve">Current maturity</w:t>
            </w:r>
          </w:p>
        </w:tc>
        <w:tc>
          <w:tcPr>
            <w:tcW w:type="dxa" w:w="3120"/>
            <w:shd w:fill="1F3864" w:color="auto" w:val="clear"/>
            <w:tcMar>
              <w:top w:type="dxa" w:w="80"/>
              <w:left w:type="dxa" w:w="100"/>
              <w:bottom w:type="dxa" w:w="80"/>
              <w:right w:type="dxa" w:w="100"/>
            </w:tcMar>
          </w:tcPr>
          <w:p>
            <w:r>
              <w:rPr>
                <w:b/>
                <w:bCs/>
                <w:color w:val="FFFFFF"/>
                <w:sz w:val="18"/>
                <w:szCs w:val="18"/>
              </w:rPr>
              <w:t xml:space="preserve">Binding constraint</w:t>
            </w:r>
          </w:p>
        </w:tc>
      </w:tr>
      <w:tr>
        <w:tc>
          <w:tcPr>
            <w:tcW w:type="dxa" w:w="3120"/>
            <w:shd w:fill="FFFFFF" w:color="auto" w:val="clear"/>
            <w:tcMar>
              <w:top w:type="dxa" w:w="80"/>
              <w:left w:type="dxa" w:w="100"/>
              <w:bottom w:type="dxa" w:w="80"/>
              <w:right w:type="dxa" w:w="100"/>
            </w:tcMar>
          </w:tcPr>
          <w:p>
            <w:r>
              <w:rPr>
                <w:sz w:val="18"/>
                <w:szCs w:val="18"/>
              </w:rPr>
              <w:t xml:space="preserve">Student Onboarding &amp; Academic Foundation</w:t>
            </w:r>
          </w:p>
        </w:tc>
        <w:tc>
          <w:tcPr>
            <w:tcW w:type="dxa" w:w="3120"/>
            <w:shd w:fill="FFFFFF" w:color="auto" w:val="clear"/>
            <w:tcMar>
              <w:top w:type="dxa" w:w="80"/>
              <w:left w:type="dxa" w:w="100"/>
              <w:bottom w:type="dxa" w:w="80"/>
              <w:right w:type="dxa" w:w="100"/>
            </w:tcMar>
          </w:tcPr>
          <w:p>
            <w:r>
              <w:rPr>
                <w:sz w:val="18"/>
                <w:szCs w:val="18"/>
              </w:rPr>
              <w:t xml:space="preserve">Level 4 — Integrated</w:t>
            </w:r>
          </w:p>
        </w:tc>
        <w:tc>
          <w:tcPr>
            <w:tcW w:type="dxa" w:w="3120"/>
            <w:shd w:fill="FFFFFF" w:color="auto" w:val="clear"/>
            <w:tcMar>
              <w:top w:type="dxa" w:w="80"/>
              <w:left w:type="dxa" w:w="100"/>
              <w:bottom w:type="dxa" w:w="80"/>
              <w:right w:type="dxa" w:w="100"/>
            </w:tcMar>
          </w:tcPr>
          <w:p>
            <w:r>
              <w:rPr>
                <w:sz w:val="18"/>
                <w:szCs w:val="18"/>
              </w:rPr>
              <w:t xml:space="preserve">None at the data-model level; downstream consumption quality only.</w:t>
            </w:r>
          </w:p>
        </w:tc>
      </w:tr>
      <w:tr>
        <w:tc>
          <w:tcPr>
            <w:tcW w:type="dxa" w:w="3120"/>
            <w:shd w:fill="F2F2F2" w:color="auto" w:val="clear"/>
            <w:tcMar>
              <w:top w:type="dxa" w:w="80"/>
              <w:left w:type="dxa" w:w="100"/>
              <w:bottom w:type="dxa" w:w="80"/>
              <w:right w:type="dxa" w:w="100"/>
            </w:tcMar>
          </w:tcPr>
          <w:p>
            <w:r>
              <w:rPr>
                <w:sz w:val="18"/>
                <w:szCs w:val="18"/>
              </w:rPr>
              <w:t xml:space="preserve">Career Discovery &amp; Recommendation</w:t>
            </w:r>
          </w:p>
        </w:tc>
        <w:tc>
          <w:tcPr>
            <w:tcW w:type="dxa" w:w="3120"/>
            <w:shd w:fill="F2F2F2" w:color="auto" w:val="clear"/>
            <w:tcMar>
              <w:top w:type="dxa" w:w="80"/>
              <w:left w:type="dxa" w:w="100"/>
              <w:bottom w:type="dxa" w:w="80"/>
              <w:right w:type="dxa" w:w="100"/>
            </w:tcMar>
          </w:tcPr>
          <w:p>
            <w:r>
              <w:rPr>
                <w:sz w:val="18"/>
                <w:szCs w:val="18"/>
              </w:rPr>
              <w:t xml:space="preserve">Level 3 — Managed</w:t>
            </w:r>
          </w:p>
        </w:tc>
        <w:tc>
          <w:tcPr>
            <w:tcW w:type="dxa" w:w="3120"/>
            <w:shd w:fill="F2F2F2" w:color="auto" w:val="clear"/>
            <w:tcMar>
              <w:top w:type="dxa" w:w="80"/>
              <w:left w:type="dxa" w:w="100"/>
              <w:bottom w:type="dxa" w:w="80"/>
              <w:right w:type="dxa" w:w="100"/>
            </w:tcMar>
          </w:tcPr>
          <w:p>
            <w:r>
              <w:rPr>
                <w:sz w:val="18"/>
                <w:szCs w:val="18"/>
              </w:rPr>
              <w:t xml:space="preserve">Knowledge &amp; Market Intelligence's mock-data ceiling.</w:t>
            </w:r>
          </w:p>
        </w:tc>
      </w:tr>
      <w:tr>
        <w:tc>
          <w:tcPr>
            <w:tcW w:type="dxa" w:w="3120"/>
            <w:shd w:fill="FFFFFF" w:color="auto" w:val="clear"/>
            <w:tcMar>
              <w:top w:type="dxa" w:w="80"/>
              <w:left w:type="dxa" w:w="100"/>
              <w:bottom w:type="dxa" w:w="80"/>
              <w:right w:type="dxa" w:w="100"/>
            </w:tcMar>
          </w:tcPr>
          <w:p>
            <w:r>
              <w:rPr>
                <w:sz w:val="18"/>
                <w:szCs w:val="18"/>
              </w:rPr>
              <w:t xml:space="preserve">AI Advisory &amp; Conversational Guidance</w:t>
            </w:r>
          </w:p>
        </w:tc>
        <w:tc>
          <w:tcPr>
            <w:tcW w:type="dxa" w:w="3120"/>
            <w:shd w:fill="FFFFFF" w:color="auto" w:val="clear"/>
            <w:tcMar>
              <w:top w:type="dxa" w:w="80"/>
              <w:left w:type="dxa" w:w="100"/>
              <w:bottom w:type="dxa" w:w="80"/>
              <w:right w:type="dxa" w:w="100"/>
            </w:tcMar>
          </w:tcPr>
          <w:p>
            <w:r>
              <w:rPr>
                <w:sz w:val="18"/>
                <w:szCs w:val="18"/>
              </w:rPr>
              <w:t xml:space="preserve">Level 4 — Integrated</w:t>
            </w:r>
          </w:p>
        </w:tc>
        <w:tc>
          <w:tcPr>
            <w:tcW w:type="dxa" w:w="3120"/>
            <w:shd w:fill="FFFFFF" w:color="auto" w:val="clear"/>
            <w:tcMar>
              <w:top w:type="dxa" w:w="80"/>
              <w:left w:type="dxa" w:w="100"/>
              <w:bottom w:type="dxa" w:w="80"/>
              <w:right w:type="dxa" w:w="100"/>
            </w:tcMar>
          </w:tcPr>
          <w:p>
            <w:r>
              <w:rPr>
                <w:sz w:val="18"/>
                <w:szCs w:val="18"/>
              </w:rPr>
              <w:t xml:space="preserve">Agent planning autonomy (Level 5 trigger).</w:t>
            </w:r>
          </w:p>
        </w:tc>
      </w:tr>
      <w:tr>
        <w:tc>
          <w:tcPr>
            <w:tcW w:type="dxa" w:w="3120"/>
            <w:shd w:fill="F2F2F2" w:color="auto" w:val="clear"/>
            <w:tcMar>
              <w:top w:type="dxa" w:w="80"/>
              <w:left w:type="dxa" w:w="100"/>
              <w:bottom w:type="dxa" w:w="80"/>
              <w:right w:type="dxa" w:w="100"/>
            </w:tcMar>
          </w:tcPr>
          <w:p>
            <w:r>
              <w:rPr>
                <w:sz w:val="18"/>
                <w:szCs w:val="18"/>
              </w:rPr>
              <w:t xml:space="preserve">Career Health &amp; Continuous Monitoring</w:t>
            </w:r>
          </w:p>
        </w:tc>
        <w:tc>
          <w:tcPr>
            <w:tcW w:type="dxa" w:w="3120"/>
            <w:shd w:fill="F2F2F2" w:color="auto" w:val="clear"/>
            <w:tcMar>
              <w:top w:type="dxa" w:w="80"/>
              <w:left w:type="dxa" w:w="100"/>
              <w:bottom w:type="dxa" w:w="80"/>
              <w:right w:type="dxa" w:w="100"/>
            </w:tcMar>
          </w:tcPr>
          <w:p>
            <w:r>
              <w:rPr>
                <w:sz w:val="18"/>
                <w:szCs w:val="18"/>
              </w:rPr>
              <w:t xml:space="preserve">Level 2/3 — compound (v1/chiV2)</w:t>
            </w:r>
          </w:p>
        </w:tc>
        <w:tc>
          <w:tcPr>
            <w:tcW w:type="dxa" w:w="3120"/>
            <w:shd w:fill="F2F2F2" w:color="auto" w:val="clear"/>
            <w:tcMar>
              <w:top w:type="dxa" w:w="80"/>
              <w:left w:type="dxa" w:w="100"/>
              <w:bottom w:type="dxa" w:w="80"/>
              <w:right w:type="dxa" w:w="100"/>
            </w:tcMar>
          </w:tcPr>
          <w:p>
            <w:r>
              <w:rPr>
                <w:sz w:val="18"/>
                <w:szCs w:val="18"/>
              </w:rPr>
              <w:t xml:space="preserve">Undefined v1-to-chiV2 cutover plan.</w:t>
            </w:r>
          </w:p>
        </w:tc>
      </w:tr>
      <w:tr>
        <w:tc>
          <w:tcPr>
            <w:tcW w:type="dxa" w:w="3120"/>
            <w:shd w:fill="FFFFFF" w:color="auto" w:val="clear"/>
            <w:tcMar>
              <w:top w:type="dxa" w:w="80"/>
              <w:left w:type="dxa" w:w="100"/>
              <w:bottom w:type="dxa" w:w="80"/>
              <w:right w:type="dxa" w:w="100"/>
            </w:tcMar>
          </w:tcPr>
          <w:p>
            <w:r>
              <w:rPr>
                <w:sz w:val="18"/>
                <w:szCs w:val="18"/>
              </w:rPr>
              <w:t xml:space="preserve">Resume &amp; Application Readiness</w:t>
            </w:r>
          </w:p>
        </w:tc>
        <w:tc>
          <w:tcPr>
            <w:tcW w:type="dxa" w:w="3120"/>
            <w:shd w:fill="FFFFFF" w:color="auto" w:val="clear"/>
            <w:tcMar>
              <w:top w:type="dxa" w:w="80"/>
              <w:left w:type="dxa" w:w="100"/>
              <w:bottom w:type="dxa" w:w="80"/>
              <w:right w:type="dxa" w:w="100"/>
            </w:tcMar>
          </w:tcPr>
          <w:p>
            <w:r>
              <w:rPr>
                <w:sz w:val="18"/>
                <w:szCs w:val="18"/>
              </w:rPr>
              <w:t xml:space="preserve">Level 3 — Managed</w:t>
            </w:r>
          </w:p>
        </w:tc>
        <w:tc>
          <w:tcPr>
            <w:tcW w:type="dxa" w:w="3120"/>
            <w:shd w:fill="FFFFFF" w:color="auto" w:val="clear"/>
            <w:tcMar>
              <w:top w:type="dxa" w:w="80"/>
              <w:left w:type="dxa" w:w="100"/>
              <w:bottom w:type="dxa" w:w="80"/>
              <w:right w:type="dxa" w:w="100"/>
            </w:tcMar>
          </w:tcPr>
          <w:p>
            <w:r>
              <w:rPr>
                <w:sz w:val="18"/>
                <w:szCs w:val="18"/>
              </w:rPr>
              <w:t xml:space="preserve">AI provider quality variance; Job Opportunity Discovery's own ceiling.</w:t>
            </w:r>
          </w:p>
        </w:tc>
      </w:tr>
      <w:tr>
        <w:tc>
          <w:tcPr>
            <w:tcW w:type="dxa" w:w="3120"/>
            <w:shd w:fill="F2F2F2" w:color="auto" w:val="clear"/>
            <w:tcMar>
              <w:top w:type="dxa" w:w="80"/>
              <w:left w:type="dxa" w:w="100"/>
              <w:bottom w:type="dxa" w:w="80"/>
              <w:right w:type="dxa" w:w="100"/>
            </w:tcMar>
          </w:tcPr>
          <w:p>
            <w:r>
              <w:rPr>
                <w:sz w:val="18"/>
                <w:szCs w:val="18"/>
              </w:rPr>
              <w:t xml:space="preserve">Job Opportunity Discovery</w:t>
            </w:r>
          </w:p>
        </w:tc>
        <w:tc>
          <w:tcPr>
            <w:tcW w:type="dxa" w:w="3120"/>
            <w:shd w:fill="F2F2F2" w:color="auto" w:val="clear"/>
            <w:tcMar>
              <w:top w:type="dxa" w:w="80"/>
              <w:left w:type="dxa" w:w="100"/>
              <w:bottom w:type="dxa" w:w="80"/>
              <w:right w:type="dxa" w:w="100"/>
            </w:tcMar>
          </w:tcPr>
          <w:p>
            <w:r>
              <w:rPr>
                <w:sz w:val="18"/>
                <w:szCs w:val="18"/>
              </w:rPr>
              <w:t xml:space="preserve">Level 2 — Emerging</w:t>
            </w:r>
          </w:p>
        </w:tc>
        <w:tc>
          <w:tcPr>
            <w:tcW w:type="dxa" w:w="3120"/>
            <w:shd w:fill="F2F2F2" w:color="auto" w:val="clear"/>
            <w:tcMar>
              <w:top w:type="dxa" w:w="80"/>
              <w:left w:type="dxa" w:w="100"/>
              <w:bottom w:type="dxa" w:w="80"/>
              <w:right w:type="dxa" w:w="100"/>
            </w:tcMar>
          </w:tcPr>
          <w:p>
            <w:r>
              <w:rPr>
                <w:sz w:val="18"/>
                <w:szCs w:val="18"/>
              </w:rPr>
              <w:t xml:space="preserve">Employer Domain pre-activation; mock market data.</w:t>
            </w:r>
          </w:p>
        </w:tc>
      </w:tr>
      <w:tr>
        <w:tc>
          <w:tcPr>
            <w:tcW w:type="dxa" w:w="3120"/>
            <w:shd w:fill="FFFFFF" w:color="auto" w:val="clear"/>
            <w:tcMar>
              <w:top w:type="dxa" w:w="80"/>
              <w:left w:type="dxa" w:w="100"/>
              <w:bottom w:type="dxa" w:w="80"/>
              <w:right w:type="dxa" w:w="100"/>
            </w:tcMar>
          </w:tcPr>
          <w:p>
            <w:r>
              <w:rPr>
                <w:sz w:val="18"/>
                <w:szCs w:val="18"/>
              </w:rPr>
              <w:t xml:space="preserve">Career Planning &amp; Simulation</w:t>
            </w:r>
          </w:p>
        </w:tc>
        <w:tc>
          <w:tcPr>
            <w:tcW w:type="dxa" w:w="3120"/>
            <w:shd w:fill="FFFFFF" w:color="auto" w:val="clear"/>
            <w:tcMar>
              <w:top w:type="dxa" w:w="80"/>
              <w:left w:type="dxa" w:w="100"/>
              <w:bottom w:type="dxa" w:w="80"/>
              <w:right w:type="dxa" w:w="100"/>
            </w:tcMar>
          </w:tcPr>
          <w:p>
            <w:r>
              <w:rPr>
                <w:sz w:val="18"/>
                <w:szCs w:val="18"/>
              </w:rPr>
              <w:t xml:space="preserve">Level 1 — Initial</w:t>
            </w:r>
          </w:p>
        </w:tc>
        <w:tc>
          <w:tcPr>
            <w:tcW w:type="dxa" w:w="3120"/>
            <w:shd w:fill="FFFFFF" w:color="auto" w:val="clear"/>
            <w:tcMar>
              <w:top w:type="dxa" w:w="80"/>
              <w:left w:type="dxa" w:w="100"/>
              <w:bottom w:type="dxa" w:w="80"/>
              <w:right w:type="dxa" w:w="100"/>
            </w:tcMar>
          </w:tcPr>
          <w:p>
            <w:r>
              <w:rPr>
                <w:sz w:val="18"/>
                <w:szCs w:val="18"/>
              </w:rPr>
              <w:t xml:space="preserve">Unpopulated simulation engine behind an existing interface.</w:t>
            </w:r>
          </w:p>
        </w:tc>
      </w:tr>
      <w:tr>
        <w:tc>
          <w:tcPr>
            <w:tcW w:type="dxa" w:w="3120"/>
            <w:shd w:fill="F2F2F2" w:color="auto" w:val="clear"/>
            <w:tcMar>
              <w:top w:type="dxa" w:w="80"/>
              <w:left w:type="dxa" w:w="100"/>
              <w:bottom w:type="dxa" w:w="80"/>
              <w:right w:type="dxa" w:w="100"/>
            </w:tcMar>
          </w:tcPr>
          <w:p>
            <w:r>
              <w:rPr>
                <w:sz w:val="18"/>
                <w:szCs w:val="18"/>
              </w:rPr>
              <w:t xml:space="preserve">Knowledge Evolution</w:t>
            </w:r>
          </w:p>
        </w:tc>
        <w:tc>
          <w:tcPr>
            <w:tcW w:type="dxa" w:w="3120"/>
            <w:shd w:fill="F2F2F2" w:color="auto" w:val="clear"/>
            <w:tcMar>
              <w:top w:type="dxa" w:w="80"/>
              <w:left w:type="dxa" w:w="100"/>
              <w:bottom w:type="dxa" w:w="80"/>
              <w:right w:type="dxa" w:w="100"/>
            </w:tcMar>
          </w:tcPr>
          <w:p>
            <w:r>
              <w:rPr>
                <w:sz w:val="18"/>
                <w:szCs w:val="18"/>
              </w:rPr>
              <w:t xml:space="preserve">Level 2/3 — compound</w:t>
            </w:r>
          </w:p>
        </w:tc>
        <w:tc>
          <w:tcPr>
            <w:tcW w:type="dxa" w:w="3120"/>
            <w:shd w:fill="F2F2F2" w:color="auto" w:val="clear"/>
            <w:tcMar>
              <w:top w:type="dxa" w:w="80"/>
              <w:left w:type="dxa" w:w="100"/>
              <w:bottom w:type="dxa" w:w="80"/>
              <w:right w:type="dxa" w:w="100"/>
            </w:tcMar>
          </w:tcPr>
          <w:p>
            <w:r>
              <w:rPr>
                <w:sz w:val="18"/>
                <w:szCs w:val="18"/>
              </w:rPr>
              <w:t xml:space="preserve">Mock labor-market and source-curation collection.</w:t>
            </w:r>
          </w:p>
        </w:tc>
      </w:tr>
      <w:tr>
        <w:tc>
          <w:tcPr>
            <w:tcW w:type="dxa" w:w="3120"/>
            <w:shd w:fill="FFFFFF" w:color="auto" w:val="clear"/>
            <w:tcMar>
              <w:top w:type="dxa" w:w="80"/>
              <w:left w:type="dxa" w:w="100"/>
              <w:bottom w:type="dxa" w:w="80"/>
              <w:right w:type="dxa" w:w="100"/>
            </w:tcMar>
          </w:tcPr>
          <w:p>
            <w:r>
              <w:rPr>
                <w:sz w:val="18"/>
                <w:szCs w:val="18"/>
              </w:rPr>
              <w:t xml:space="preserve">Daily Engagement &amp; Growth</w:t>
            </w:r>
          </w:p>
        </w:tc>
        <w:tc>
          <w:tcPr>
            <w:tcW w:type="dxa" w:w="3120"/>
            <w:shd w:fill="FFFFFF" w:color="auto" w:val="clear"/>
            <w:tcMar>
              <w:top w:type="dxa" w:w="80"/>
              <w:left w:type="dxa" w:w="100"/>
              <w:bottom w:type="dxa" w:w="80"/>
              <w:right w:type="dxa" w:w="100"/>
            </w:tcMar>
          </w:tcPr>
          <w:p>
            <w:r>
              <w:rPr>
                <w:sz w:val="18"/>
                <w:szCs w:val="18"/>
              </w:rPr>
              <w:t xml:space="preserve">Level 2 — Emerging</w:t>
            </w:r>
          </w:p>
        </w:tc>
        <w:tc>
          <w:tcPr>
            <w:tcW w:type="dxa" w:w="3120"/>
            <w:shd w:fill="FFFFFF" w:color="auto" w:val="clear"/>
            <w:tcMar>
              <w:top w:type="dxa" w:w="80"/>
              <w:left w:type="dxa" w:w="100"/>
              <w:bottom w:type="dxa" w:w="80"/>
              <w:right w:type="dxa" w:w="100"/>
            </w:tcMar>
          </w:tcPr>
          <w:p>
            <w:r>
              <w:rPr>
                <w:sz w:val="18"/>
                <w:szCs w:val="18"/>
              </w:rPr>
              <w:t xml:space="preserve">Not yet outcome-validated.</w:t>
            </w:r>
          </w:p>
        </w:tc>
      </w:tr>
      <w:tr>
        <w:tc>
          <w:tcPr>
            <w:tcW w:type="dxa" w:w="3120"/>
            <w:shd w:fill="F2F2F2" w:color="auto" w:val="clear"/>
            <w:tcMar>
              <w:top w:type="dxa" w:w="80"/>
              <w:left w:type="dxa" w:w="100"/>
              <w:bottom w:type="dxa" w:w="80"/>
              <w:right w:type="dxa" w:w="100"/>
            </w:tcMar>
          </w:tcPr>
          <w:p>
            <w:r>
              <w:rPr>
                <w:sz w:val="18"/>
                <w:szCs w:val="18"/>
              </w:rPr>
              <w:t xml:space="preserve">Platform Trust, Identity &amp; Governance</w:t>
            </w:r>
          </w:p>
        </w:tc>
        <w:tc>
          <w:tcPr>
            <w:tcW w:type="dxa" w:w="3120"/>
            <w:shd w:fill="F2F2F2" w:color="auto" w:val="clear"/>
            <w:tcMar>
              <w:top w:type="dxa" w:w="80"/>
              <w:left w:type="dxa" w:w="100"/>
              <w:bottom w:type="dxa" w:w="80"/>
              <w:right w:type="dxa" w:w="100"/>
            </w:tcMar>
          </w:tcPr>
          <w:p>
            <w:r>
              <w:rPr>
                <w:sz w:val="18"/>
                <w:szCs w:val="18"/>
              </w:rPr>
              <w:t xml:space="preserve">Level 3 — Managed</w:t>
            </w:r>
          </w:p>
        </w:tc>
        <w:tc>
          <w:tcPr>
            <w:tcW w:type="dxa" w:w="3120"/>
            <w:shd w:fill="F2F2F2" w:color="auto" w:val="clear"/>
            <w:tcMar>
              <w:top w:type="dxa" w:w="80"/>
              <w:left w:type="dxa" w:w="100"/>
              <w:bottom w:type="dxa" w:w="80"/>
              <w:right w:type="dxa" w:w="100"/>
            </w:tcMar>
          </w:tcPr>
          <w:p>
            <w:r>
              <w:rPr>
                <w:sz w:val="18"/>
                <w:szCs w:val="18"/>
              </w:rPr>
              <w:t xml:space="preserve">Four documented governance-drift items (EEP-01 Phase J).</w:t>
            </w:r>
          </w:p>
        </w:tc>
      </w:tr>
      <w:tr>
        <w:tc>
          <w:tcPr>
            <w:tcW w:type="dxa" w:w="3120"/>
            <w:shd w:fill="FFFFFF" w:color="auto" w:val="clear"/>
            <w:tcMar>
              <w:top w:type="dxa" w:w="80"/>
              <w:left w:type="dxa" w:w="100"/>
              <w:bottom w:type="dxa" w:w="80"/>
              <w:right w:type="dxa" w:w="100"/>
            </w:tcMar>
          </w:tcPr>
          <w:p>
            <w:r>
              <w:rPr>
                <w:sz w:val="18"/>
                <w:szCs w:val="18"/>
              </w:rPr>
              <w:t xml:space="preserve">Employer Collaboration</w:t>
            </w:r>
          </w:p>
        </w:tc>
        <w:tc>
          <w:tcPr>
            <w:tcW w:type="dxa" w:w="3120"/>
            <w:shd w:fill="FFFFFF" w:color="auto" w:val="clear"/>
            <w:tcMar>
              <w:top w:type="dxa" w:w="80"/>
              <w:left w:type="dxa" w:w="100"/>
              <w:bottom w:type="dxa" w:w="80"/>
              <w:right w:type="dxa" w:w="100"/>
            </w:tcMar>
          </w:tcPr>
          <w:p>
            <w:r>
              <w:rPr>
                <w:sz w:val="18"/>
                <w:szCs w:val="18"/>
              </w:rPr>
              <w:t xml:space="preserve">Level 1 — Initial</w:t>
            </w:r>
          </w:p>
        </w:tc>
        <w:tc>
          <w:tcPr>
            <w:tcW w:type="dxa" w:w="3120"/>
            <w:shd w:fill="FFFFFF" w:color="auto" w:val="clear"/>
            <w:tcMar>
              <w:top w:type="dxa" w:w="80"/>
              <w:left w:type="dxa" w:w="100"/>
              <w:bottom w:type="dxa" w:w="80"/>
              <w:right w:type="dxa" w:w="100"/>
            </w:tcMar>
          </w:tcPr>
          <w:p>
            <w:r>
              <w:rPr>
                <w:sz w:val="18"/>
                <w:szCs w:val="18"/>
              </w:rPr>
              <w:t xml:space="preserve">No live external partner signed.</w:t>
            </w:r>
          </w:p>
        </w:tc>
      </w:tr>
      <w:tr>
        <w:tc>
          <w:tcPr>
            <w:tcW w:type="dxa" w:w="3120"/>
            <w:shd w:fill="F2F2F2" w:color="auto" w:val="clear"/>
            <w:tcMar>
              <w:top w:type="dxa" w:w="80"/>
              <w:left w:type="dxa" w:w="100"/>
              <w:bottom w:type="dxa" w:w="80"/>
              <w:right w:type="dxa" w:w="100"/>
            </w:tcMar>
          </w:tcPr>
          <w:p>
            <w:r>
              <w:rPr>
                <w:sz w:val="18"/>
                <w:szCs w:val="18"/>
              </w:rPr>
              <w:t xml:space="preserve">Career Outcome Intelligence</w:t>
            </w:r>
          </w:p>
        </w:tc>
        <w:tc>
          <w:tcPr>
            <w:tcW w:type="dxa" w:w="3120"/>
            <w:shd w:fill="F2F2F2" w:color="auto" w:val="clear"/>
            <w:tcMar>
              <w:top w:type="dxa" w:w="80"/>
              <w:left w:type="dxa" w:w="100"/>
              <w:bottom w:type="dxa" w:w="80"/>
              <w:right w:type="dxa" w:w="100"/>
            </w:tcMar>
          </w:tcPr>
          <w:p>
            <w:r>
              <w:rPr>
                <w:sz w:val="18"/>
                <w:szCs w:val="18"/>
              </w:rPr>
              <w:t xml:space="preserve">Level 0 — Not evidenced</w:t>
            </w:r>
          </w:p>
        </w:tc>
        <w:tc>
          <w:tcPr>
            <w:tcW w:type="dxa" w:w="3120"/>
            <w:shd w:fill="F2F2F2" w:color="auto" w:val="clear"/>
            <w:tcMar>
              <w:top w:type="dxa" w:w="80"/>
              <w:left w:type="dxa" w:w="100"/>
              <w:bottom w:type="dxa" w:w="80"/>
              <w:right w:type="dxa" w:w="100"/>
            </w:tcMar>
          </w:tcPr>
          <w:p>
            <w:r>
              <w:rPr>
                <w:sz w:val="18"/>
                <w:szCs w:val="18"/>
              </w:rPr>
              <w:t xml:space="preserve">No owning module, service, or data store exists.</w:t>
            </w:r>
          </w:p>
        </w:tc>
      </w:tr>
    </w:tbl>
    <w:p>
      <w:pPr>
        <w:spacing w:after="200"/>
      </w:pPr>
    </w:p>
    <w:p>
      <w:pPr>
        <w:pStyle w:val="Heading1"/>
        <w:spacing w:after="200" w:before="400"/>
      </w:pPr>
      <w:r>
        <w:t xml:space="preserve">12. Current State vs Target State</w:t>
      </w:r>
    </w:p>
    <w:p>
      <w:pPr>
        <w:pStyle w:val="Heading2"/>
        <w:spacing w:after="150" w:before="300"/>
      </w:pPr>
      <w:r>
        <w:t xml:space="preserve">12.1 Current Value Streams (Level 3+ overall)</w:t>
      </w:r>
    </w:p>
    <w:p>
      <w:pPr>
        <w:pStyle w:val="ListParagraph"/>
        <w:numPr>
          <w:ilvl w:val="0"/>
          <w:numId w:val="1"/>
        </w:numPr>
        <w:spacing w:after="100"/>
      </w:pPr>
      <w:r>
        <w:t xml:space="preserve">Student Onboarding &amp; Academic Foundation — the portfolio's most mature value stream by evidence.</w:t>
      </w:r>
    </w:p>
    <w:p>
      <w:pPr>
        <w:pStyle w:val="ListParagraph"/>
        <w:numPr>
          <w:ilvl w:val="0"/>
          <w:numId w:val="1"/>
        </w:numPr>
        <w:spacing w:after="100"/>
      </w:pPr>
      <w:r>
        <w:t xml:space="preserve">AI Advisory &amp; Conversational Guidance — the portfolio's most mature AI-native value stream.</w:t>
      </w:r>
    </w:p>
    <w:p>
      <w:pPr>
        <w:pStyle w:val="ListParagraph"/>
        <w:numPr>
          <w:ilvl w:val="0"/>
          <w:numId w:val="1"/>
        </w:numPr>
        <w:spacing w:after="100"/>
      </w:pPr>
      <w:r>
        <w:t xml:space="preserve">Career Discovery &amp; Recommendation — Managed overall, capped by an inherited external dependency rather than its own internal maturity.</w:t>
      </w:r>
    </w:p>
    <w:p>
      <w:pPr>
        <w:pStyle w:val="ListParagraph"/>
        <w:numPr>
          <w:ilvl w:val="0"/>
          <w:numId w:val="1"/>
        </w:numPr>
        <w:spacing w:after="100"/>
      </w:pPr>
      <w:r>
        <w:t xml:space="preserve">Resume &amp; Application Readiness — Managed, both intake and generation sides production-oriented.</w:t>
      </w:r>
    </w:p>
    <w:p>
      <w:pPr>
        <w:pStyle w:val="ListParagraph"/>
        <w:numPr>
          <w:ilvl w:val="0"/>
          <w:numId w:val="1"/>
        </w:numPr>
        <w:spacing w:after="100"/>
      </w:pPr>
      <w:r>
        <w:t xml:space="preserve">Platform Trust, Identity &amp; Governance — Managed, with named, already-diagnosed drift items to close.</w:t>
      </w:r>
    </w:p>
    <w:p>
      <w:pPr>
        <w:pStyle w:val="Heading2"/>
        <w:spacing w:after="150" w:before="300"/>
      </w:pPr>
      <w:r>
        <w:t xml:space="preserve">12.2 Value Streams Below Level 3 (evidenced gap)</w:t>
      </w:r>
    </w:p>
    <w:p>
      <w:pPr>
        <w:pStyle w:val="ListParagraph"/>
        <w:numPr>
          <w:ilvl w:val="0"/>
          <w:numId w:val="1"/>
        </w:numPr>
        <w:spacing w:after="100"/>
      </w:pPr>
      <w:r>
        <w:t xml:space="preserve">Career Health &amp; Continuous Monitoring — capped by an undefined v1-to-chiV2 migration plan.</w:t>
      </w:r>
    </w:p>
    <w:p>
      <w:pPr>
        <w:pStyle w:val="ListParagraph"/>
        <w:numPr>
          <w:ilvl w:val="0"/>
          <w:numId w:val="1"/>
        </w:numPr>
        <w:spacing w:after="100"/>
      </w:pPr>
      <w:r>
        <w:t xml:space="preserve">Job Opportunity Discovery — capped by the Employer Domain's pre-activation state.</w:t>
      </w:r>
    </w:p>
    <w:p>
      <w:pPr>
        <w:pStyle w:val="ListParagraph"/>
        <w:numPr>
          <w:ilvl w:val="0"/>
          <w:numId w:val="1"/>
        </w:numPr>
        <w:spacing w:after="100"/>
      </w:pPr>
      <w:r>
        <w:t xml:space="preserve">Career Planning &amp; Simulation — Level 1, an interface shell without a populated engine.</w:t>
      </w:r>
    </w:p>
    <w:p>
      <w:pPr>
        <w:pStyle w:val="ListParagraph"/>
        <w:numPr>
          <w:ilvl w:val="0"/>
          <w:numId w:val="1"/>
        </w:numPr>
        <w:spacing w:after="100"/>
      </w:pPr>
      <w:r>
        <w:t xml:space="preserve">Knowledge Evolution — capped by mock labor-market and source-curation collection.</w:t>
      </w:r>
    </w:p>
    <w:p>
      <w:pPr>
        <w:pStyle w:val="ListParagraph"/>
        <w:numPr>
          <w:ilvl w:val="0"/>
          <w:numId w:val="1"/>
        </w:numPr>
        <w:spacing w:after="100"/>
      </w:pPr>
      <w:r>
        <w:t xml:space="preserve">Daily Engagement &amp; Growth — implemented but not yet outcome-validated.</w:t>
      </w:r>
    </w:p>
    <w:p>
      <w:pPr>
        <w:pStyle w:val="ListParagraph"/>
        <w:numPr>
          <w:ilvl w:val="0"/>
          <w:numId w:val="1"/>
        </w:numPr>
        <w:spacing w:after="100"/>
      </w:pPr>
      <w:r>
        <w:t xml:space="preserve">Employer Collaboration — Level 1, the portfolio's least mature value stream, by design intent rather than neglect (mirroring Phase B ADR-BD-03).</w:t>
      </w:r>
    </w:p>
    <w:p>
      <w:pPr>
        <w:pStyle w:val="Heading2"/>
        <w:spacing w:after="150" w:before="300"/>
      </w:pPr>
      <w:r>
        <w:t xml:space="preserve">12.3 Missing Value Streams (not yet started, strategically implied)</w:t>
      </w:r>
    </w:p>
    <w:p>
      <w:pPr>
        <w:pStyle w:val="ListParagraph"/>
        <w:numPr>
          <w:ilvl w:val="0"/>
          <w:numId w:val="1"/>
        </w:numPr>
        <w:spacing w:after="100"/>
      </w:pPr>
      <w:r>
        <w:t xml:space="preserve">Career Outcome Intelligence — no owning module, service, or data store exists today; KPI language throughout this catalog assumes it without yet measuring it.</w:t>
      </w:r>
    </w:p>
    <w:p>
      <w:pPr>
        <w:pStyle w:val="ListParagraph"/>
        <w:numPr>
          <w:ilvl w:val="0"/>
          <w:numId w:val="1"/>
        </w:numPr>
        <w:spacing w:after="100"/>
      </w:pPr>
      <w:r>
        <w:t xml:space="preserve">Partner &amp; Ecosystem Intelligence — no partner integration beyond the Employer Domain's own pre-activation state exists anywhere in the repository.</w:t>
      </w:r>
    </w:p>
    <w:p>
      <w:pPr>
        <w:pStyle w:val="Heading2"/>
        <w:spacing w:after="150" w:before="300"/>
      </w:pPr>
      <w:r>
        <w:t xml:space="preserve">12.4 Evolution Path and Business Adoption Triggers</w:t>
      </w:r>
    </w:p>
    <w:p>
      <w:pPr>
        <w:spacing w:after="160"/>
        <w:jc w:val="both"/>
      </w:pPr>
      <w:r>
        <w:rPr>
          <w:sz w:val="21"/>
          <w:szCs w:val="21"/>
        </w:rPr>
        <w:t xml:space="preserve">Every evolution path in this document is trigger-gated, never calendar-only, per Section 3.7. The single highest-leverage trigger in the entire portfolio is the first signed employer or job-board partner agreement: it simultaneously unlocks Job Opportunity Discovery, Knowledge Evolution, and — indirectly, through both — Career Discovery &amp; Recommendation's real-world credibility, exactly matching the finding Phase A and Phase B each independently reached about their own respective layers.</w:t>
      </w:r>
    </w:p>
    <w:p>
      <w:pPr>
        <w:pStyle w:val="Heading1"/>
        <w:spacing w:after="200" w:before="400"/>
      </w:pPr>
      <w:r>
        <w:t xml:space="preserve">13. Enterprise Value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tcPr>
          <w:p>
            <w:r>
              <w:rPr>
                <w:b/>
                <w:bCs/>
                <w:color w:val="FFFFFF"/>
                <w:sz w:val="18"/>
                <w:szCs w:val="18"/>
              </w:rPr>
              <w:t xml:space="preserve">Category</w:t>
            </w:r>
          </w:p>
        </w:tc>
        <w:tc>
          <w:tcPr>
            <w:tcW w:type="dxa" w:w="3120"/>
            <w:shd w:fill="1F3864" w:color="auto" w:val="clear"/>
            <w:tcMar>
              <w:top w:type="dxa" w:w="80"/>
              <w:left w:type="dxa" w:w="100"/>
              <w:bottom w:type="dxa" w:w="80"/>
              <w:right w:type="dxa" w:w="100"/>
            </w:tcMar>
          </w:tcPr>
          <w:p>
            <w:r>
              <w:rPr>
                <w:b/>
                <w:bCs/>
                <w:color w:val="FFFFFF"/>
                <w:sz w:val="18"/>
                <w:szCs w:val="18"/>
              </w:rPr>
              <w:t xml:space="preserve">Value streams</w:t>
            </w:r>
          </w:p>
        </w:tc>
        <w:tc>
          <w:tcPr>
            <w:tcW w:type="dxa" w:w="3120"/>
            <w:shd w:fill="1F3864" w:color="auto" w:val="clear"/>
            <w:tcMar>
              <w:top w:type="dxa" w:w="80"/>
              <w:left w:type="dxa" w:w="100"/>
              <w:bottom w:type="dxa" w:w="80"/>
              <w:right w:type="dxa" w:w="100"/>
            </w:tcMar>
          </w:tcPr>
          <w:p>
            <w:r>
              <w:rPr>
                <w:b/>
                <w:bCs/>
                <w:color w:val="FFFFFF"/>
                <w:sz w:val="18"/>
                <w:szCs w:val="18"/>
              </w:rPr>
              <w:t xml:space="preserve">Rationale</w:t>
            </w:r>
          </w:p>
        </w:tc>
      </w:tr>
      <w:tr>
        <w:tc>
          <w:tcPr>
            <w:tcW w:type="dxa" w:w="3120"/>
            <w:shd w:fill="FFFFFF" w:color="auto" w:val="clear"/>
            <w:tcMar>
              <w:top w:type="dxa" w:w="80"/>
              <w:left w:type="dxa" w:w="100"/>
              <w:bottom w:type="dxa" w:w="80"/>
              <w:right w:type="dxa" w:w="100"/>
            </w:tcMar>
          </w:tcPr>
          <w:p>
            <w:r>
              <w:rPr>
                <w:sz w:val="18"/>
                <w:szCs w:val="18"/>
              </w:rPr>
              <w:t xml:space="preserve">Strategic Investment</w:t>
            </w:r>
          </w:p>
        </w:tc>
        <w:tc>
          <w:tcPr>
            <w:tcW w:type="dxa" w:w="3120"/>
            <w:shd w:fill="FFFFFF" w:color="auto" w:val="clear"/>
            <w:tcMar>
              <w:top w:type="dxa" w:w="80"/>
              <w:left w:type="dxa" w:w="100"/>
              <w:bottom w:type="dxa" w:w="80"/>
              <w:right w:type="dxa" w:w="100"/>
            </w:tcMar>
          </w:tcPr>
          <w:p>
            <w:r>
              <w:rPr>
                <w:sz w:val="18"/>
                <w:szCs w:val="18"/>
              </w:rPr>
              <w:t xml:space="preserve">Employer Collaboration; Career Discovery &amp; Recommendation</w:t>
            </w:r>
          </w:p>
        </w:tc>
        <w:tc>
          <w:tcPr>
            <w:tcW w:type="dxa" w:w="3120"/>
            <w:shd w:fill="FFFFFF" w:color="auto" w:val="clear"/>
            <w:tcMar>
              <w:top w:type="dxa" w:w="80"/>
              <w:left w:type="dxa" w:w="100"/>
              <w:bottom w:type="dxa" w:w="80"/>
              <w:right w:type="dxa" w:w="100"/>
            </w:tcMar>
          </w:tcPr>
          <w:p>
            <w:r>
              <w:rPr>
                <w:sz w:val="18"/>
                <w:szCs w:val="18"/>
              </w:rPr>
              <w:t xml:space="preserve">Employer Collaboration is the single highest-leverage unlock in the portfolio despite Level 1 maturity (mirrors Phase B ADR-BD-03); Career Discovery &amp; Recommendation carries the platform's core strategic differentiation.</w:t>
            </w:r>
          </w:p>
        </w:tc>
      </w:tr>
      <w:tr>
        <w:tc>
          <w:tcPr>
            <w:tcW w:type="dxa" w:w="3120"/>
            <w:shd w:fill="F2F2F2" w:color="auto" w:val="clear"/>
            <w:tcMar>
              <w:top w:type="dxa" w:w="80"/>
              <w:left w:type="dxa" w:w="100"/>
              <w:bottom w:type="dxa" w:w="80"/>
              <w:right w:type="dxa" w:w="100"/>
            </w:tcMar>
          </w:tcPr>
          <w:p>
            <w:r>
              <w:rPr>
                <w:sz w:val="18"/>
                <w:szCs w:val="18"/>
              </w:rPr>
              <w:t xml:space="preserve">Maintain</w:t>
            </w:r>
          </w:p>
        </w:tc>
        <w:tc>
          <w:tcPr>
            <w:tcW w:type="dxa" w:w="3120"/>
            <w:shd w:fill="F2F2F2" w:color="auto" w:val="clear"/>
            <w:tcMar>
              <w:top w:type="dxa" w:w="80"/>
              <w:left w:type="dxa" w:w="100"/>
              <w:bottom w:type="dxa" w:w="80"/>
              <w:right w:type="dxa" w:w="100"/>
            </w:tcMar>
          </w:tcPr>
          <w:p>
            <w:r>
              <w:rPr>
                <w:sz w:val="18"/>
                <w:szCs w:val="18"/>
              </w:rPr>
              <w:t xml:space="preserve">Student Onboarding &amp; Academic Foundation; AI Advisory &amp; Conversational Guidance</w:t>
            </w:r>
          </w:p>
        </w:tc>
        <w:tc>
          <w:tcPr>
            <w:tcW w:type="dxa" w:w="3120"/>
            <w:shd w:fill="F2F2F2" w:color="auto" w:val="clear"/>
            <w:tcMar>
              <w:top w:type="dxa" w:w="80"/>
              <w:left w:type="dxa" w:w="100"/>
              <w:bottom w:type="dxa" w:w="80"/>
              <w:right w:type="dxa" w:w="100"/>
            </w:tcMar>
          </w:tcPr>
          <w:p>
            <w:r>
              <w:rPr>
                <w:sz w:val="18"/>
                <w:szCs w:val="18"/>
              </w:rPr>
              <w:t xml:space="preserve">Both already Level 4, with no data-model-level work required in the near term; effort belongs elsewhere.</w:t>
            </w:r>
          </w:p>
        </w:tc>
      </w:tr>
      <w:tr>
        <w:tc>
          <w:tcPr>
            <w:tcW w:type="dxa" w:w="3120"/>
            <w:shd w:fill="FFFFFF" w:color="auto" w:val="clear"/>
            <w:tcMar>
              <w:top w:type="dxa" w:w="80"/>
              <w:left w:type="dxa" w:w="100"/>
              <w:bottom w:type="dxa" w:w="80"/>
              <w:right w:type="dxa" w:w="100"/>
            </w:tcMar>
          </w:tcPr>
          <w:p>
            <w:r>
              <w:rPr>
                <w:sz w:val="18"/>
                <w:szCs w:val="18"/>
              </w:rPr>
              <w:t xml:space="preserve">Improve</w:t>
            </w:r>
          </w:p>
        </w:tc>
        <w:tc>
          <w:tcPr>
            <w:tcW w:type="dxa" w:w="3120"/>
            <w:shd w:fill="FFFFFF" w:color="auto" w:val="clear"/>
            <w:tcMar>
              <w:top w:type="dxa" w:w="80"/>
              <w:left w:type="dxa" w:w="100"/>
              <w:bottom w:type="dxa" w:w="80"/>
              <w:right w:type="dxa" w:w="100"/>
            </w:tcMar>
          </w:tcPr>
          <w:p>
            <w:r>
              <w:rPr>
                <w:sz w:val="18"/>
                <w:szCs w:val="18"/>
              </w:rPr>
              <w:t xml:space="preserve">Job Opportunity Discovery; Career Health &amp; Continuous Monitoring; Resume &amp; Application Readiness</w:t>
            </w:r>
          </w:p>
        </w:tc>
        <w:tc>
          <w:tcPr>
            <w:tcW w:type="dxa" w:w="3120"/>
            <w:shd w:fill="FFFFFF" w:color="auto" w:val="clear"/>
            <w:tcMar>
              <w:top w:type="dxa" w:w="80"/>
              <w:left w:type="dxa" w:w="100"/>
              <w:bottom w:type="dxa" w:w="80"/>
              <w:right w:type="dxa" w:w="100"/>
            </w:tcMar>
          </w:tcPr>
          <w:p>
            <w:r>
              <w:rPr>
                <w:sz w:val="18"/>
                <w:szCs w:val="18"/>
              </w:rPr>
              <w:t xml:space="preserve">Real, working value streams with a named, closeable constraint (mock data, undefined migration plan, or an upstream ceiling) rather than a structural absence.</w:t>
            </w:r>
          </w:p>
        </w:tc>
      </w:tr>
      <w:tr>
        <w:tc>
          <w:tcPr>
            <w:tcW w:type="dxa" w:w="3120"/>
            <w:shd w:fill="F2F2F2" w:color="auto" w:val="clear"/>
            <w:tcMar>
              <w:top w:type="dxa" w:w="80"/>
              <w:left w:type="dxa" w:w="100"/>
              <w:bottom w:type="dxa" w:w="80"/>
              <w:right w:type="dxa" w:w="100"/>
            </w:tcMar>
          </w:tcPr>
          <w:p>
            <w:r>
              <w:rPr>
                <w:sz w:val="18"/>
                <w:szCs w:val="18"/>
              </w:rPr>
              <w:t xml:space="preserve">Emerging</w:t>
            </w:r>
          </w:p>
        </w:tc>
        <w:tc>
          <w:tcPr>
            <w:tcW w:type="dxa" w:w="3120"/>
            <w:shd w:fill="F2F2F2" w:color="auto" w:val="clear"/>
            <w:tcMar>
              <w:top w:type="dxa" w:w="80"/>
              <w:left w:type="dxa" w:w="100"/>
              <w:bottom w:type="dxa" w:w="80"/>
              <w:right w:type="dxa" w:w="100"/>
            </w:tcMar>
          </w:tcPr>
          <w:p>
            <w:r>
              <w:rPr>
                <w:sz w:val="18"/>
                <w:szCs w:val="18"/>
              </w:rPr>
              <w:t xml:space="preserve">Knowledge Evolution; Daily Engagement &amp; Growth</w:t>
            </w:r>
          </w:p>
        </w:tc>
        <w:tc>
          <w:tcPr>
            <w:tcW w:type="dxa" w:w="3120"/>
            <w:shd w:fill="F2F2F2" w:color="auto" w:val="clear"/>
            <w:tcMar>
              <w:top w:type="dxa" w:w="80"/>
              <w:left w:type="dxa" w:w="100"/>
              <w:bottom w:type="dxa" w:w="80"/>
              <w:right w:type="dxa" w:w="100"/>
            </w:tcMar>
          </w:tcPr>
          <w:p>
            <w:r>
              <w:rPr>
                <w:sz w:val="18"/>
                <w:szCs w:val="18"/>
              </w:rPr>
              <w:t xml:space="preserve">Implemented and operating, but not yet outcome-validated or fully instrumented.</w:t>
            </w:r>
          </w:p>
        </w:tc>
      </w:tr>
      <w:tr>
        <w:tc>
          <w:tcPr>
            <w:tcW w:type="dxa" w:w="3120"/>
            <w:shd w:fill="FFFFFF" w:color="auto" w:val="clear"/>
            <w:tcMar>
              <w:top w:type="dxa" w:w="80"/>
              <w:left w:type="dxa" w:w="100"/>
              <w:bottom w:type="dxa" w:w="80"/>
              <w:right w:type="dxa" w:w="100"/>
            </w:tcMar>
          </w:tcPr>
          <w:p>
            <w:r>
              <w:rPr>
                <w:sz w:val="18"/>
                <w:szCs w:val="18"/>
              </w:rPr>
              <w:t xml:space="preserve">Experimental</w:t>
            </w:r>
          </w:p>
        </w:tc>
        <w:tc>
          <w:tcPr>
            <w:tcW w:type="dxa" w:w="3120"/>
            <w:shd w:fill="FFFFFF" w:color="auto" w:val="clear"/>
            <w:tcMar>
              <w:top w:type="dxa" w:w="80"/>
              <w:left w:type="dxa" w:w="100"/>
              <w:bottom w:type="dxa" w:w="80"/>
              <w:right w:type="dxa" w:w="100"/>
            </w:tcMar>
          </w:tcPr>
          <w:p>
            <w:r>
              <w:rPr>
                <w:sz w:val="18"/>
                <w:szCs w:val="18"/>
              </w:rPr>
              <w:t xml:space="preserve">Career Planning &amp; Simulation</w:t>
            </w:r>
          </w:p>
        </w:tc>
        <w:tc>
          <w:tcPr>
            <w:tcW w:type="dxa" w:w="3120"/>
            <w:shd w:fill="FFFFFF" w:color="auto" w:val="clear"/>
            <w:tcMar>
              <w:top w:type="dxa" w:w="80"/>
              <w:left w:type="dxa" w:w="100"/>
              <w:bottom w:type="dxa" w:w="80"/>
              <w:right w:type="dxa" w:w="100"/>
            </w:tcMar>
          </w:tcPr>
          <w:p>
            <w:r>
              <w:rPr>
                <w:sz w:val="18"/>
                <w:szCs w:val="18"/>
              </w:rPr>
              <w:t xml:space="preserve">Interface shell only; genuinely early-stage, not yet a working value stream.</w:t>
            </w:r>
          </w:p>
        </w:tc>
      </w:tr>
      <w:tr>
        <w:tc>
          <w:tcPr>
            <w:tcW w:type="dxa" w:w="3120"/>
            <w:shd w:fill="F2F2F2" w:color="auto" w:val="clear"/>
            <w:tcMar>
              <w:top w:type="dxa" w:w="80"/>
              <w:left w:type="dxa" w:w="100"/>
              <w:bottom w:type="dxa" w:w="80"/>
              <w:right w:type="dxa" w:w="100"/>
            </w:tcMar>
          </w:tcPr>
          <w:p>
            <w:r>
              <w:rPr>
                <w:sz w:val="18"/>
                <w:szCs w:val="18"/>
              </w:rPr>
              <w:t xml:space="preserve">Future</w:t>
            </w:r>
          </w:p>
        </w:tc>
        <w:tc>
          <w:tcPr>
            <w:tcW w:type="dxa" w:w="3120"/>
            <w:shd w:fill="F2F2F2" w:color="auto" w:val="clear"/>
            <w:tcMar>
              <w:top w:type="dxa" w:w="80"/>
              <w:left w:type="dxa" w:w="100"/>
              <w:bottom w:type="dxa" w:w="80"/>
              <w:right w:type="dxa" w:w="100"/>
            </w:tcMar>
          </w:tcPr>
          <w:p>
            <w:r>
              <w:rPr>
                <w:sz w:val="18"/>
                <w:szCs w:val="18"/>
              </w:rPr>
              <w:t xml:space="preserve">Career Outcome Intelligence; Partner &amp; Ecosystem Intelligence</w:t>
            </w:r>
          </w:p>
        </w:tc>
        <w:tc>
          <w:tcPr>
            <w:tcW w:type="dxa" w:w="3120"/>
            <w:shd w:fill="F2F2F2" w:color="auto" w:val="clear"/>
            <w:tcMar>
              <w:top w:type="dxa" w:w="80"/>
              <w:left w:type="dxa" w:w="100"/>
              <w:bottom w:type="dxa" w:w="80"/>
              <w:right w:type="dxa" w:w="100"/>
            </w:tcMar>
          </w:tcPr>
          <w:p>
            <w:r>
              <w:rPr>
                <w:sz w:val="18"/>
                <w:szCs w:val="18"/>
              </w:rPr>
              <w:t xml:space="preserve">Evidenced gaps, not yet started at any maturity.</w:t>
            </w:r>
          </w:p>
        </w:tc>
      </w:tr>
      <w:tr>
        <w:tc>
          <w:tcPr>
            <w:tcW w:type="dxa" w:w="3120"/>
            <w:shd w:fill="FFFFFF" w:color="auto" w:val="clear"/>
            <w:tcMar>
              <w:top w:type="dxa" w:w="80"/>
              <w:left w:type="dxa" w:w="100"/>
              <w:bottom w:type="dxa" w:w="80"/>
              <w:right w:type="dxa" w:w="100"/>
            </w:tcMar>
          </w:tcPr>
          <w:p>
            <w:r>
              <w:rPr>
                <w:sz w:val="18"/>
                <w:szCs w:val="18"/>
              </w:rPr>
              <w:t xml:space="preserve">Legacy</w:t>
            </w:r>
          </w:p>
        </w:tc>
        <w:tc>
          <w:tcPr>
            <w:tcW w:type="dxa" w:w="3120"/>
            <w:shd w:fill="FFFFFF" w:color="auto" w:val="clear"/>
            <w:tcMar>
              <w:top w:type="dxa" w:w="80"/>
              <w:left w:type="dxa" w:w="100"/>
              <w:bottom w:type="dxa" w:w="80"/>
              <w:right w:type="dxa" w:w="100"/>
            </w:tcMar>
          </w:tcPr>
          <w:p>
            <w:r>
              <w:rPr>
                <w:sz w:val="18"/>
                <w:szCs w:val="18"/>
              </w:rPr>
              <w:t xml:space="preserve">None</w:t>
            </w:r>
          </w:p>
        </w:tc>
        <w:tc>
          <w:tcPr>
            <w:tcW w:type="dxa" w:w="3120"/>
            <w:shd w:fill="FFFFFF" w:color="auto" w:val="clear"/>
            <w:tcMar>
              <w:top w:type="dxa" w:w="80"/>
              <w:left w:type="dxa" w:w="100"/>
              <w:bottom w:type="dxa" w:w="80"/>
              <w:right w:type="dxa" w:w="100"/>
            </w:tcMar>
          </w:tcPr>
          <w:p>
            <w:r>
              <w:rPr>
                <w:sz w:val="18"/>
                <w:szCs w:val="18"/>
              </w:rPr>
              <w:t xml:space="preserve">No repository evidence supports a legacy classification for any current value stream; mirrors Phase A ADR-BC-05 and Phase B ADR-BD-06 exactly — a young, actively evolving platform manufacturing a legacy narrative would introduce a false signal rather than a useful one.</w:t>
            </w:r>
          </w:p>
        </w:tc>
      </w:tr>
    </w:tbl>
    <w:p>
      <w:pPr>
        <w:spacing w:after="200"/>
      </w:pPr>
    </w:p>
    <w:p>
      <w:pPr>
        <w:pStyle w:val="Heading1"/>
        <w:spacing w:after="200" w:before="400"/>
      </w:pPr>
      <w:r>
        <w:t xml:space="preserve">14. Enterprise Value Roadmap</w:t>
      </w:r>
    </w:p>
    <w:p>
      <w:pPr>
        <w:pStyle w:val="Heading2"/>
        <w:spacing w:after="150" w:before="300"/>
      </w:pPr>
      <w:r>
        <w:t xml:space="preserve">14.1 Short-Term (0–6 months)</w:t>
      </w:r>
    </w:p>
    <w:p>
      <w:pPr>
        <w:pStyle w:val="ListParagraph"/>
        <w:numPr>
          <w:ilvl w:val="0"/>
          <w:numId w:val="1"/>
        </w:numPr>
        <w:spacing w:after="100"/>
      </w:pPr>
      <w:r>
        <w:t xml:space="preserve">Make mock-data provenance visible wherever Job Opportunity Discovery or Knowledge Evolution output reaches a student. Adoption trigger: none required — a near-immediate documentation/UX task, inherited from Phase A Section 13.1 and Phase B Section 13.1.</w:t>
      </w:r>
    </w:p>
    <w:p>
      <w:pPr>
        <w:pStyle w:val="ListParagraph"/>
        <w:numPr>
          <w:ilvl w:val="0"/>
          <w:numId w:val="1"/>
        </w:numPr>
        <w:spacing w:after="100"/>
      </w:pPr>
      <w:r>
        <w:t xml:space="preserve">Instrument recommendation acceptance and agent task success as first-class KPIs for Career Discovery &amp; Recommendation and AI Advisory &amp; Conversational Guidance, currently under-measured relative to their maturity. Trigger: none required.</w:t>
      </w:r>
    </w:p>
    <w:p>
      <w:pPr>
        <w:pStyle w:val="ListParagraph"/>
        <w:numPr>
          <w:ilvl w:val="0"/>
          <w:numId w:val="1"/>
        </w:numPr>
        <w:spacing w:after="100"/>
      </w:pPr>
      <w:r>
        <w:t xml:space="preserve">Define and document the v1-to-chiV2 migration/cutover plan for Career Health &amp; Continuous Monitoring explicitly. Trigger: none required.</w:t>
      </w:r>
    </w:p>
    <w:p>
      <w:pPr>
        <w:pStyle w:val="ListParagraph"/>
        <w:numPr>
          <w:ilvl w:val="0"/>
          <w:numId w:val="1"/>
        </w:numPr>
        <w:spacing w:after="100"/>
      </w:pPr>
      <w:r>
        <w:t xml:space="preserve">Close the four documented Platform Trust, Identity &amp; Governance drift items from EEP-01 Phase J. Trigger: none required — already-identified, low-effort fixes.</w:t>
      </w:r>
    </w:p>
    <w:p>
      <w:pPr>
        <w:pStyle w:val="Heading2"/>
        <w:spacing w:after="150" w:before="300"/>
      </w:pPr>
      <w:r>
        <w:t xml:space="preserve">14.2 Medium-Term (6–18 months)</w:t>
      </w:r>
    </w:p>
    <w:p>
      <w:pPr>
        <w:pStyle w:val="ListParagraph"/>
        <w:numPr>
          <w:ilvl w:val="0"/>
          <w:numId w:val="1"/>
        </w:numPr>
        <w:spacing w:after="100"/>
      </w:pPr>
      <w:r>
        <w:t xml:space="preserve">First signed employer or job-board partner integration, activating Employer Collaboration and, through it, Job Opportunity Discovery and Knowledge Evolution together. Trigger: a real, negotiated partner agreement — the single highest-leverage trigger in this roadmap.</w:t>
      </w:r>
    </w:p>
    <w:p>
      <w:pPr>
        <w:pStyle w:val="ListParagraph"/>
        <w:numPr>
          <w:ilvl w:val="0"/>
          <w:numId w:val="1"/>
        </w:numPr>
        <w:spacing w:after="100"/>
      </w:pPr>
      <w:r>
        <w:t xml:space="preserve">Define the Employer Domain live-feed anti-corruption boundary (Phase B Section 8.4) ahead of, not during, the first partner integration.</w:t>
      </w:r>
    </w:p>
    <w:p>
      <w:pPr>
        <w:pStyle w:val="ListParagraph"/>
        <w:numPr>
          <w:ilvl w:val="0"/>
          <w:numId w:val="1"/>
        </w:numPr>
        <w:spacing w:after="100"/>
      </w:pPr>
      <w:r>
        <w:t xml:space="preserve">Populate the Career Planning &amp; Simulation value stream against real academic-history data. Trigger: Student Onboarding &amp; Academic Foundation profile completeness sufficient for a meaningful cohort of students with multi-year history.</w:t>
      </w:r>
    </w:p>
    <w:p>
      <w:pPr>
        <w:pStyle w:val="ListParagraph"/>
        <w:numPr>
          <w:ilvl w:val="0"/>
          <w:numId w:val="1"/>
        </w:numPr>
        <w:spacing w:after="100"/>
      </w:pPr>
      <w:r>
        <w:t xml:space="preserve">Introduce a Supervisor/handoff pattern within AI Advisory &amp; Conversational Guidance's agent coordination once more than two agents need to coordinate on a single task. Trigger: per EEP-01 Phase F Part 8.</w:t>
      </w:r>
    </w:p>
    <w:p>
      <w:pPr>
        <w:pStyle w:val="Heading2"/>
        <w:spacing w:after="150" w:before="300"/>
      </w:pPr>
      <w:r>
        <w:t xml:space="preserve">14.3 Long-Term (18–36+ months)</w:t>
      </w:r>
    </w:p>
    <w:p>
      <w:pPr>
        <w:pStyle w:val="ListParagraph"/>
        <w:numPr>
          <w:ilvl w:val="0"/>
          <w:numId w:val="1"/>
        </w:numPr>
        <w:spacing w:after="100"/>
      </w:pPr>
      <w:r>
        <w:t xml:space="preserve">AI Workflow Orchestration Layer within AI Advisory &amp; Conversational Guidance once more than ten distinct multi-step AI workflows exist. Trigger: per EEP-01 Phase F Part 0.</w:t>
      </w:r>
    </w:p>
    <w:p>
      <w:pPr>
        <w:pStyle w:val="ListParagraph"/>
        <w:numPr>
          <w:ilvl w:val="0"/>
          <w:numId w:val="1"/>
        </w:numPr>
        <w:spacing w:after="100"/>
      </w:pPr>
      <w:r>
        <w:t xml:space="preserve">Build a dedicated Career Outcome Intelligence value stream once a post-graduation or post-application outcome-tracking pipeline exists and is consumed by two or more existing value streams.</w:t>
      </w:r>
    </w:p>
    <w:p>
      <w:pPr>
        <w:pStyle w:val="ListParagraph"/>
        <w:numPr>
          <w:ilvl w:val="0"/>
          <w:numId w:val="1"/>
        </w:numPr>
        <w:spacing w:after="100"/>
      </w:pPr>
      <w:r>
        <w:t xml:space="preserve">Separated Operations/Platform ownership carved from Platform Trust, Identity &amp; Governance, once headcount and incident volume make context-switching between building and operating measurably costly. Trigger: per EEP-01 Phase H Part 0.</w:t>
      </w:r>
    </w:p>
    <w:p>
      <w:pPr>
        <w:pStyle w:val="Heading2"/>
        <w:spacing w:after="150" w:before="300"/>
      </w:pPr>
      <w:r>
        <w:t xml:space="preserve">14.4 Enterprise Evolution</w:t>
      </w:r>
    </w:p>
    <w:p>
      <w:pPr>
        <w:pStyle w:val="ListParagraph"/>
        <w:numPr>
          <w:ilvl w:val="0"/>
          <w:numId w:val="1"/>
        </w:numPr>
        <w:spacing w:after="100"/>
      </w:pPr>
      <w:r>
        <w:t xml:space="preserve">A two-sided marketplace value stream spanning Career Discovery &amp; Recommendation, Employer Collaboration, and Student Onboarding &amp; Academic Foundation, contingent on Employer Collaboration and Academic Intelligence Domain both independently reaching Level 4+ first.</w:t>
      </w:r>
    </w:p>
    <w:p>
      <w:pPr>
        <w:pStyle w:val="ListParagraph"/>
        <w:numPr>
          <w:ilvl w:val="0"/>
          <w:numId w:val="1"/>
        </w:numPr>
        <w:spacing w:after="100"/>
      </w:pPr>
      <w:r>
        <w:t xml:space="preserve">A genuine Partner &amp; Ecosystem Intelligence value stream, contingent on multiple concurrent signed partners across employer, job-board, and academic categories.</w:t>
      </w:r>
    </w:p>
    <w:p>
      <w:pPr>
        <w:pStyle w:val="ListParagraph"/>
        <w:numPr>
          <w:ilvl w:val="0"/>
          <w:numId w:val="1"/>
        </w:numPr>
        <w:spacing w:after="100"/>
      </w:pPr>
      <w:r>
        <w:t xml:space="preserve">Cross-institution academic-profile portability within Student Onboarding &amp; Academic Foundation, contingent on multiple signed academic partners with compatible data-sharing agreements.</w:t>
      </w:r>
    </w:p>
    <w:p>
      <w:pPr>
        <w:pStyle w:val="Heading1"/>
        <w:spacing w:after="200" w:before="400"/>
      </w:pPr>
      <w:r>
        <w:t xml:space="preserve">15. Traceability</w:t>
      </w:r>
    </w:p>
    <w:p>
      <w:pPr>
        <w:spacing w:after="160"/>
        <w:jc w:val="both"/>
      </w:pPr>
      <w:r>
        <w:rPr>
          <w:sz w:val="21"/>
          <w:szCs w:val="21"/>
        </w:rPr>
        <w:t xml:space="preserve">Every value stream in this catalog traces to the Phase A capabilities it reuses (Section 5, Section 6), the Phase B domains it crosses (Section 5, Section 6, Section 8), and the EEP-01 technical architecture phases that realize the capabilities underneath. This section consolidates that traceability at the value-stream level; per-capability traceability remains authoritative in Phase A Section 14, and per-domain traceability remains authoritative in Phase B Section 14, neither of which this document restates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80"/>
              <w:left w:type="dxa" w:w="100"/>
              <w:bottom w:type="dxa" w:w="80"/>
              <w:right w:type="dxa" w:w="100"/>
            </w:tcMar>
          </w:tcPr>
          <w:p>
            <w:r>
              <w:rPr>
                <w:b/>
                <w:bCs/>
                <w:color w:val="FFFFFF"/>
                <w:sz w:val="18"/>
                <w:szCs w:val="18"/>
              </w:rPr>
              <w:t xml:space="preserve">Value stream</w:t>
            </w:r>
          </w:p>
        </w:tc>
        <w:tc>
          <w:tcPr>
            <w:tcW w:type="dxa" w:w="2340"/>
            <w:shd w:fill="1F3864" w:color="auto" w:val="clear"/>
            <w:tcMar>
              <w:top w:type="dxa" w:w="80"/>
              <w:left w:type="dxa" w:w="100"/>
              <w:bottom w:type="dxa" w:w="80"/>
              <w:right w:type="dxa" w:w="100"/>
            </w:tcMar>
          </w:tcPr>
          <w:p>
            <w:r>
              <w:rPr>
                <w:b/>
                <w:bCs/>
                <w:color w:val="FFFFFF"/>
                <w:sz w:val="18"/>
                <w:szCs w:val="18"/>
              </w:rPr>
              <w:t xml:space="preserve">Phase A capabilities</w:t>
            </w:r>
          </w:p>
        </w:tc>
        <w:tc>
          <w:tcPr>
            <w:tcW w:type="dxa" w:w="2340"/>
            <w:shd w:fill="1F3864" w:color="auto" w:val="clear"/>
            <w:tcMar>
              <w:top w:type="dxa" w:w="80"/>
              <w:left w:type="dxa" w:w="100"/>
              <w:bottom w:type="dxa" w:w="80"/>
              <w:right w:type="dxa" w:w="100"/>
            </w:tcMar>
          </w:tcPr>
          <w:p>
            <w:r>
              <w:rPr>
                <w:b/>
                <w:bCs/>
                <w:color w:val="FFFFFF"/>
                <w:sz w:val="18"/>
                <w:szCs w:val="18"/>
              </w:rPr>
              <w:t xml:space="preserve">Phase B domains</w:t>
            </w:r>
          </w:p>
        </w:tc>
        <w:tc>
          <w:tcPr>
            <w:tcW w:type="dxa" w:w="2340"/>
            <w:shd w:fill="1F3864" w:color="auto" w:val="clear"/>
            <w:tcMar>
              <w:top w:type="dxa" w:w="80"/>
              <w:left w:type="dxa" w:w="100"/>
              <w:bottom w:type="dxa" w:w="80"/>
              <w:right w:type="dxa" w:w="100"/>
            </w:tcMar>
          </w:tcPr>
          <w:p>
            <w:r>
              <w:rPr>
                <w:b/>
                <w:bCs/>
                <w:color w:val="FFFFFF"/>
                <w:sz w:val="18"/>
                <w:szCs w:val="18"/>
              </w:rPr>
              <w:t xml:space="preserve">Key EEP-01 phases</w:t>
            </w:r>
          </w:p>
        </w:tc>
      </w:tr>
      <w:tr>
        <w:tc>
          <w:tcPr>
            <w:tcW w:type="dxa" w:w="2340"/>
            <w:shd w:fill="FFFFFF" w:color="auto" w:val="clear"/>
            <w:tcMar>
              <w:top w:type="dxa" w:w="80"/>
              <w:left w:type="dxa" w:w="100"/>
              <w:bottom w:type="dxa" w:w="80"/>
              <w:right w:type="dxa" w:w="100"/>
            </w:tcMar>
          </w:tcPr>
          <w:p>
            <w:r>
              <w:rPr>
                <w:sz w:val="18"/>
                <w:szCs w:val="18"/>
              </w:rPr>
              <w:t xml:space="preserve">Student Onboarding &amp; Academic Foundation</w:t>
            </w:r>
          </w:p>
        </w:tc>
        <w:tc>
          <w:tcPr>
            <w:tcW w:type="dxa" w:w="2340"/>
            <w:shd w:fill="FFFFFF" w:color="auto" w:val="clear"/>
            <w:tcMar>
              <w:top w:type="dxa" w:w="80"/>
              <w:left w:type="dxa" w:w="100"/>
              <w:bottom w:type="dxa" w:w="80"/>
              <w:right w:type="dxa" w:w="100"/>
            </w:tcMar>
          </w:tcPr>
          <w:p>
            <w:r>
              <w:rPr>
                <w:sz w:val="18"/>
                <w:szCs w:val="18"/>
              </w:rPr>
              <w:t xml:space="preserve">Student Onboarding &amp; Qualification Capture; Academic Profile &amp; Context Intelligence</w:t>
            </w:r>
          </w:p>
        </w:tc>
        <w:tc>
          <w:tcPr>
            <w:tcW w:type="dxa" w:w="2340"/>
            <w:shd w:fill="FFFFFF" w:color="auto" w:val="clear"/>
            <w:tcMar>
              <w:top w:type="dxa" w:w="80"/>
              <w:left w:type="dxa" w:w="100"/>
              <w:bottom w:type="dxa" w:w="80"/>
              <w:right w:type="dxa" w:w="100"/>
            </w:tcMar>
          </w:tcPr>
          <w:p>
            <w:r>
              <w:rPr>
                <w:sz w:val="18"/>
                <w:szCs w:val="18"/>
              </w:rPr>
              <w:t xml:space="preserve">Academic Intelligence</w:t>
            </w:r>
          </w:p>
        </w:tc>
        <w:tc>
          <w:tcPr>
            <w:tcW w:type="dxa" w:w="2340"/>
            <w:shd w:fill="FFFFFF" w:color="auto" w:val="clear"/>
            <w:tcMar>
              <w:top w:type="dxa" w:w="80"/>
              <w:left w:type="dxa" w:w="100"/>
              <w:bottom w:type="dxa" w:w="80"/>
              <w:right w:type="dxa" w:w="100"/>
            </w:tcMar>
          </w:tcPr>
          <w:p>
            <w:r>
              <w:rPr>
                <w:sz w:val="18"/>
                <w:szCs w:val="18"/>
              </w:rPr>
              <w:t xml:space="preserve">Phase A (Physical Data Model); Phase B (Security Architecture)</w:t>
            </w:r>
          </w:p>
        </w:tc>
      </w:tr>
      <w:tr>
        <w:tc>
          <w:tcPr>
            <w:tcW w:type="dxa" w:w="2340"/>
            <w:shd w:fill="F2F2F2" w:color="auto" w:val="clear"/>
            <w:tcMar>
              <w:top w:type="dxa" w:w="80"/>
              <w:left w:type="dxa" w:w="100"/>
              <w:bottom w:type="dxa" w:w="80"/>
              <w:right w:type="dxa" w:w="100"/>
            </w:tcMar>
          </w:tcPr>
          <w:p>
            <w:r>
              <w:rPr>
                <w:sz w:val="18"/>
                <w:szCs w:val="18"/>
              </w:rPr>
              <w:t xml:space="preserve">Career Discovery &amp; Recommendation</w:t>
            </w:r>
          </w:p>
        </w:tc>
        <w:tc>
          <w:tcPr>
            <w:tcW w:type="dxa" w:w="2340"/>
            <w:shd w:fill="F2F2F2" w:color="auto" w:val="clear"/>
            <w:tcMar>
              <w:top w:type="dxa" w:w="80"/>
              <w:left w:type="dxa" w:w="100"/>
              <w:bottom w:type="dxa" w:w="80"/>
              <w:right w:type="dxa" w:w="100"/>
            </w:tcMar>
          </w:tcPr>
          <w:p>
            <w:r>
              <w:rPr>
                <w:sz w:val="18"/>
                <w:szCs w:val="18"/>
              </w:rPr>
              <w:t xml:space="preserve">Career Path Intelligence &amp; Recommendation; Skill &amp; Knowledge Graph Management</w:t>
            </w:r>
          </w:p>
        </w:tc>
        <w:tc>
          <w:tcPr>
            <w:tcW w:type="dxa" w:w="2340"/>
            <w:shd w:fill="F2F2F2" w:color="auto" w:val="clear"/>
            <w:tcMar>
              <w:top w:type="dxa" w:w="80"/>
              <w:left w:type="dxa" w:w="100"/>
              <w:bottom w:type="dxa" w:w="80"/>
              <w:right w:type="dxa" w:w="100"/>
            </w:tcMar>
          </w:tcPr>
          <w:p>
            <w:r>
              <w:rPr>
                <w:sz w:val="18"/>
                <w:szCs w:val="18"/>
              </w:rPr>
              <w:t xml:space="preserve">Career Intelligence; Knowledge &amp; Market Intelligence; AI Intelligence</w:t>
            </w:r>
          </w:p>
        </w:tc>
        <w:tc>
          <w:tcPr>
            <w:tcW w:type="dxa" w:w="2340"/>
            <w:shd w:fill="F2F2F2" w:color="auto" w:val="clear"/>
            <w:tcMar>
              <w:top w:type="dxa" w:w="80"/>
              <w:left w:type="dxa" w:w="100"/>
              <w:bottom w:type="dxa" w:w="80"/>
              <w:right w:type="dxa" w:w="100"/>
            </w:tcMar>
          </w:tcPr>
          <w:p>
            <w:r>
              <w:rPr>
                <w:sz w:val="18"/>
                <w:szCs w:val="18"/>
              </w:rPr>
              <w:t xml:space="preserve">Phase A; Phase E (Integration); Phase F (AI &amp; Agentic)</w:t>
            </w:r>
          </w:p>
        </w:tc>
      </w:tr>
      <w:tr>
        <w:tc>
          <w:tcPr>
            <w:tcW w:type="dxa" w:w="2340"/>
            <w:shd w:fill="FFFFFF" w:color="auto" w:val="clear"/>
            <w:tcMar>
              <w:top w:type="dxa" w:w="80"/>
              <w:left w:type="dxa" w:w="100"/>
              <w:bottom w:type="dxa" w:w="80"/>
              <w:right w:type="dxa" w:w="100"/>
            </w:tcMar>
          </w:tcPr>
          <w:p>
            <w:r>
              <w:rPr>
                <w:sz w:val="18"/>
                <w:szCs w:val="18"/>
              </w:rPr>
              <w:t xml:space="preserve">AI Advisory &amp; Conversational Guidance</w:t>
            </w:r>
          </w:p>
        </w:tc>
        <w:tc>
          <w:tcPr>
            <w:tcW w:type="dxa" w:w="2340"/>
            <w:shd w:fill="FFFFFF" w:color="auto" w:val="clear"/>
            <w:tcMar>
              <w:top w:type="dxa" w:w="80"/>
              <w:left w:type="dxa" w:w="100"/>
              <w:bottom w:type="dxa" w:w="80"/>
              <w:right w:type="dxa" w:w="100"/>
            </w:tcMar>
          </w:tcPr>
          <w:p>
            <w:r>
              <w:rPr>
                <w:sz w:val="18"/>
                <w:szCs w:val="18"/>
              </w:rPr>
              <w:t xml:space="preserve">AI Career Advisory &amp; Agentic Orchestration; AI Quality &amp; Confidence Governance</w:t>
            </w:r>
          </w:p>
        </w:tc>
        <w:tc>
          <w:tcPr>
            <w:tcW w:type="dxa" w:w="2340"/>
            <w:shd w:fill="FFFFFF" w:color="auto" w:val="clear"/>
            <w:tcMar>
              <w:top w:type="dxa" w:w="80"/>
              <w:left w:type="dxa" w:w="100"/>
              <w:bottom w:type="dxa" w:w="80"/>
              <w:right w:type="dxa" w:w="100"/>
            </w:tcMar>
          </w:tcPr>
          <w:p>
            <w:r>
              <w:rPr>
                <w:sz w:val="18"/>
                <w:szCs w:val="18"/>
              </w:rPr>
              <w:t xml:space="preserve">AI Intelligence</w:t>
            </w:r>
          </w:p>
        </w:tc>
        <w:tc>
          <w:tcPr>
            <w:tcW w:type="dxa" w:w="2340"/>
            <w:shd w:fill="FFFFFF" w:color="auto" w:val="clear"/>
            <w:tcMar>
              <w:top w:type="dxa" w:w="80"/>
              <w:left w:type="dxa" w:w="100"/>
              <w:bottom w:type="dxa" w:w="80"/>
              <w:right w:type="dxa" w:w="100"/>
            </w:tcMar>
          </w:tcPr>
          <w:p>
            <w:r>
              <w:rPr>
                <w:sz w:val="18"/>
                <w:szCs w:val="18"/>
              </w:rPr>
              <w:t xml:space="preserve">Phase F (AI &amp; Agentic); Phase E (Provider abstraction, circuit breaker)</w:t>
            </w:r>
          </w:p>
        </w:tc>
      </w:tr>
      <w:tr>
        <w:tc>
          <w:tcPr>
            <w:tcW w:type="dxa" w:w="2340"/>
            <w:shd w:fill="F2F2F2" w:color="auto" w:val="clear"/>
            <w:tcMar>
              <w:top w:type="dxa" w:w="80"/>
              <w:left w:type="dxa" w:w="100"/>
              <w:bottom w:type="dxa" w:w="80"/>
              <w:right w:type="dxa" w:w="100"/>
            </w:tcMar>
          </w:tcPr>
          <w:p>
            <w:r>
              <w:rPr>
                <w:sz w:val="18"/>
                <w:szCs w:val="18"/>
              </w:rPr>
              <w:t xml:space="preserve">Career Health &amp; Continuous Monitoring</w:t>
            </w:r>
          </w:p>
        </w:tc>
        <w:tc>
          <w:tcPr>
            <w:tcW w:type="dxa" w:w="2340"/>
            <w:shd w:fill="F2F2F2" w:color="auto" w:val="clear"/>
            <w:tcMar>
              <w:top w:type="dxa" w:w="80"/>
              <w:left w:type="dxa" w:w="100"/>
              <w:bottom w:type="dxa" w:w="80"/>
              <w:right w:type="dxa" w:w="100"/>
            </w:tcMar>
          </w:tcPr>
          <w:p>
            <w:r>
              <w:rPr>
                <w:sz w:val="18"/>
                <w:szCs w:val="18"/>
              </w:rPr>
              <w:t xml:space="preserve">Career Health Assessment</w:t>
            </w:r>
          </w:p>
        </w:tc>
        <w:tc>
          <w:tcPr>
            <w:tcW w:type="dxa" w:w="2340"/>
            <w:shd w:fill="F2F2F2" w:color="auto" w:val="clear"/>
            <w:tcMar>
              <w:top w:type="dxa" w:w="80"/>
              <w:left w:type="dxa" w:w="100"/>
              <w:bottom w:type="dxa" w:w="80"/>
              <w:right w:type="dxa" w:w="100"/>
            </w:tcMar>
          </w:tcPr>
          <w:p>
            <w:r>
              <w:rPr>
                <w:sz w:val="18"/>
                <w:szCs w:val="18"/>
              </w:rPr>
              <w:t xml:space="preserve">Career Intelligence</w:t>
            </w:r>
          </w:p>
        </w:tc>
        <w:tc>
          <w:tcPr>
            <w:tcW w:type="dxa" w:w="2340"/>
            <w:shd w:fill="F2F2F2" w:color="auto" w:val="clear"/>
            <w:tcMar>
              <w:top w:type="dxa" w:w="80"/>
              <w:left w:type="dxa" w:w="100"/>
              <w:bottom w:type="dxa" w:w="80"/>
              <w:right w:type="dxa" w:w="100"/>
            </w:tcMar>
          </w:tcPr>
          <w:p>
            <w:r>
              <w:rPr>
                <w:sz w:val="18"/>
                <w:szCs w:val="18"/>
              </w:rPr>
              <w:t xml:space="preserve">Phase A; Phase F (governance principles)</w:t>
            </w:r>
          </w:p>
        </w:tc>
      </w:tr>
      <w:tr>
        <w:tc>
          <w:tcPr>
            <w:tcW w:type="dxa" w:w="2340"/>
            <w:shd w:fill="FFFFFF" w:color="auto" w:val="clear"/>
            <w:tcMar>
              <w:top w:type="dxa" w:w="80"/>
              <w:left w:type="dxa" w:w="100"/>
              <w:bottom w:type="dxa" w:w="80"/>
              <w:right w:type="dxa" w:w="100"/>
            </w:tcMar>
          </w:tcPr>
          <w:p>
            <w:r>
              <w:rPr>
                <w:sz w:val="18"/>
                <w:szCs w:val="18"/>
              </w:rPr>
              <w:t xml:space="preserve">Resume &amp; Application Readiness</w:t>
            </w:r>
          </w:p>
        </w:tc>
        <w:tc>
          <w:tcPr>
            <w:tcW w:type="dxa" w:w="2340"/>
            <w:shd w:fill="FFFFFF" w:color="auto" w:val="clear"/>
            <w:tcMar>
              <w:top w:type="dxa" w:w="80"/>
              <w:left w:type="dxa" w:w="100"/>
              <w:bottom w:type="dxa" w:w="80"/>
              <w:right w:type="dxa" w:w="100"/>
            </w:tcMar>
          </w:tcPr>
          <w:p>
            <w:r>
              <w:rPr>
                <w:sz w:val="18"/>
                <w:szCs w:val="18"/>
              </w:rPr>
              <w:t xml:space="preserve">Candidate Document Generation</w:t>
            </w:r>
          </w:p>
        </w:tc>
        <w:tc>
          <w:tcPr>
            <w:tcW w:type="dxa" w:w="2340"/>
            <w:shd w:fill="FFFFFF" w:color="auto" w:val="clear"/>
            <w:tcMar>
              <w:top w:type="dxa" w:w="80"/>
              <w:left w:type="dxa" w:w="100"/>
              <w:bottom w:type="dxa" w:w="80"/>
              <w:right w:type="dxa" w:w="100"/>
            </w:tcMar>
          </w:tcPr>
          <w:p>
            <w:r>
              <w:rPr>
                <w:sz w:val="18"/>
                <w:szCs w:val="18"/>
              </w:rPr>
              <w:t xml:space="preserve">Candidate Experience &amp; Growth</w:t>
            </w:r>
          </w:p>
        </w:tc>
        <w:tc>
          <w:tcPr>
            <w:tcW w:type="dxa" w:w="2340"/>
            <w:shd w:fill="FFFFFF" w:color="auto" w:val="clear"/>
            <w:tcMar>
              <w:top w:type="dxa" w:w="80"/>
              <w:left w:type="dxa" w:w="100"/>
              <w:bottom w:type="dxa" w:w="80"/>
              <w:right w:type="dxa" w:w="100"/>
            </w:tcMar>
          </w:tcPr>
          <w:p>
            <w:r>
              <w:rPr>
                <w:sz w:val="18"/>
                <w:szCs w:val="18"/>
              </w:rPr>
              <w:t xml:space="preserve">Phase F (AI provider layer); Phase E (API calls)</w:t>
            </w:r>
          </w:p>
        </w:tc>
      </w:tr>
      <w:tr>
        <w:tc>
          <w:tcPr>
            <w:tcW w:type="dxa" w:w="2340"/>
            <w:shd w:fill="F2F2F2" w:color="auto" w:val="clear"/>
            <w:tcMar>
              <w:top w:type="dxa" w:w="80"/>
              <w:left w:type="dxa" w:w="100"/>
              <w:bottom w:type="dxa" w:w="80"/>
              <w:right w:type="dxa" w:w="100"/>
            </w:tcMar>
          </w:tcPr>
          <w:p>
            <w:r>
              <w:rPr>
                <w:sz w:val="18"/>
                <w:szCs w:val="18"/>
              </w:rPr>
              <w:t xml:space="preserve">Job Opportunity Discovery</w:t>
            </w:r>
          </w:p>
        </w:tc>
        <w:tc>
          <w:tcPr>
            <w:tcW w:type="dxa" w:w="2340"/>
            <w:shd w:fill="F2F2F2" w:color="auto" w:val="clear"/>
            <w:tcMar>
              <w:top w:type="dxa" w:w="80"/>
              <w:left w:type="dxa" w:w="100"/>
              <w:bottom w:type="dxa" w:w="80"/>
              <w:right w:type="dxa" w:w="100"/>
            </w:tcMar>
          </w:tcPr>
          <w:p>
            <w:r>
              <w:rPr>
                <w:sz w:val="18"/>
                <w:szCs w:val="18"/>
              </w:rPr>
              <w:t xml:space="preserve">Career Opportunity Radar; Employer Integration &amp; Opportunity Ingestion</w:t>
            </w:r>
          </w:p>
        </w:tc>
        <w:tc>
          <w:tcPr>
            <w:tcW w:type="dxa" w:w="2340"/>
            <w:shd w:fill="F2F2F2" w:color="auto" w:val="clear"/>
            <w:tcMar>
              <w:top w:type="dxa" w:w="80"/>
              <w:left w:type="dxa" w:w="100"/>
              <w:bottom w:type="dxa" w:w="80"/>
              <w:right w:type="dxa" w:w="100"/>
            </w:tcMar>
          </w:tcPr>
          <w:p>
            <w:r>
              <w:rPr>
                <w:sz w:val="18"/>
                <w:szCs w:val="18"/>
              </w:rPr>
              <w:t xml:space="preserve">Career Intelligence; Employer</w:t>
            </w:r>
          </w:p>
        </w:tc>
        <w:tc>
          <w:tcPr>
            <w:tcW w:type="dxa" w:w="2340"/>
            <w:shd w:fill="F2F2F2" w:color="auto" w:val="clear"/>
            <w:tcMar>
              <w:top w:type="dxa" w:w="80"/>
              <w:left w:type="dxa" w:w="100"/>
              <w:bottom w:type="dxa" w:w="80"/>
              <w:right w:type="dxa" w:w="100"/>
            </w:tcMar>
          </w:tcPr>
          <w:p>
            <w:r>
              <w:rPr>
                <w:sz w:val="18"/>
                <w:szCs w:val="18"/>
              </w:rPr>
              <w:t xml:space="preserve">Phase E Part 0 (mock collector finding)</w:t>
            </w:r>
          </w:p>
        </w:tc>
      </w:tr>
      <w:tr>
        <w:tc>
          <w:tcPr>
            <w:tcW w:type="dxa" w:w="2340"/>
            <w:shd w:fill="FFFFFF" w:color="auto" w:val="clear"/>
            <w:tcMar>
              <w:top w:type="dxa" w:w="80"/>
              <w:left w:type="dxa" w:w="100"/>
              <w:bottom w:type="dxa" w:w="80"/>
              <w:right w:type="dxa" w:w="100"/>
            </w:tcMar>
          </w:tcPr>
          <w:p>
            <w:r>
              <w:rPr>
                <w:sz w:val="18"/>
                <w:szCs w:val="18"/>
              </w:rPr>
              <w:t xml:space="preserve">Career Planning &amp; Simulation</w:t>
            </w:r>
          </w:p>
        </w:tc>
        <w:tc>
          <w:tcPr>
            <w:tcW w:type="dxa" w:w="2340"/>
            <w:shd w:fill="FFFFFF" w:color="auto" w:val="clear"/>
            <w:tcMar>
              <w:top w:type="dxa" w:w="80"/>
              <w:left w:type="dxa" w:w="100"/>
              <w:bottom w:type="dxa" w:w="80"/>
              <w:right w:type="dxa" w:w="100"/>
            </w:tcMar>
          </w:tcPr>
          <w:p>
            <w:r>
              <w:rPr>
                <w:sz w:val="18"/>
                <w:szCs w:val="18"/>
              </w:rPr>
              <w:t xml:space="preserve">Career Digital Twin &amp; Simulation</w:t>
            </w:r>
          </w:p>
        </w:tc>
        <w:tc>
          <w:tcPr>
            <w:tcW w:type="dxa" w:w="2340"/>
            <w:shd w:fill="FFFFFF" w:color="auto" w:val="clear"/>
            <w:tcMar>
              <w:top w:type="dxa" w:w="80"/>
              <w:left w:type="dxa" w:w="100"/>
              <w:bottom w:type="dxa" w:w="80"/>
              <w:right w:type="dxa" w:w="100"/>
            </w:tcMar>
          </w:tcPr>
          <w:p>
            <w:r>
              <w:rPr>
                <w:sz w:val="18"/>
                <w:szCs w:val="18"/>
              </w:rPr>
              <w:t xml:space="preserve">Career Intelligence</w:t>
            </w:r>
          </w:p>
        </w:tc>
        <w:tc>
          <w:tcPr>
            <w:tcW w:type="dxa" w:w="2340"/>
            <w:shd w:fill="FFFFFF" w:color="auto" w:val="clear"/>
            <w:tcMar>
              <w:top w:type="dxa" w:w="80"/>
              <w:left w:type="dxa" w:w="100"/>
              <w:bottom w:type="dxa" w:w="80"/>
              <w:right w:type="dxa" w:w="100"/>
            </w:tcMar>
          </w:tcPr>
          <w:p>
            <w:r>
              <w:rPr>
                <w:sz w:val="18"/>
                <w:szCs w:val="18"/>
              </w:rPr>
              <w:t xml:space="preserve">Phase A (append-only academic history)</w:t>
            </w:r>
          </w:p>
        </w:tc>
      </w:tr>
      <w:tr>
        <w:tc>
          <w:tcPr>
            <w:tcW w:type="dxa" w:w="2340"/>
            <w:shd w:fill="F2F2F2" w:color="auto" w:val="clear"/>
            <w:tcMar>
              <w:top w:type="dxa" w:w="80"/>
              <w:left w:type="dxa" w:w="100"/>
              <w:bottom w:type="dxa" w:w="80"/>
              <w:right w:type="dxa" w:w="100"/>
            </w:tcMar>
          </w:tcPr>
          <w:p>
            <w:r>
              <w:rPr>
                <w:sz w:val="18"/>
                <w:szCs w:val="18"/>
              </w:rPr>
              <w:t xml:space="preserve">Knowledge Evolution</w:t>
            </w:r>
          </w:p>
        </w:tc>
        <w:tc>
          <w:tcPr>
            <w:tcW w:type="dxa" w:w="2340"/>
            <w:shd w:fill="F2F2F2" w:color="auto" w:val="clear"/>
            <w:tcMar>
              <w:top w:type="dxa" w:w="80"/>
              <w:left w:type="dxa" w:w="100"/>
              <w:bottom w:type="dxa" w:w="80"/>
              <w:right w:type="dxa" w:w="100"/>
            </w:tcMar>
          </w:tcPr>
          <w:p>
            <w:r>
              <w:rPr>
                <w:sz w:val="18"/>
                <w:szCs w:val="18"/>
              </w:rPr>
              <w:t xml:space="preserve">Skill &amp; Knowledge Graph Management; Knowledge Runtime &amp; Context Assembly; Labor Market &amp; Salary Intelligence; Source &amp; Market Intelligence Curation</w:t>
            </w:r>
          </w:p>
        </w:tc>
        <w:tc>
          <w:tcPr>
            <w:tcW w:type="dxa" w:w="2340"/>
            <w:shd w:fill="F2F2F2" w:color="auto" w:val="clear"/>
            <w:tcMar>
              <w:top w:type="dxa" w:w="80"/>
              <w:left w:type="dxa" w:w="100"/>
              <w:bottom w:type="dxa" w:w="80"/>
              <w:right w:type="dxa" w:w="100"/>
            </w:tcMar>
          </w:tcPr>
          <w:p>
            <w:r>
              <w:rPr>
                <w:sz w:val="18"/>
                <w:szCs w:val="18"/>
              </w:rPr>
              <w:t xml:space="preserve">Knowledge &amp; Market Intelligence</w:t>
            </w:r>
          </w:p>
        </w:tc>
        <w:tc>
          <w:tcPr>
            <w:tcW w:type="dxa" w:w="2340"/>
            <w:shd w:fill="F2F2F2" w:color="auto" w:val="clear"/>
            <w:tcMar>
              <w:top w:type="dxa" w:w="80"/>
              <w:left w:type="dxa" w:w="100"/>
              <w:bottom w:type="dxa" w:w="80"/>
              <w:right w:type="dxa" w:w="100"/>
            </w:tcMar>
          </w:tcPr>
          <w:p>
            <w:r>
              <w:rPr>
                <w:sz w:val="18"/>
                <w:szCs w:val="18"/>
              </w:rPr>
              <w:t xml:space="preserve">Phase A (taxonomy versioning); Phase E</w:t>
            </w:r>
          </w:p>
        </w:tc>
      </w:tr>
      <w:tr>
        <w:tc>
          <w:tcPr>
            <w:tcW w:type="dxa" w:w="2340"/>
            <w:shd w:fill="FFFFFF" w:color="auto" w:val="clear"/>
            <w:tcMar>
              <w:top w:type="dxa" w:w="80"/>
              <w:left w:type="dxa" w:w="100"/>
              <w:bottom w:type="dxa" w:w="80"/>
              <w:right w:type="dxa" w:w="100"/>
            </w:tcMar>
          </w:tcPr>
          <w:p>
            <w:r>
              <w:rPr>
                <w:sz w:val="18"/>
                <w:szCs w:val="18"/>
              </w:rPr>
              <w:t xml:space="preserve">Daily Engagement &amp; Growth</w:t>
            </w:r>
          </w:p>
        </w:tc>
        <w:tc>
          <w:tcPr>
            <w:tcW w:type="dxa" w:w="2340"/>
            <w:shd w:fill="FFFFFF" w:color="auto" w:val="clear"/>
            <w:tcMar>
              <w:top w:type="dxa" w:w="80"/>
              <w:left w:type="dxa" w:w="100"/>
              <w:bottom w:type="dxa" w:w="80"/>
              <w:right w:type="dxa" w:w="100"/>
            </w:tcMar>
          </w:tcPr>
          <w:p>
            <w:r>
              <w:rPr>
                <w:sz w:val="18"/>
                <w:szCs w:val="18"/>
              </w:rPr>
              <w:t xml:space="preserve">Growth &amp; Progress Tracking; Daily Engagement &amp; Conversion</w:t>
            </w:r>
          </w:p>
        </w:tc>
        <w:tc>
          <w:tcPr>
            <w:tcW w:type="dxa" w:w="2340"/>
            <w:shd w:fill="FFFFFF" w:color="auto" w:val="clear"/>
            <w:tcMar>
              <w:top w:type="dxa" w:w="80"/>
              <w:left w:type="dxa" w:w="100"/>
              <w:bottom w:type="dxa" w:w="80"/>
              <w:right w:type="dxa" w:w="100"/>
            </w:tcMar>
          </w:tcPr>
          <w:p>
            <w:r>
              <w:rPr>
                <w:sz w:val="18"/>
                <w:szCs w:val="18"/>
              </w:rPr>
              <w:t xml:space="preserve">Candidate Experience &amp; Growth</w:t>
            </w:r>
          </w:p>
        </w:tc>
        <w:tc>
          <w:tcPr>
            <w:tcW w:type="dxa" w:w="2340"/>
            <w:shd w:fill="FFFFFF" w:color="auto" w:val="clear"/>
            <w:tcMar>
              <w:top w:type="dxa" w:w="80"/>
              <w:left w:type="dxa" w:w="100"/>
              <w:bottom w:type="dxa" w:w="80"/>
              <w:right w:type="dxa" w:w="100"/>
            </w:tcMar>
          </w:tcPr>
          <w:p>
            <w:r>
              <w:rPr>
                <w:sz w:val="18"/>
                <w:szCs w:val="18"/>
              </w:rPr>
              <w:t xml:space="preserve">Not separately architected in EEP-01; realized within existing platform runtime</w:t>
            </w:r>
          </w:p>
        </w:tc>
      </w:tr>
      <w:tr>
        <w:tc>
          <w:tcPr>
            <w:tcW w:type="dxa" w:w="2340"/>
            <w:shd w:fill="F2F2F2" w:color="auto" w:val="clear"/>
            <w:tcMar>
              <w:top w:type="dxa" w:w="80"/>
              <w:left w:type="dxa" w:w="100"/>
              <w:bottom w:type="dxa" w:w="80"/>
              <w:right w:type="dxa" w:w="100"/>
            </w:tcMar>
          </w:tcPr>
          <w:p>
            <w:r>
              <w:rPr>
                <w:sz w:val="18"/>
                <w:szCs w:val="18"/>
              </w:rPr>
              <w:t xml:space="preserve">Platform Trust, Identity &amp; Governance</w:t>
            </w:r>
          </w:p>
        </w:tc>
        <w:tc>
          <w:tcPr>
            <w:tcW w:type="dxa" w:w="2340"/>
            <w:shd w:fill="F2F2F2" w:color="auto" w:val="clear"/>
            <w:tcMar>
              <w:top w:type="dxa" w:w="80"/>
              <w:left w:type="dxa" w:w="100"/>
              <w:bottom w:type="dxa" w:w="80"/>
              <w:right w:type="dxa" w:w="100"/>
            </w:tcMar>
          </w:tcPr>
          <w:p>
            <w:r>
              <w:rPr>
                <w:sz w:val="18"/>
                <w:szCs w:val="18"/>
              </w:rPr>
              <w:t xml:space="preserve">Identity, Roles &amp; Access Administration; Platform Configuration &amp; Secrets Stewardship; User Activity &amp; Behavioral Analytics; Architecture &amp; Engineering Standards Conformance; Intelligence Quality &amp; Drift Monitoring</w:t>
            </w:r>
          </w:p>
        </w:tc>
        <w:tc>
          <w:tcPr>
            <w:tcW w:type="dxa" w:w="2340"/>
            <w:shd w:fill="F2F2F2" w:color="auto" w:val="clear"/>
            <w:tcMar>
              <w:top w:type="dxa" w:w="80"/>
              <w:left w:type="dxa" w:w="100"/>
              <w:bottom w:type="dxa" w:w="80"/>
              <w:right w:type="dxa" w:w="100"/>
            </w:tcMar>
          </w:tcPr>
          <w:p>
            <w:r>
              <w:rPr>
                <w:sz w:val="18"/>
                <w:szCs w:val="18"/>
              </w:rPr>
              <w:t xml:space="preserve">Platform Shared Services; Governance</w:t>
            </w:r>
          </w:p>
        </w:tc>
        <w:tc>
          <w:tcPr>
            <w:tcW w:type="dxa" w:w="2340"/>
            <w:shd w:fill="F2F2F2" w:color="auto" w:val="clear"/>
            <w:tcMar>
              <w:top w:type="dxa" w:w="80"/>
              <w:left w:type="dxa" w:w="100"/>
              <w:bottom w:type="dxa" w:w="80"/>
              <w:right w:type="dxa" w:w="100"/>
            </w:tcMar>
          </w:tcPr>
          <w:p>
            <w:r>
              <w:rPr>
                <w:sz w:val="18"/>
                <w:szCs w:val="18"/>
              </w:rPr>
              <w:t xml:space="preserve">Phase B (Security); Phase H (Operations/Governance); Phase I (Engineering Standards); Phase J (Quality/Conformance)</w:t>
            </w:r>
          </w:p>
        </w:tc>
      </w:tr>
      <w:tr>
        <w:tc>
          <w:tcPr>
            <w:tcW w:type="dxa" w:w="2340"/>
            <w:shd w:fill="FFFFFF" w:color="auto" w:val="clear"/>
            <w:tcMar>
              <w:top w:type="dxa" w:w="80"/>
              <w:left w:type="dxa" w:w="100"/>
              <w:bottom w:type="dxa" w:w="80"/>
              <w:right w:type="dxa" w:w="100"/>
            </w:tcMar>
          </w:tcPr>
          <w:p>
            <w:r>
              <w:rPr>
                <w:sz w:val="18"/>
                <w:szCs w:val="18"/>
              </w:rPr>
              <w:t xml:space="preserve">Employer Collaboration</w:t>
            </w:r>
          </w:p>
        </w:tc>
        <w:tc>
          <w:tcPr>
            <w:tcW w:type="dxa" w:w="2340"/>
            <w:shd w:fill="FFFFFF" w:color="auto" w:val="clear"/>
            <w:tcMar>
              <w:top w:type="dxa" w:w="80"/>
              <w:left w:type="dxa" w:w="100"/>
              <w:bottom w:type="dxa" w:w="80"/>
              <w:right w:type="dxa" w:w="100"/>
            </w:tcMar>
          </w:tcPr>
          <w:p>
            <w:r>
              <w:rPr>
                <w:sz w:val="18"/>
                <w:szCs w:val="18"/>
              </w:rPr>
              <w:t xml:space="preserve">Employer Integration &amp; Opportunity Ingestion</w:t>
            </w:r>
          </w:p>
        </w:tc>
        <w:tc>
          <w:tcPr>
            <w:tcW w:type="dxa" w:w="2340"/>
            <w:shd w:fill="FFFFFF" w:color="auto" w:val="clear"/>
            <w:tcMar>
              <w:top w:type="dxa" w:w="80"/>
              <w:left w:type="dxa" w:w="100"/>
              <w:bottom w:type="dxa" w:w="80"/>
              <w:right w:type="dxa" w:w="100"/>
            </w:tcMar>
          </w:tcPr>
          <w:p>
            <w:r>
              <w:rPr>
                <w:sz w:val="18"/>
                <w:szCs w:val="18"/>
              </w:rPr>
              <w:t xml:space="preserve">Employer</w:t>
            </w:r>
          </w:p>
        </w:tc>
        <w:tc>
          <w:tcPr>
            <w:tcW w:type="dxa" w:w="2340"/>
            <w:shd w:fill="FFFFFF" w:color="auto" w:val="clear"/>
            <w:tcMar>
              <w:top w:type="dxa" w:w="80"/>
              <w:left w:type="dxa" w:w="100"/>
              <w:bottom w:type="dxa" w:w="80"/>
              <w:right w:type="dxa" w:w="100"/>
            </w:tcMar>
          </w:tcPr>
          <w:p>
            <w:r>
              <w:rPr>
                <w:sz w:val="18"/>
                <w:szCs w:val="18"/>
              </w:rPr>
              <w:t xml:space="preserve">Phase E Part 0 (named trigger: first signed partner contract)</w:t>
            </w:r>
          </w:p>
        </w:tc>
      </w:tr>
      <w:tr>
        <w:tc>
          <w:tcPr>
            <w:tcW w:type="dxa" w:w="2340"/>
            <w:shd w:fill="F2F2F2" w:color="auto" w:val="clear"/>
            <w:tcMar>
              <w:top w:type="dxa" w:w="80"/>
              <w:left w:type="dxa" w:w="100"/>
              <w:bottom w:type="dxa" w:w="80"/>
              <w:right w:type="dxa" w:w="100"/>
            </w:tcMar>
          </w:tcPr>
          <w:p>
            <w:r>
              <w:rPr>
                <w:sz w:val="18"/>
                <w:szCs w:val="18"/>
              </w:rPr>
              <w:t xml:space="preserve">Career Outcome Intelligence</w:t>
            </w:r>
          </w:p>
        </w:tc>
        <w:tc>
          <w:tcPr>
            <w:tcW w:type="dxa" w:w="2340"/>
            <w:shd w:fill="F2F2F2" w:color="auto" w:val="clear"/>
            <w:tcMar>
              <w:top w:type="dxa" w:w="80"/>
              <w:left w:type="dxa" w:w="100"/>
              <w:bottom w:type="dxa" w:w="80"/>
              <w:right w:type="dxa" w:w="100"/>
            </w:tcMar>
          </w:tcPr>
          <w:p>
            <w:r>
              <w:rPr>
                <w:sz w:val="18"/>
                <w:szCs w:val="18"/>
              </w:rPr>
              <w:t xml:space="preserve">Not yet a catalogued Phase A capability</w:t>
            </w:r>
          </w:p>
        </w:tc>
        <w:tc>
          <w:tcPr>
            <w:tcW w:type="dxa" w:w="2340"/>
            <w:shd w:fill="F2F2F2" w:color="auto" w:val="clear"/>
            <w:tcMar>
              <w:top w:type="dxa" w:w="80"/>
              <w:left w:type="dxa" w:w="100"/>
              <w:bottom w:type="dxa" w:w="80"/>
              <w:right w:type="dxa" w:w="100"/>
            </w:tcMar>
          </w:tcPr>
          <w:p>
            <w:r>
              <w:rPr>
                <w:sz w:val="18"/>
                <w:szCs w:val="18"/>
              </w:rPr>
              <w:t xml:space="preserve">Not yet a catalogued Phase B domain (identified as a future domain candidate, Phase B Section 11.3)</w:t>
            </w:r>
          </w:p>
        </w:tc>
        <w:tc>
          <w:tcPr>
            <w:tcW w:type="dxa" w:w="2340"/>
            <w:shd w:fill="F2F2F2" w:color="auto" w:val="clear"/>
            <w:tcMar>
              <w:top w:type="dxa" w:w="80"/>
              <w:left w:type="dxa" w:w="100"/>
              <w:bottom w:type="dxa" w:w="80"/>
              <w:right w:type="dxa" w:w="100"/>
            </w:tcMar>
          </w:tcPr>
          <w:p>
            <w:r>
              <w:rPr>
                <w:sz w:val="18"/>
                <w:szCs w:val="18"/>
              </w:rPr>
              <w:t xml:space="preserve">Not yet architected</w:t>
            </w:r>
          </w:p>
        </w:tc>
      </w:tr>
    </w:tbl>
    <w:p>
      <w:pPr>
        <w:spacing w:after="200"/>
      </w:pPr>
    </w:p>
    <w:p>
      <w:pPr>
        <w:pStyle w:val="Heading1"/>
        <w:spacing w:after="200" w:before="400"/>
      </w:pPr>
      <w:r>
        <w:t xml:space="preserve">16. Architecture Decisions</w:t>
      </w:r>
    </w:p>
    <w:p>
      <w:pPr>
        <w:pStyle w:val="Heading3"/>
        <w:spacing w:after="120" w:before="240"/>
      </w:pPr>
      <w:r>
        <w:t xml:space="preserve">ADR-VS-01 — Value streams are catalogued at twelve, not the fourteen-plus names in the program's Special Focus Areas list</w:t>
      </w:r>
    </w:p>
    <w:p>
      <w:pPr>
        <w:pStyle w:val="ListParagraph"/>
        <w:numPr>
          <w:ilvl w:val="0"/>
          <w:numId w:val="1"/>
        </w:numPr>
        <w:spacing w:after="100"/>
      </w:pPr>
      <w:r>
        <w:t xml:space="preserve">Context: The program brief names fourteen candidate value stream journeys; several overlap or describe the same underlying stakeholder need at different granularity.</w:t>
      </w:r>
    </w:p>
    <w:p>
      <w:pPr>
        <w:pStyle w:val="ListParagraph"/>
        <w:numPr>
          <w:ilvl w:val="0"/>
          <w:numId w:val="1"/>
        </w:numPr>
        <w:spacing w:after="100"/>
      </w:pPr>
      <w:r>
        <w:t xml:space="preserve">Alternatives considered: (a) create a named value stream for every Special Focus Area candidate regardless of evidence; (b) validate each candidate against Phase A capability and Phase B domain evidence and consolidate where the same stakeholder need and domain path are shared.</w:t>
      </w:r>
    </w:p>
    <w:p>
      <w:pPr>
        <w:pStyle w:val="ListParagraph"/>
        <w:numPr>
          <w:ilvl w:val="0"/>
          <w:numId w:val="1"/>
        </w:numPr>
        <w:spacing w:after="100"/>
      </w:pPr>
      <w:r>
        <w:t xml:space="preserve">Rationale: Phase A and Phase B both establish that capabilities and domains are only catalogued where independent ownership, data, or consumer-base evidence exists (Phase A ADR-BC-06, Phase B ADR-BD-01); this document applies the identical discipline one level up, at the value-stream level, per Section 2.4.</w:t>
      </w:r>
    </w:p>
    <w:p>
      <w:pPr>
        <w:pStyle w:val="ListParagraph"/>
        <w:numPr>
          <w:ilvl w:val="0"/>
          <w:numId w:val="1"/>
        </w:numPr>
        <w:spacing w:after="100"/>
      </w:pPr>
      <w:r>
        <w:t xml:space="preserve">Trade-off: The value stream portfolio is asymmetric relative to the Special Focus list, which may read as under-delivering against that list at first glance; Section 2.4 exists specifically to close that gap transparently.</w:t>
      </w:r>
    </w:p>
    <w:p>
      <w:pPr>
        <w:pStyle w:val="Heading3"/>
        <w:spacing w:after="120" w:before="240"/>
      </w:pPr>
      <w:r>
        <w:t xml:space="preserve">ADR-VS-02 — Career Health &amp; Continuous Monitoring and Career Planning &amp; Simulation are modeled as continuous, always-on value streams, not single-pass pipeline stages</w:t>
      </w:r>
    </w:p>
    <w:p>
      <w:pPr>
        <w:pStyle w:val="ListParagraph"/>
        <w:numPr>
          <w:ilvl w:val="0"/>
          <w:numId w:val="1"/>
        </w:numPr>
        <w:spacing w:after="100"/>
      </w:pPr>
      <w:r>
        <w:t xml:space="preserve">Context: A conventional value stream template would place every capability into one linear onboarding-to-outcome pipeline.</w:t>
      </w:r>
    </w:p>
    <w:p>
      <w:pPr>
        <w:pStyle w:val="ListParagraph"/>
        <w:numPr>
          <w:ilvl w:val="0"/>
          <w:numId w:val="1"/>
        </w:numPr>
        <w:spacing w:after="100"/>
      </w:pPr>
      <w:r>
        <w:t xml:space="preserve">Alternatives considered: (a) force every value stream into the same linear stage-by-stage shape; (b) model continuously-operating value streams as running alongside the linear flow, per their own evidenced longitudinal purpose.</w:t>
      </w:r>
    </w:p>
    <w:p>
      <w:pPr>
        <w:pStyle w:val="ListParagraph"/>
        <w:numPr>
          <w:ilvl w:val="0"/>
          <w:numId w:val="1"/>
        </w:numPr>
        <w:spacing w:after="100"/>
      </w:pPr>
      <w:r>
        <w:t xml:space="preserve">Rationale: Phase A Section 8.4 already establishes that these two capabilities “run alongside this flow continuously, rather than at a single step”; restating them as discrete pipeline stages here would misrepresent evidence already on record.</w:t>
      </w:r>
    </w:p>
    <w:p>
      <w:pPr>
        <w:pStyle w:val="ListParagraph"/>
        <w:numPr>
          <w:ilvl w:val="0"/>
          <w:numId w:val="1"/>
        </w:numPr>
        <w:spacing w:after="100"/>
      </w:pPr>
      <w:r>
        <w:t xml:space="preserve">Trade-off: The value stream landscape is less visually uniform as a result; accepted because the alternative would obscure a real architectural characteristic of the platform.</w:t>
      </w:r>
    </w:p>
    <w:p>
      <w:pPr>
        <w:pStyle w:val="Heading3"/>
        <w:spacing w:after="120" w:before="240"/>
      </w:pPr>
      <w:r>
        <w:t xml:space="preserve">ADR-VS-03 — Employer Collaboration is catalogued as a full, named value stream despite Level 1 maturity</w:t>
      </w:r>
    </w:p>
    <w:p>
      <w:pPr>
        <w:pStyle w:val="ListParagraph"/>
        <w:numPr>
          <w:ilvl w:val="0"/>
          <w:numId w:val="1"/>
        </w:numPr>
        <w:spacing w:after="100"/>
      </w:pPr>
      <w:r>
        <w:t xml:space="preserve">Context: At Level 1 maturity, Employer Collaboration could be folded into a general future-value-streams note rather than given a full profile.</w:t>
      </w:r>
    </w:p>
    <w:p>
      <w:pPr>
        <w:pStyle w:val="ListParagraph"/>
        <w:numPr>
          <w:ilvl w:val="0"/>
          <w:numId w:val="1"/>
        </w:numPr>
        <w:spacing w:after="100"/>
      </w:pPr>
      <w:r>
        <w:t xml:space="preserve">Alternatives considered: (a) omit or under-catalogue it given its immaturity; (b) name it as a full strategic value stream regardless of current maturity, per Phase A ADR-BC-03 and Phase B ADR-BD-03's identical precedent at the capability and domain levels.</w:t>
      </w:r>
    </w:p>
    <w:p>
      <w:pPr>
        <w:pStyle w:val="ListParagraph"/>
        <w:numPr>
          <w:ilvl w:val="0"/>
          <w:numId w:val="1"/>
        </w:numPr>
        <w:spacing w:after="100"/>
      </w:pPr>
      <w:r>
        <w:t xml:space="preserve">Rationale: Its strategic importance is independent of its current maturity; omitting it would hide the platform's single largest value-stream-level gap rather than surface it, which is this document's purpose.</w:t>
      </w:r>
    </w:p>
    <w:p>
      <w:pPr>
        <w:pStyle w:val="ListParagraph"/>
        <w:numPr>
          <w:ilvl w:val="0"/>
          <w:numId w:val="1"/>
        </w:numPr>
        <w:spacing w:after="100"/>
      </w:pPr>
      <w:r>
        <w:t xml:space="preserve">Trade-off: Its profile (Section 6.5) necessarily reports more target-state than current-state content than any other profile in this catalog — accepted as accurate rather than smoothed over.</w:t>
      </w:r>
    </w:p>
    <w:p>
      <w:pPr>
        <w:pStyle w:val="Heading3"/>
        <w:spacing w:after="120" w:before="240"/>
      </w:pPr>
      <w:r>
        <w:t xml:space="preserve">ADR-VS-04 — Platform Trust, Identity &amp; Governance is modeled as a horizontal, enabling value stream, not a stakeholder-facing journey among peers</w:t>
      </w:r>
    </w:p>
    <w:p>
      <w:pPr>
        <w:pStyle w:val="ListParagraph"/>
        <w:numPr>
          <w:ilvl w:val="0"/>
          <w:numId w:val="1"/>
        </w:numPr>
        <w:spacing w:after="100"/>
      </w:pPr>
      <w:r>
        <w:t xml:space="preserve">Context: A conventional value stream map would show all value streams as peers with an equivalent stakeholder-facing shape.</w:t>
      </w:r>
    </w:p>
    <w:p>
      <w:pPr>
        <w:pStyle w:val="ListParagraph"/>
        <w:numPr>
          <w:ilvl w:val="0"/>
          <w:numId w:val="1"/>
        </w:numPr>
        <w:spacing w:after="100"/>
      </w:pPr>
      <w:r>
        <w:t xml:space="preserve">Alternatives considered: (a) model it as a conventional peer value stream with an internal-stakeholder need statement; (b) explicitly describe it as horizontal/enabling, mirroring Phase B ADR-BD-05's treatment of the AI Intelligence Domain.</w:t>
      </w:r>
    </w:p>
    <w:p>
      <w:pPr>
        <w:pStyle w:val="ListParagraph"/>
        <w:numPr>
          <w:ilvl w:val="0"/>
          <w:numId w:val="1"/>
        </w:numPr>
        <w:spacing w:after="100"/>
      </w:pPr>
      <w:r>
        <w:t xml:space="preserve">Rationale: Every other value stream in this catalog depends on identity, configuration, and conformance infrastructure to operate; treating it as a same-shaped peer stream would understate how deeply it underlies the rest of the portfolio.</w:t>
      </w:r>
    </w:p>
    <w:p>
      <w:pPr>
        <w:pStyle w:val="ListParagraph"/>
        <w:numPr>
          <w:ilvl w:val="0"/>
          <w:numId w:val="1"/>
        </w:numPr>
        <w:spacing w:after="100"/>
      </w:pPr>
      <w:r>
        <w:t xml:space="preserve">Trade-off: The value stream landscape is slightly less visually symmetric as a result; accepted for the same reason Phase B accepted it at the domain level.</w:t>
      </w:r>
    </w:p>
    <w:p>
      <w:pPr>
        <w:pStyle w:val="Heading3"/>
        <w:spacing w:after="120" w:before="240"/>
      </w:pPr>
      <w:r>
        <w:t xml:space="preserve">ADR-VS-05 — No value stream is classified as Legacy</w:t>
      </w:r>
    </w:p>
    <w:p>
      <w:pPr>
        <w:pStyle w:val="ListParagraph"/>
        <w:numPr>
          <w:ilvl w:val="0"/>
          <w:numId w:val="1"/>
        </w:numPr>
        <w:spacing w:after="100"/>
      </w:pPr>
      <w:r>
        <w:t xml:space="preserve">Context: Section 13 requires a Legacy heat-map category to be populated only if evidence exists.</w:t>
      </w:r>
    </w:p>
    <w:p>
      <w:pPr>
        <w:pStyle w:val="ListParagraph"/>
        <w:numPr>
          <w:ilvl w:val="0"/>
          <w:numId w:val="1"/>
        </w:numPr>
        <w:spacing w:after="100"/>
      </w:pPr>
      <w:r>
        <w:t xml:space="preserve">Alternatives considered: (a) force a Legacy entry for completeness; (b) leave the category empty with an explicit rationale, mirroring Phase A ADR-BC-05 and Phase B ADR-BD-06.</w:t>
      </w:r>
    </w:p>
    <w:p>
      <w:pPr>
        <w:pStyle w:val="ListParagraph"/>
        <w:numPr>
          <w:ilvl w:val="0"/>
          <w:numId w:val="1"/>
        </w:numPr>
        <w:spacing w:after="100"/>
      </w:pPr>
      <w:r>
        <w:t xml:space="preserve">Rationale: No repository evidence supports a legacy classification for any current value stream; a young, actively evolving platform manufacturing a legacy narrative would introduce a false signal rather than a useful one.</w:t>
      </w:r>
    </w:p>
    <w:p>
      <w:pPr>
        <w:pStyle w:val="ListParagraph"/>
        <w:numPr>
          <w:ilvl w:val="0"/>
          <w:numId w:val="1"/>
        </w:numPr>
        <w:spacing w:after="100"/>
      </w:pPr>
      <w:r>
        <w:t xml:space="preserve">Trade-off: None — this preserves accuracy at no cost.</w:t>
      </w:r>
    </w:p>
    <w:p>
      <w:pPr>
        <w:pStyle w:val="Heading1"/>
        <w:spacing w:after="200" w:before="400"/>
      </w:pPr>
      <w:r>
        <w:t xml:space="preserve">17. Risks</w:t>
      </w:r>
    </w:p>
    <w:p>
      <w:pPr>
        <w:pStyle w:val="Heading2"/>
        <w:spacing w:after="150" w:before="300"/>
      </w:pPr>
      <w:r>
        <w:t xml:space="preserve">17.1 Business Risks</w:t>
      </w:r>
    </w:p>
    <w:p>
      <w:pPr>
        <w:pStyle w:val="ListParagraph"/>
        <w:numPr>
          <w:ilvl w:val="0"/>
          <w:numId w:val="1"/>
        </w:numPr>
        <w:spacing w:after="100"/>
      </w:pPr>
      <w:r>
        <w:t xml:space="preserve">Presenting mock-derived market data, opportunities, or salary figures to students without clear provenance signaling risks a trust and credibility failure once discovered, in a product whose entire value proposition rests on trustworthy guidance for career-stakes decisions — inherited unchanged from Phase A Section 16.1 and Phase B Section 16.1, and now evidenced at the value-stream level across Career Discovery &amp; Recommendation, Job Opportunity Discovery, and Knowledge Evolution simultaneously.</w:t>
      </w:r>
    </w:p>
    <w:p>
      <w:pPr>
        <w:pStyle w:val="ListParagraph"/>
        <w:numPr>
          <w:ilvl w:val="0"/>
          <w:numId w:val="1"/>
        </w:numPr>
        <w:spacing w:after="100"/>
      </w:pPr>
      <w:r>
        <w:t xml:space="preserve">Employer Collaboration's Level 1 maturity means the platform's monetizable, two-sided-market strategy is currently unactivated at the value-stream level; strategic messaging implying otherwise carries reputational and investor-relations risk.</w:t>
      </w:r>
    </w:p>
    <w:p>
      <w:pPr>
        <w:pStyle w:val="Heading2"/>
        <w:spacing w:after="150" w:before="300"/>
      </w:pPr>
      <w:r>
        <w:t xml:space="preserve">17.2 Value Delivery Risks</w:t>
      </w:r>
    </w:p>
    <w:p>
      <w:pPr>
        <w:pStyle w:val="ListParagraph"/>
        <w:numPr>
          <w:ilvl w:val="0"/>
          <w:numId w:val="1"/>
        </w:numPr>
        <w:spacing w:after="100"/>
      </w:pPr>
      <w:r>
        <w:t xml:space="preserve">Three of the six Tier 1 value streams share one upstream constraint (Knowledge Evolution's mock-data ceiling); resourcing them as three independent problems, rather than one upstream fix with three downstream symptoms, risks wasted, duplicated remediation effort (Section 2.5).</w:t>
      </w:r>
    </w:p>
    <w:p>
      <w:pPr>
        <w:pStyle w:val="ListParagraph"/>
        <w:numPr>
          <w:ilvl w:val="0"/>
          <w:numId w:val="1"/>
        </w:numPr>
        <w:spacing w:after="100"/>
      </w:pPr>
      <w:r>
        <w:t xml:space="preserve">Career Health &amp; Continuous Monitoring's dual-implementation state (v1/chiV2) risks score inconsistency if both are ever exposed to the same student population without a clean cutover.</w:t>
      </w:r>
    </w:p>
    <w:p>
      <w:pPr>
        <w:pStyle w:val="Heading2"/>
        <w:spacing w:after="150" w:before="300"/>
      </w:pPr>
      <w:r>
        <w:t xml:space="preserve">17.3 Knowledge Risks</w:t>
      </w:r>
    </w:p>
    <w:p>
      <w:pPr>
        <w:pStyle w:val="ListParagraph"/>
        <w:numPr>
          <w:ilvl w:val="0"/>
          <w:numId w:val="1"/>
        </w:numPr>
        <w:spacing w:after="100"/>
      </w:pPr>
      <w:r>
        <w:t xml:space="preserve">A stale or incomplete taxonomy silently degrades every consuming value stream without an obvious symptom pointing back to Knowledge Evolution as the source (Phase A Section 7.6 risk, restated at value-stream scope).</w:t>
      </w:r>
    </w:p>
    <w:p>
      <w:pPr>
        <w:pStyle w:val="Heading2"/>
        <w:spacing w:after="150" w:before="300"/>
      </w:pPr>
      <w:r>
        <w:t xml:space="preserve">17.4 AI Risks</w:t>
      </w:r>
    </w:p>
    <w:p>
      <w:pPr>
        <w:pStyle w:val="ListParagraph"/>
        <w:numPr>
          <w:ilvl w:val="0"/>
          <w:numId w:val="1"/>
        </w:numPr>
        <w:spacing w:after="100"/>
      </w:pPr>
      <w:r>
        <w:t xml:space="preserve">AI Advisory &amp; Conversational Guidance carries the highest AI-vendor concentration risk of any value stream; the five-provider fallback mitigates single-vendor outage risk but does not remove systemic exposure to external AI-provider pricing, policy, or availability changes.</w:t>
      </w:r>
    </w:p>
    <w:p>
      <w:pPr>
        <w:pStyle w:val="ListParagraph"/>
        <w:numPr>
          <w:ilvl w:val="0"/>
          <w:numId w:val="1"/>
        </w:numPr>
        <w:spacing w:after="100"/>
      </w:pPr>
      <w:r>
        <w:t xml:space="preserve">AI-mediated personalization within several value streams remains outcome-unvalidated, meaning per-student adjustments are made without confirmed evidence they improve outcomes.</w:t>
      </w:r>
    </w:p>
    <w:p>
      <w:pPr>
        <w:pStyle w:val="Heading2"/>
        <w:spacing w:after="150" w:before="300"/>
      </w:pPr>
      <w:r>
        <w:t xml:space="preserve">17.5 Transformation Risks</w:t>
      </w:r>
    </w:p>
    <w:p>
      <w:pPr>
        <w:pStyle w:val="ListParagraph"/>
        <w:numPr>
          <w:ilvl w:val="0"/>
          <w:numId w:val="1"/>
        </w:numPr>
        <w:spacing w:after="100"/>
      </w:pPr>
      <w:r>
        <w:t xml:space="preserve">Activating Employer Collaboration will, for the first time, require the organization to operate live external-partner data contracts and SLAs — a genuinely new organizational capability, not just a technical one; the roadmap (Section 14.2) should not underestimate the non-technical lift involved.</w:t>
      </w:r>
    </w:p>
    <w:p>
      <w:pPr>
        <w:pStyle w:val="Heading2"/>
        <w:spacing w:after="150" w:before="300"/>
      </w:pPr>
      <w:r>
        <w:t xml:space="preserve">17.6 Governance Risks</w:t>
      </w:r>
    </w:p>
    <w:p>
      <w:pPr>
        <w:pStyle w:val="ListParagraph"/>
        <w:numPr>
          <w:ilvl w:val="0"/>
          <w:numId w:val="1"/>
        </w:numPr>
        <w:spacing w:after="100"/>
      </w:pPr>
      <w:r>
        <w:t xml:space="preserve">Platform Trust, Identity &amp; Governance itself carries documented drift (four items, EEP-01 Phase J); a governance value stream that is not itself fully conformant reduces confidence in every other value stream's stated maturity in this catalog until those items close.</w:t>
      </w:r>
    </w:p>
    <w:p>
      <w:pPr>
        <w:pStyle w:val="Heading2"/>
        <w:spacing w:after="150" w:before="300"/>
      </w:pPr>
      <w:r>
        <w:t xml:space="preserve">17.7 Organizational Risks</w:t>
      </w:r>
    </w:p>
    <w:p>
      <w:pPr>
        <w:pStyle w:val="ListParagraph"/>
        <w:numPr>
          <w:ilvl w:val="0"/>
          <w:numId w:val="1"/>
        </w:numPr>
        <w:spacing w:after="100"/>
      </w:pPr>
      <w:r>
        <w:t xml:space="preserve">Every value stream in this catalog is currently owned, in practice, by the same small, general product/engineering function (Section 8.6). Key-person concentration is a material organizational risk until target-state ownership separation triggers fire, and it is a risk at the whole-portfolio level, not isolated to any one value stream.</w:t>
      </w:r>
    </w:p>
    <w:p>
      <w:pPr>
        <w:pStyle w:val="Heading2"/>
        <w:spacing w:after="150" w:before="300"/>
      </w:pPr>
      <w:r>
        <w:t xml:space="preserve">17.8 Technology Dependency Risks</w:t>
      </w:r>
    </w:p>
    <w:p>
      <w:pPr>
        <w:pStyle w:val="ListParagraph"/>
        <w:numPr>
          <w:ilvl w:val="0"/>
          <w:numId w:val="1"/>
        </w:numPr>
        <w:spacing w:after="100"/>
      </w:pPr>
      <w:r>
        <w:t xml:space="preserve">This review confirms the security-hygiene finding already documented in Phase A Section 16.5 and Phase B Section 16.8: API keys and credential-bearing files were found stored as plaintext files directly in the repository, rather than in a managed secrets store. This is a Platform Trust, Identity &amp; Governance Value Stream finding, not a new value-stream-architecture recommendation as such; it is restated here, unchanged, because it materially affects confidence in the enabling value stream every other stream in this catalog depends on, and is flagged for the reader's direct attention and immediate remediation outside this document's scope.</w:t>
      </w:r>
    </w:p>
    <w:p>
      <w:pPr>
        <w:pStyle w:val="Heading2"/>
        <w:spacing w:after="150" w:before="300"/>
      </w:pPr>
      <w:r>
        <w:t xml:space="preserve">17.9 Mitigation Strategies</w:t>
      </w:r>
    </w:p>
    <w:p>
      <w:pPr>
        <w:pStyle w:val="ListParagraph"/>
        <w:numPr>
          <w:ilvl w:val="0"/>
          <w:numId w:val="1"/>
        </w:numPr>
        <w:spacing w:after="100"/>
      </w:pPr>
      <w:r>
        <w:t xml:space="preserve">Make data provenance visible in-product (Section 14.1) as an immediate, low-cost mitigation for the business-risk items above.</w:t>
      </w:r>
    </w:p>
    <w:p>
      <w:pPr>
        <w:pStyle w:val="ListParagraph"/>
        <w:numPr>
          <w:ilvl w:val="0"/>
          <w:numId w:val="1"/>
        </w:numPr>
        <w:spacing w:after="100"/>
      </w:pPr>
      <w:r>
        <w:t xml:space="preserve">Treat the chiV2 migration as a named, owned short-term item within Career Health &amp; Continuous Monitoring (Section 14.1) rather than an implicit background task.</w:t>
      </w:r>
    </w:p>
    <w:p>
      <w:pPr>
        <w:pStyle w:val="ListParagraph"/>
        <w:numPr>
          <w:ilvl w:val="0"/>
          <w:numId w:val="1"/>
        </w:numPr>
        <w:spacing w:after="100"/>
      </w:pPr>
      <w:r>
        <w:t xml:space="preserve">Define the missing Employer Domain anti-corruption boundary (Phase B Section 8.4) before, not after, the first partner conversation concludes.</w:t>
      </w:r>
    </w:p>
    <w:p>
      <w:pPr>
        <w:pStyle w:val="ListParagraph"/>
        <w:numPr>
          <w:ilvl w:val="0"/>
          <w:numId w:val="1"/>
        </w:numPr>
        <w:spacing w:after="100"/>
      </w:pPr>
      <w:r>
        <w:t xml:space="preserve">Rotate and relocate any credential material found stored in plaintext to a proper secrets manager immediately, independent of this document's roadmap timing — unchanged guidance from Phase A and Phase B, repeated here because it remains unresolved as of this document's version date.</w:t>
      </w:r>
    </w:p>
    <w:p>
      <w:pPr>
        <w:pStyle w:val="Heading1"/>
        <w:spacing w:after="200" w:before="400"/>
      </w:pPr>
      <w:r>
        <w:t xml:space="preserve">18.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tcPr>
          <w:p>
            <w:r>
              <w:rPr>
                <w:b/>
                <w:bCs/>
                <w:color w:val="FFFFFF"/>
                <w:sz w:val="18"/>
                <w:szCs w:val="18"/>
              </w:rPr>
              <w:t xml:space="preserve">Metric category</w:t>
            </w:r>
          </w:p>
        </w:tc>
        <w:tc>
          <w:tcPr>
            <w:tcW w:type="dxa" w:w="3120"/>
            <w:shd w:fill="1F3864" w:color="auto" w:val="clear"/>
            <w:tcMar>
              <w:top w:type="dxa" w:w="80"/>
              <w:left w:type="dxa" w:w="100"/>
              <w:bottom w:type="dxa" w:w="80"/>
              <w:right w:type="dxa" w:w="100"/>
            </w:tcMar>
          </w:tcPr>
          <w:p>
            <w:r>
              <w:rPr>
                <w:b/>
                <w:bCs/>
                <w:color w:val="FFFFFF"/>
                <w:sz w:val="18"/>
                <w:szCs w:val="18"/>
              </w:rPr>
              <w:t xml:space="preserve">Representative KPI</w:t>
            </w:r>
          </w:p>
        </w:tc>
        <w:tc>
          <w:tcPr>
            <w:tcW w:type="dxa" w:w="3120"/>
            <w:shd w:fill="1F3864" w:color="auto" w:val="clear"/>
            <w:tcMar>
              <w:top w:type="dxa" w:w="80"/>
              <w:left w:type="dxa" w:w="100"/>
              <w:bottom w:type="dxa" w:w="80"/>
              <w:right w:type="dxa" w:w="100"/>
            </w:tcMar>
          </w:tcPr>
          <w:p>
            <w:r>
              <w:rPr>
                <w:b/>
                <w:bCs/>
                <w:color w:val="FFFFFF"/>
                <w:sz w:val="18"/>
                <w:szCs w:val="18"/>
              </w:rPr>
              <w:t xml:space="preserve">Owning value stream(s)</w:t>
            </w:r>
          </w:p>
        </w:tc>
      </w:tr>
      <w:tr>
        <w:tc>
          <w:tcPr>
            <w:tcW w:type="dxa" w:w="3120"/>
            <w:shd w:fill="FFFFFF" w:color="auto" w:val="clear"/>
            <w:tcMar>
              <w:top w:type="dxa" w:w="80"/>
              <w:left w:type="dxa" w:w="100"/>
              <w:bottom w:type="dxa" w:w="80"/>
              <w:right w:type="dxa" w:w="100"/>
            </w:tcMar>
          </w:tcPr>
          <w:p>
            <w:r>
              <w:rPr>
                <w:sz w:val="18"/>
                <w:szCs w:val="18"/>
              </w:rPr>
              <w:t xml:space="preserve">Student success</w:t>
            </w:r>
          </w:p>
        </w:tc>
        <w:tc>
          <w:tcPr>
            <w:tcW w:type="dxa" w:w="3120"/>
            <w:shd w:fill="FFFFFF" w:color="auto" w:val="clear"/>
            <w:tcMar>
              <w:top w:type="dxa" w:w="80"/>
              <w:left w:type="dxa" w:w="100"/>
              <w:bottom w:type="dxa" w:w="80"/>
              <w:right w:type="dxa" w:w="100"/>
            </w:tcMar>
          </w:tcPr>
          <w:p>
            <w:r>
              <w:rPr>
                <w:sz w:val="18"/>
                <w:szCs w:val="18"/>
              </w:rPr>
              <w:t xml:space="preserve">Profile completeness rate; career-health score-to-outcome correlation</w:t>
            </w:r>
          </w:p>
        </w:tc>
        <w:tc>
          <w:tcPr>
            <w:tcW w:type="dxa" w:w="3120"/>
            <w:shd w:fill="FFFFFF" w:color="auto" w:val="clear"/>
            <w:tcMar>
              <w:top w:type="dxa" w:w="80"/>
              <w:left w:type="dxa" w:w="100"/>
              <w:bottom w:type="dxa" w:w="80"/>
              <w:right w:type="dxa" w:w="100"/>
            </w:tcMar>
          </w:tcPr>
          <w:p>
            <w:r>
              <w:rPr>
                <w:sz w:val="18"/>
                <w:szCs w:val="18"/>
              </w:rPr>
              <w:t xml:space="preserve">Student Onboarding &amp; Academic Foundation; Career Health &amp; Continuous Monitoring</w:t>
            </w:r>
          </w:p>
        </w:tc>
      </w:tr>
      <w:tr>
        <w:tc>
          <w:tcPr>
            <w:tcW w:type="dxa" w:w="3120"/>
            <w:shd w:fill="F2F2F2" w:color="auto" w:val="clear"/>
            <w:tcMar>
              <w:top w:type="dxa" w:w="80"/>
              <w:left w:type="dxa" w:w="100"/>
              <w:bottom w:type="dxa" w:w="80"/>
              <w:right w:type="dxa" w:w="100"/>
            </w:tcMar>
          </w:tcPr>
          <w:p>
            <w:r>
              <w:rPr>
                <w:sz w:val="18"/>
                <w:szCs w:val="18"/>
              </w:rPr>
              <w:t xml:space="preserve">Recommendation adoption</w:t>
            </w:r>
          </w:p>
        </w:tc>
        <w:tc>
          <w:tcPr>
            <w:tcW w:type="dxa" w:w="3120"/>
            <w:shd w:fill="F2F2F2" w:color="auto" w:val="clear"/>
            <w:tcMar>
              <w:top w:type="dxa" w:w="80"/>
              <w:left w:type="dxa" w:w="100"/>
              <w:bottom w:type="dxa" w:w="80"/>
              <w:right w:type="dxa" w:w="100"/>
            </w:tcMar>
          </w:tcPr>
          <w:p>
            <w:r>
              <w:rPr>
                <w:sz w:val="18"/>
                <w:szCs w:val="18"/>
              </w:rPr>
              <w:t xml:space="preserve">Recommendation acceptance rate; recommendation-to-application conversion</w:t>
            </w:r>
          </w:p>
        </w:tc>
        <w:tc>
          <w:tcPr>
            <w:tcW w:type="dxa" w:w="3120"/>
            <w:shd w:fill="F2F2F2" w:color="auto" w:val="clear"/>
            <w:tcMar>
              <w:top w:type="dxa" w:w="80"/>
              <w:left w:type="dxa" w:w="100"/>
              <w:bottom w:type="dxa" w:w="80"/>
              <w:right w:type="dxa" w:w="100"/>
            </w:tcMar>
          </w:tcPr>
          <w:p>
            <w:r>
              <w:rPr>
                <w:sz w:val="18"/>
                <w:szCs w:val="18"/>
              </w:rPr>
              <w:t xml:space="preserve">Career Discovery &amp; Recommendation</w:t>
            </w:r>
          </w:p>
        </w:tc>
      </w:tr>
      <w:tr>
        <w:tc>
          <w:tcPr>
            <w:tcW w:type="dxa" w:w="3120"/>
            <w:shd w:fill="FFFFFF" w:color="auto" w:val="clear"/>
            <w:tcMar>
              <w:top w:type="dxa" w:w="80"/>
              <w:left w:type="dxa" w:w="100"/>
              <w:bottom w:type="dxa" w:w="80"/>
              <w:right w:type="dxa" w:w="100"/>
            </w:tcMar>
          </w:tcPr>
          <w:p>
            <w:r>
              <w:rPr>
                <w:sz w:val="18"/>
                <w:szCs w:val="18"/>
              </w:rPr>
              <w:t xml:space="preserve">Career readiness improvement</w:t>
            </w:r>
          </w:p>
        </w:tc>
        <w:tc>
          <w:tcPr>
            <w:tcW w:type="dxa" w:w="3120"/>
            <w:shd w:fill="FFFFFF" w:color="auto" w:val="clear"/>
            <w:tcMar>
              <w:top w:type="dxa" w:w="80"/>
              <w:left w:type="dxa" w:w="100"/>
              <w:bottom w:type="dxa" w:w="80"/>
              <w:right w:type="dxa" w:w="100"/>
            </w:tcMar>
          </w:tcPr>
          <w:p>
            <w:r>
              <w:rPr>
                <w:sz w:val="18"/>
                <w:szCs w:val="18"/>
              </w:rPr>
              <w:t xml:space="preserve">Score stability/volatility; re-engagement rate after a score change</w:t>
            </w:r>
          </w:p>
        </w:tc>
        <w:tc>
          <w:tcPr>
            <w:tcW w:type="dxa" w:w="3120"/>
            <w:shd w:fill="FFFFFF" w:color="auto" w:val="clear"/>
            <w:tcMar>
              <w:top w:type="dxa" w:w="80"/>
              <w:left w:type="dxa" w:w="100"/>
              <w:bottom w:type="dxa" w:w="80"/>
              <w:right w:type="dxa" w:w="100"/>
            </w:tcMar>
          </w:tcPr>
          <w:p>
            <w:r>
              <w:rPr>
                <w:sz w:val="18"/>
                <w:szCs w:val="18"/>
              </w:rPr>
              <w:t xml:space="preserve">Career Health &amp; Continuous Monitoring</w:t>
            </w:r>
          </w:p>
        </w:tc>
      </w:tr>
      <w:tr>
        <w:tc>
          <w:tcPr>
            <w:tcW w:type="dxa" w:w="3120"/>
            <w:shd w:fill="F2F2F2" w:color="auto" w:val="clear"/>
            <w:tcMar>
              <w:top w:type="dxa" w:w="80"/>
              <w:left w:type="dxa" w:w="100"/>
              <w:bottom w:type="dxa" w:w="80"/>
              <w:right w:type="dxa" w:w="100"/>
            </w:tcMar>
          </w:tcPr>
          <w:p>
            <w:r>
              <w:rPr>
                <w:sz w:val="18"/>
                <w:szCs w:val="18"/>
              </w:rPr>
              <w:t xml:space="preserve">Resume improvement</w:t>
            </w:r>
          </w:p>
        </w:tc>
        <w:tc>
          <w:tcPr>
            <w:tcW w:type="dxa" w:w="3120"/>
            <w:shd w:fill="F2F2F2" w:color="auto" w:val="clear"/>
            <w:tcMar>
              <w:top w:type="dxa" w:w="80"/>
              <w:left w:type="dxa" w:w="100"/>
              <w:bottom w:type="dxa" w:w="80"/>
              <w:right w:type="dxa" w:w="100"/>
            </w:tcMar>
          </w:tcPr>
          <w:p>
            <w:r>
              <w:rPr>
                <w:sz w:val="18"/>
                <w:szCs w:val="18"/>
              </w:rPr>
              <w:t xml:space="preserve">Edit-and-export rate; downstream application rate after generation</w:t>
            </w:r>
          </w:p>
        </w:tc>
        <w:tc>
          <w:tcPr>
            <w:tcW w:type="dxa" w:w="3120"/>
            <w:shd w:fill="F2F2F2" w:color="auto" w:val="clear"/>
            <w:tcMar>
              <w:top w:type="dxa" w:w="80"/>
              <w:left w:type="dxa" w:w="100"/>
              <w:bottom w:type="dxa" w:w="80"/>
              <w:right w:type="dxa" w:w="100"/>
            </w:tcMar>
          </w:tcPr>
          <w:p>
            <w:r>
              <w:rPr>
                <w:sz w:val="18"/>
                <w:szCs w:val="18"/>
              </w:rPr>
              <w:t xml:space="preserve">Resume &amp; Application Readiness</w:t>
            </w:r>
          </w:p>
        </w:tc>
      </w:tr>
      <w:tr>
        <w:tc>
          <w:tcPr>
            <w:tcW w:type="dxa" w:w="3120"/>
            <w:shd w:fill="FFFFFF" w:color="auto" w:val="clear"/>
            <w:tcMar>
              <w:top w:type="dxa" w:w="80"/>
              <w:left w:type="dxa" w:w="100"/>
              <w:bottom w:type="dxa" w:w="80"/>
              <w:right w:type="dxa" w:w="100"/>
            </w:tcMar>
          </w:tcPr>
          <w:p>
            <w:r>
              <w:rPr>
                <w:sz w:val="18"/>
                <w:szCs w:val="18"/>
              </w:rPr>
              <w:t xml:space="preserve">Knowledge growth</w:t>
            </w:r>
          </w:p>
        </w:tc>
        <w:tc>
          <w:tcPr>
            <w:tcW w:type="dxa" w:w="3120"/>
            <w:shd w:fill="FFFFFF" w:color="auto" w:val="clear"/>
            <w:tcMar>
              <w:top w:type="dxa" w:w="80"/>
              <w:left w:type="dxa" w:w="100"/>
              <w:bottom w:type="dxa" w:w="80"/>
              <w:right w:type="dxa" w:w="100"/>
            </w:tcMar>
          </w:tcPr>
          <w:p>
            <w:r>
              <w:rPr>
                <w:sz w:val="18"/>
                <w:szCs w:val="18"/>
              </w:rPr>
              <w:t xml:space="preserve">Taxonomy coverage vs. real-world job postings; graph and feed freshness</w:t>
            </w:r>
          </w:p>
        </w:tc>
        <w:tc>
          <w:tcPr>
            <w:tcW w:type="dxa" w:w="3120"/>
            <w:shd w:fill="FFFFFF" w:color="auto" w:val="clear"/>
            <w:tcMar>
              <w:top w:type="dxa" w:w="80"/>
              <w:left w:type="dxa" w:w="100"/>
              <w:bottom w:type="dxa" w:w="80"/>
              <w:right w:type="dxa" w:w="100"/>
            </w:tcMar>
          </w:tcPr>
          <w:p>
            <w:r>
              <w:rPr>
                <w:sz w:val="18"/>
                <w:szCs w:val="18"/>
              </w:rPr>
              <w:t xml:space="preserve">Knowledge Evolution</w:t>
            </w:r>
          </w:p>
        </w:tc>
      </w:tr>
      <w:tr>
        <w:tc>
          <w:tcPr>
            <w:tcW w:type="dxa" w:w="3120"/>
            <w:shd w:fill="F2F2F2" w:color="auto" w:val="clear"/>
            <w:tcMar>
              <w:top w:type="dxa" w:w="80"/>
              <w:left w:type="dxa" w:w="100"/>
              <w:bottom w:type="dxa" w:w="80"/>
              <w:right w:type="dxa" w:w="100"/>
            </w:tcMar>
          </w:tcPr>
          <w:p>
            <w:r>
              <w:rPr>
                <w:sz w:val="18"/>
                <w:szCs w:val="18"/>
              </w:rPr>
              <w:t xml:space="preserve">AI effectiveness</w:t>
            </w:r>
          </w:p>
        </w:tc>
        <w:tc>
          <w:tcPr>
            <w:tcW w:type="dxa" w:w="3120"/>
            <w:shd w:fill="F2F2F2" w:color="auto" w:val="clear"/>
            <w:tcMar>
              <w:top w:type="dxa" w:w="80"/>
              <w:left w:type="dxa" w:w="100"/>
              <w:bottom w:type="dxa" w:w="80"/>
              <w:right w:type="dxa" w:w="100"/>
            </w:tcMar>
          </w:tcPr>
          <w:p>
            <w:r>
              <w:rPr>
                <w:sz w:val="18"/>
                <w:szCs w:val="18"/>
              </w:rPr>
              <w:t xml:space="preserve">Agent task success rate; provider fallback frequency; advisory session completion rate</w:t>
            </w:r>
          </w:p>
        </w:tc>
        <w:tc>
          <w:tcPr>
            <w:tcW w:type="dxa" w:w="3120"/>
            <w:shd w:fill="F2F2F2" w:color="auto" w:val="clear"/>
            <w:tcMar>
              <w:top w:type="dxa" w:w="80"/>
              <w:left w:type="dxa" w:w="100"/>
              <w:bottom w:type="dxa" w:w="80"/>
              <w:right w:type="dxa" w:w="100"/>
            </w:tcMar>
          </w:tcPr>
          <w:p>
            <w:r>
              <w:rPr>
                <w:sz w:val="18"/>
                <w:szCs w:val="18"/>
              </w:rPr>
              <w:t xml:space="preserve">AI Advisory &amp; Conversational Guidance</w:t>
            </w:r>
          </w:p>
        </w:tc>
      </w:tr>
      <w:tr>
        <w:tc>
          <w:tcPr>
            <w:tcW w:type="dxa" w:w="3120"/>
            <w:shd w:fill="FFFFFF" w:color="auto" w:val="clear"/>
            <w:tcMar>
              <w:top w:type="dxa" w:w="80"/>
              <w:left w:type="dxa" w:w="100"/>
              <w:bottom w:type="dxa" w:w="80"/>
              <w:right w:type="dxa" w:w="100"/>
            </w:tcMar>
          </w:tcPr>
          <w:p>
            <w:r>
              <w:rPr>
                <w:sz w:val="18"/>
                <w:szCs w:val="18"/>
              </w:rPr>
              <w:t xml:space="preserve">Employer participation</w:t>
            </w:r>
          </w:p>
        </w:tc>
        <w:tc>
          <w:tcPr>
            <w:tcW w:type="dxa" w:w="3120"/>
            <w:shd w:fill="FFFFFF" w:color="auto" w:val="clear"/>
            <w:tcMar>
              <w:top w:type="dxa" w:w="80"/>
              <w:left w:type="dxa" w:w="100"/>
              <w:bottom w:type="dxa" w:w="80"/>
              <w:right w:type="dxa" w:w="100"/>
            </w:tcMar>
          </w:tcPr>
          <w:p>
            <w:r>
              <w:rPr>
                <w:sz w:val="18"/>
                <w:szCs w:val="18"/>
              </w:rPr>
              <w:t xml:space="preserve">Number of live partner integrations; feed volume and freshness</w:t>
            </w:r>
          </w:p>
        </w:tc>
        <w:tc>
          <w:tcPr>
            <w:tcW w:type="dxa" w:w="3120"/>
            <w:shd w:fill="FFFFFF" w:color="auto" w:val="clear"/>
            <w:tcMar>
              <w:top w:type="dxa" w:w="80"/>
              <w:left w:type="dxa" w:w="100"/>
              <w:bottom w:type="dxa" w:w="80"/>
              <w:right w:type="dxa" w:w="100"/>
            </w:tcMar>
          </w:tcPr>
          <w:p>
            <w:r>
              <w:rPr>
                <w:sz w:val="18"/>
                <w:szCs w:val="18"/>
              </w:rPr>
              <w:t xml:space="preserve">Employer Collaboration</w:t>
            </w:r>
          </w:p>
        </w:tc>
      </w:tr>
      <w:tr>
        <w:tc>
          <w:tcPr>
            <w:tcW w:type="dxa" w:w="3120"/>
            <w:shd w:fill="F2F2F2" w:color="auto" w:val="clear"/>
            <w:tcMar>
              <w:top w:type="dxa" w:w="80"/>
              <w:left w:type="dxa" w:w="100"/>
              <w:bottom w:type="dxa" w:w="80"/>
              <w:right w:type="dxa" w:w="100"/>
            </w:tcMar>
          </w:tcPr>
          <w:p>
            <w:r>
              <w:rPr>
                <w:sz w:val="18"/>
                <w:szCs w:val="18"/>
              </w:rPr>
              <w:t xml:space="preserve">Platform engagement</w:t>
            </w:r>
          </w:p>
        </w:tc>
        <w:tc>
          <w:tcPr>
            <w:tcW w:type="dxa" w:w="3120"/>
            <w:shd w:fill="F2F2F2" w:color="auto" w:val="clear"/>
            <w:tcMar>
              <w:top w:type="dxa" w:w="80"/>
              <w:left w:type="dxa" w:w="100"/>
              <w:bottom w:type="dxa" w:w="80"/>
              <w:right w:type="dxa" w:w="100"/>
            </w:tcMar>
          </w:tcPr>
          <w:p>
            <w:r>
              <w:rPr>
                <w:sz w:val="18"/>
                <w:szCs w:val="18"/>
              </w:rPr>
              <w:t xml:space="preserve">Return-visit rate; engagement-to-conversion rate</w:t>
            </w:r>
          </w:p>
        </w:tc>
        <w:tc>
          <w:tcPr>
            <w:tcW w:type="dxa" w:w="3120"/>
            <w:shd w:fill="F2F2F2" w:color="auto" w:val="clear"/>
            <w:tcMar>
              <w:top w:type="dxa" w:w="80"/>
              <w:left w:type="dxa" w:w="100"/>
              <w:bottom w:type="dxa" w:w="80"/>
              <w:right w:type="dxa" w:w="100"/>
            </w:tcMar>
          </w:tcPr>
          <w:p>
            <w:r>
              <w:rPr>
                <w:sz w:val="18"/>
                <w:szCs w:val="18"/>
              </w:rPr>
              <w:t xml:space="preserve">Daily Engagement &amp; Growth</w:t>
            </w:r>
          </w:p>
        </w:tc>
      </w:tr>
      <w:tr>
        <w:tc>
          <w:tcPr>
            <w:tcW w:type="dxa" w:w="3120"/>
            <w:shd w:fill="FFFFFF" w:color="auto" w:val="clear"/>
            <w:tcMar>
              <w:top w:type="dxa" w:w="80"/>
              <w:left w:type="dxa" w:w="100"/>
              <w:bottom w:type="dxa" w:w="80"/>
              <w:right w:type="dxa" w:w="100"/>
            </w:tcMar>
          </w:tcPr>
          <w:p>
            <w:r>
              <w:rPr>
                <w:sz w:val="18"/>
                <w:szCs w:val="18"/>
              </w:rPr>
              <w:t xml:space="preserve">Outcome achievement</w:t>
            </w:r>
          </w:p>
        </w:tc>
        <w:tc>
          <w:tcPr>
            <w:tcW w:type="dxa" w:w="3120"/>
            <w:shd w:fill="FFFFFF" w:color="auto" w:val="clear"/>
            <w:tcMar>
              <w:top w:type="dxa" w:w="80"/>
              <w:left w:type="dxa" w:w="100"/>
              <w:bottom w:type="dxa" w:w="80"/>
              <w:right w:type="dxa" w:w="100"/>
            </w:tcMar>
          </w:tcPr>
          <w:p>
            <w:r>
              <w:rPr>
                <w:sz w:val="18"/>
                <w:szCs w:val="18"/>
              </w:rPr>
              <w:t xml:space="preserve">Not yet instrumented — the explicit gap this catalog's Career Outcome Intelligence value stream exists to close</w:t>
            </w:r>
          </w:p>
        </w:tc>
        <w:tc>
          <w:tcPr>
            <w:tcW w:type="dxa" w:w="3120"/>
            <w:shd w:fill="FFFFFF" w:color="auto" w:val="clear"/>
            <w:tcMar>
              <w:top w:type="dxa" w:w="80"/>
              <w:left w:type="dxa" w:w="100"/>
              <w:bottom w:type="dxa" w:w="80"/>
              <w:right w:type="dxa" w:w="100"/>
            </w:tcMar>
          </w:tcPr>
          <w:p>
            <w:r>
              <w:rPr>
                <w:sz w:val="18"/>
                <w:szCs w:val="18"/>
              </w:rPr>
              <w:t xml:space="preserve">Career Outcome Intelligence (future)</w:t>
            </w:r>
          </w:p>
        </w:tc>
      </w:tr>
      <w:tr>
        <w:tc>
          <w:tcPr>
            <w:tcW w:type="dxa" w:w="3120"/>
            <w:shd w:fill="F2F2F2" w:color="auto" w:val="clear"/>
            <w:tcMar>
              <w:top w:type="dxa" w:w="80"/>
              <w:left w:type="dxa" w:w="100"/>
              <w:bottom w:type="dxa" w:w="80"/>
              <w:right w:type="dxa" w:w="100"/>
            </w:tcMar>
          </w:tcPr>
          <w:p>
            <w:r>
              <w:rPr>
                <w:sz w:val="18"/>
                <w:szCs w:val="18"/>
              </w:rPr>
              <w:t xml:space="preserve">Business agility</w:t>
            </w:r>
          </w:p>
        </w:tc>
        <w:tc>
          <w:tcPr>
            <w:tcW w:type="dxa" w:w="3120"/>
            <w:shd w:fill="F2F2F2" w:color="auto" w:val="clear"/>
            <w:tcMar>
              <w:top w:type="dxa" w:w="80"/>
              <w:left w:type="dxa" w:w="100"/>
              <w:bottom w:type="dxa" w:w="80"/>
              <w:right w:type="dxa" w:w="100"/>
            </w:tcMar>
          </w:tcPr>
          <w:p>
            <w:r>
              <w:rPr>
                <w:sz w:val="18"/>
                <w:szCs w:val="18"/>
              </w:rPr>
              <w:t xml:space="preserve">Conformance drift-item count; time-to-close for documented governance findings</w:t>
            </w:r>
          </w:p>
        </w:tc>
        <w:tc>
          <w:tcPr>
            <w:tcW w:type="dxa" w:w="3120"/>
            <w:shd w:fill="F2F2F2" w:color="auto" w:val="clear"/>
            <w:tcMar>
              <w:top w:type="dxa" w:w="80"/>
              <w:left w:type="dxa" w:w="100"/>
              <w:bottom w:type="dxa" w:w="80"/>
              <w:right w:type="dxa" w:w="100"/>
            </w:tcMar>
          </w:tcPr>
          <w:p>
            <w:r>
              <w:rPr>
                <w:sz w:val="18"/>
                <w:szCs w:val="18"/>
              </w:rPr>
              <w:t xml:space="preserve">Platform Trust, Identity &amp; Governance</w:t>
            </w:r>
          </w:p>
        </w:tc>
      </w:tr>
    </w:tbl>
    <w:p>
      <w:pPr>
        <w:spacing w:after="200"/>
      </w:pPr>
    </w:p>
    <w:p>
      <w:pPr>
        <w:pStyle w:val="Heading1"/>
        <w:spacing w:after="200" w:before="400"/>
      </w:pPr>
      <w:r>
        <w:t xml:space="preserve">19. Recommendations</w:t>
      </w:r>
    </w:p>
    <w:p>
      <w:pPr>
        <w:pStyle w:val="Heading2"/>
        <w:spacing w:after="150" w:before="300"/>
      </w:pPr>
      <w:r>
        <w:t xml:space="preserve">19.1 Immediate Priorities</w:t>
      </w:r>
    </w:p>
    <w:p>
      <w:pPr>
        <w:pStyle w:val="ListParagraph"/>
        <w:numPr>
          <w:ilvl w:val="0"/>
          <w:numId w:val="1"/>
        </w:numPr>
        <w:spacing w:after="100"/>
      </w:pPr>
      <w:r>
        <w:t xml:space="preserve">Remediate the plaintext credential storage finding (Section 17.8) immediately — outside the scope of a value stream architecture but too material to omit from a document meant for executive review.</w:t>
      </w:r>
    </w:p>
    <w:p>
      <w:pPr>
        <w:pStyle w:val="ListParagraph"/>
        <w:numPr>
          <w:ilvl w:val="0"/>
          <w:numId w:val="1"/>
        </w:numPr>
        <w:spacing w:after="100"/>
      </w:pPr>
      <w:r>
        <w:t xml:space="preserve">Make mock-data provenance visible wherever Career Discovery &amp; Recommendation, Job Opportunity Discovery, or Knowledge Evolution output reaches a student.</w:t>
      </w:r>
    </w:p>
    <w:p>
      <w:pPr>
        <w:pStyle w:val="ListParagraph"/>
        <w:numPr>
          <w:ilvl w:val="0"/>
          <w:numId w:val="1"/>
        </w:numPr>
        <w:spacing w:after="100"/>
      </w:pPr>
      <w:r>
        <w:t xml:space="preserve">Close the four EEP-01 Phase J governance-drift items inside Platform Trust, Identity &amp; Governance — low-effort, already diagnosed.</w:t>
      </w:r>
    </w:p>
    <w:p>
      <w:pPr>
        <w:pStyle w:val="Heading2"/>
        <w:spacing w:after="150" w:before="300"/>
      </w:pPr>
      <w:r>
        <w:t xml:space="preserve">19.2 Near-Term Improvements</w:t>
      </w:r>
    </w:p>
    <w:p>
      <w:pPr>
        <w:pStyle w:val="ListParagraph"/>
        <w:numPr>
          <w:ilvl w:val="0"/>
          <w:numId w:val="1"/>
        </w:numPr>
        <w:spacing w:after="100"/>
      </w:pPr>
      <w:r>
        <w:t xml:space="preserve">Pursue the first Employer Collaboration partner conversation — the single highest-leverage unlock in this architecture, activating Job Opportunity Discovery and Knowledge Evolution together (Section 9.5, Section 14.2).</w:t>
      </w:r>
    </w:p>
    <w:p>
      <w:pPr>
        <w:pStyle w:val="ListParagraph"/>
        <w:numPr>
          <w:ilvl w:val="0"/>
          <w:numId w:val="1"/>
        </w:numPr>
        <w:spacing w:after="100"/>
      </w:pPr>
      <w:r>
        <w:t xml:space="preserve">Define the Employer Domain live-feed anti-corruption boundary ahead of, not during, the first partner integration.</w:t>
      </w:r>
    </w:p>
    <w:p>
      <w:pPr>
        <w:pStyle w:val="ListParagraph"/>
        <w:numPr>
          <w:ilvl w:val="0"/>
          <w:numId w:val="1"/>
        </w:numPr>
        <w:spacing w:after="100"/>
      </w:pPr>
      <w:r>
        <w:t xml:space="preserve">Define and execute the chiV2 cutover plan inside Career Health &amp; Continuous Monitoring.</w:t>
      </w:r>
    </w:p>
    <w:p>
      <w:pPr>
        <w:pStyle w:val="ListParagraph"/>
        <w:numPr>
          <w:ilvl w:val="0"/>
          <w:numId w:val="1"/>
        </w:numPr>
        <w:spacing w:after="100"/>
      </w:pPr>
      <w:r>
        <w:t xml:space="preserve">Instrument outcome-linked KPIs for the currently under-measured Emerging-tier value streams (Daily Engagement &amp; Growth, Knowledge Evolution's source-curation stage, AI-mediated personalization).</w:t>
      </w:r>
    </w:p>
    <w:p>
      <w:pPr>
        <w:pStyle w:val="Heading2"/>
        <w:spacing w:after="150" w:before="300"/>
      </w:pPr>
      <w:r>
        <w:t xml:space="preserve">19.3 Medium-Term Improvements</w:t>
      </w:r>
    </w:p>
    <w:p>
      <w:pPr>
        <w:pStyle w:val="ListParagraph"/>
        <w:numPr>
          <w:ilvl w:val="0"/>
          <w:numId w:val="1"/>
        </w:numPr>
        <w:spacing w:after="100"/>
      </w:pPr>
      <w:r>
        <w:t xml:space="preserve">Populate the Career Planning &amp; Simulation value stream once Student Onboarding &amp; Academic Foundation's profile data supports a meaningful multi-year cohort.</w:t>
      </w:r>
    </w:p>
    <w:p>
      <w:pPr>
        <w:pStyle w:val="ListParagraph"/>
        <w:numPr>
          <w:ilvl w:val="0"/>
          <w:numId w:val="1"/>
        </w:numPr>
        <w:spacing w:after="100"/>
      </w:pPr>
      <w:r>
        <w:t xml:space="preserve">Introduce a formal Supervisor/handoff pattern within AI Advisory &amp; Conversational Guidance's agent coordination as agent count and task complexity grow.</w:t>
      </w:r>
    </w:p>
    <w:p>
      <w:pPr>
        <w:pStyle w:val="Heading2"/>
        <w:spacing w:after="150" w:before="300"/>
      </w:pPr>
      <w:r>
        <w:t xml:space="preserve">19.4 Long-Term Evolution</w:t>
      </w:r>
    </w:p>
    <w:p>
      <w:pPr>
        <w:pStyle w:val="ListParagraph"/>
        <w:numPr>
          <w:ilvl w:val="0"/>
          <w:numId w:val="1"/>
        </w:numPr>
        <w:spacing w:after="100"/>
      </w:pPr>
      <w:r>
        <w:t xml:space="preserve">Build toward a two-sided marketplace value stream once Employer Collaboration and Student Onboarding &amp; Academic Foundation both independently reach Level 4+.</w:t>
      </w:r>
    </w:p>
    <w:p>
      <w:pPr>
        <w:pStyle w:val="ListParagraph"/>
        <w:numPr>
          <w:ilvl w:val="0"/>
          <w:numId w:val="1"/>
        </w:numPr>
        <w:spacing w:after="100"/>
      </w:pPr>
      <w:r>
        <w:t xml:space="preserve">Build a dedicated Career Outcome Intelligence value stream once a post-graduation or post-application outcome-tracking pipeline exists and is consumed by two or more existing value streams.</w:t>
      </w:r>
    </w:p>
    <w:p>
      <w:pPr>
        <w:pStyle w:val="ListParagraph"/>
        <w:numPr>
          <w:ilvl w:val="0"/>
          <w:numId w:val="1"/>
        </w:numPr>
        <w:spacing w:after="100"/>
      </w:pPr>
      <w:r>
        <w:t xml:space="preserve">Separate Operations/Platform ownership from Platform Trust, Identity &amp; Governance once EEP-01 Phase H's headcount trigger fires — not before, to avoid premature organizational overhead.</w:t>
      </w:r>
    </w:p>
    <w:p>
      <w:pPr>
        <w:pStyle w:val="Heading2"/>
        <w:spacing w:after="150" w:before="300"/>
      </w:pPr>
      <w:r>
        <w:t xml:space="preserve">19.5 Strategic Investments</w:t>
      </w:r>
    </w:p>
    <w:p>
      <w:pPr>
        <w:pStyle w:val="ListParagraph"/>
        <w:numPr>
          <w:ilvl w:val="0"/>
          <w:numId w:val="1"/>
        </w:numPr>
        <w:spacing w:after="100"/>
      </w:pPr>
      <w:r>
        <w:t xml:space="preserve">Treat Employer Collaboration activation as the platform's single highest-leverage strategic investment: it simultaneously de-risks Job Opportunity Discovery and Knowledge Evolution, and unlocks the long-term two-sided-market evolution path (Section 14.4).</w:t>
      </w:r>
    </w:p>
    <w:p>
      <w:pPr>
        <w:pStyle w:val="ListParagraph"/>
        <w:numPr>
          <w:ilvl w:val="0"/>
          <w:numId w:val="1"/>
        </w:numPr>
        <w:spacing w:after="100"/>
      </w:pPr>
      <w:r>
        <w:t xml:space="preserve">Revisit this Enterprise Value Stream Architecture at the next major EEP-02 phase boundary, or when three or more value streams cross a maturity level, whichever comes first — this document is canonical as of its version date, not permanently static, exactly as Phase A and Phase B each state of themselves.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HireRise — EEP-02 Phase C — Enterprise Value Stream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20" w:before="240"/>
      <w:outlineLvl w:val="2"/>
    </w:pPr>
    <w:rPr>
      <w:rFonts w:ascii="Calibri" w:cs="Calibri" w:eastAsia="Calibri" w:hAnsi="Calibri"/>
      <w:b/>
      <w:bCs/>
      <w:i/>
      <w:iCs/>
      <w:color w:val="444444"/>
      <w:sz w:val="22"/>
      <w:szCs w:val="22"/>
    </w:rPr>
  </w:style>
  <w:style w:type="paragraph" w:styleId="Title">
    <w:name w:val="Title"/>
    <w:basedOn w:val="Normal"/>
    <w:next w:val="Normal"/>
    <w:rPr>
      <w:rFonts w:ascii="Calibri" w:cs="Calibri" w:eastAsia="Calibri" w:hAnsi="Calibri"/>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2026-07-08T07:32:59.120Z</dcterms:created>
  <dcterms:modified xsi:type="dcterms:W3CDTF">2026-07-08T07:32:59.132Z</dcterms:modified>
</cp:coreProperties>
</file>

<file path=docProps/custom.xml><?xml version="1.0" encoding="utf-8"?>
<Properties xmlns="http://schemas.openxmlformats.org/officeDocument/2006/custom-properties" xmlns:vt="http://schemas.openxmlformats.org/officeDocument/2006/docPropsVTypes"/>
</file>