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40"/>
          <w:szCs w:val="40"/>
        </w:rPr>
        <w:t xml:space="preserve">HireRise Career Intelligence Platform</w:t>
      </w:r>
    </w:p>
    <w:p>
      <w:pPr>
        <w:spacing w:before="300"/>
        <w:jc w:val="center"/>
      </w:pPr>
      <w:r>
        <w:rPr>
          <w:b/>
          <w:bCs/>
          <w:sz w:val="32"/>
          <w:szCs w:val="32"/>
        </w:rPr>
        <w:t xml:space="preserve">Enterprise Business Service Architecture</w:t>
      </w:r>
    </w:p>
    <w:p>
      <w:pPr>
        <w:spacing w:before="200"/>
        <w:jc w:val="center"/>
      </w:pPr>
      <w:r>
        <w:rPr>
          <w:color w:val="9C6F1E"/>
          <w:sz w:val="24"/>
          <w:szCs w:val="24"/>
        </w:rPr>
        <w:t xml:space="preserve">EEP-02 — Enterprise Engineering Program, Phase D</w:t>
      </w:r>
    </w:p>
    <w:p>
      <w:pPr>
        <w:spacing w:before="600"/>
        <w:jc w:val="center"/>
      </w:pPr>
      <w:r>
        <w:rPr>
          <w:i/>
          <w:iCs/>
          <w:sz w:val="20"/>
          <w:szCs w:val="20"/>
        </w:rPr>
        <w:t xml:space="preserve">Document status: Canonical — Phase D only, per program constraint</w:t>
      </w:r>
    </w:p>
    <w:p>
      <w:pPr>
        <w:spacing w:before="100"/>
        <w:jc w:val="center"/>
      </w:pPr>
      <w:r>
        <w:rPr>
          <w:sz w:val="20"/>
          <w:szCs w:val="20"/>
        </w:rPr>
        <w:t xml:space="preserve">Version 1.0 — July 2026</w:t>
      </w:r>
    </w:p>
    <w:p>
      <w:pPr>
        <w:spacing w:before="600"/>
        <w:jc w:val="center"/>
      </w:pPr>
      <w:r>
        <w:rPr>
          <w:sz w:val="20"/>
          <w:szCs w:val="20"/>
        </w:rPr>
        <w:t xml:space="preserve">Prepared as a combined Business Service Architecture / Service Strategy / Enterprise Governance deliverable</w:t>
      </w:r>
    </w:p>
    <w:p>
      <w:pPr>
        <w:spacing w:before="200"/>
        <w:jc w:val="center"/>
      </w:pPr>
      <w:r>
        <w:rPr>
          <w:sz w:val="20"/>
          <w:szCs w:val="20"/>
        </w:rPr>
        <w:t xml:space="preserve">Built on, and traceable to, EEP-01 (Enterprise Technical Architecture, Phases A–J) and the completed EEP-02 Phases A–C (Business Capability, Business Domain, and Value Stream Architecture)</w:t>
      </w:r>
    </w:p>
    <w:p>
      <w:r>
        <w:br w:type="page"/>
      </w:r>
    </w:p>
    <w:p>
      <w:pPr>
        <w:pStyle w:val="Heading1"/>
        <w:spacing w:after="200" w:before="400"/>
      </w:pPr>
      <w:r>
        <w:t xml:space="preserve">How to Read This Document</w:t>
      </w:r>
    </w:p>
    <w:p>
      <w:pPr>
        <w:spacing w:after="160"/>
      </w:pPr>
      <w:r>
        <w:t xml:space="preserve">This document is Phase D of EEP-02 — the Enterprise Business Service Architecture. It defines the reusable business services HireRise provides, in the same evidentiary style established across EEP-01 and EEP-02 Phases A–C: every service statement is grounded in the HireRise repository (the core backend, the front application, the canonical taxonomy, and the completed EEP-01/EEP-02 architecture phases), not in a generic industry service catalog relabeled with HireRise's name.</w:t>
      </w:r>
    </w:p>
    <w:p>
      <w:pPr>
        <w:spacing w:after="160"/>
      </w:pPr>
      <w:r>
        <w:t xml:space="preserve">CURRENT STATE describes a business service, or a level of service maturity, that exists today, evidenced by named modules, capabilities, or completed architecture decisions. TARGET STATE describes a service HireRise does not yet operate, expressed with an explicit, measurable adoption trigger rather than an unconditional roadmap commitment.</w:t>
      </w:r>
    </w:p>
    <w:p>
      <w:pPr>
        <w:spacing w:after="160"/>
      </w:pPr>
      <w:r>
        <w:t xml:space="preserve">This document does not redefine the capabilities catalogued in Phase A, the domains catalogued in Phase B, or the value streams catalogued in Phase C. It answers a different question: which stable units of business value — technology-independent, potentially realized by many technical components, and potentially reused across many capabilities — does the enterprise provide, and how are they owned and governed? Business services are defined by what value they provide, never by the REST endpoints, microservices, or backend modules that happen to implement them today.</w:t>
      </w:r>
    </w:p>
    <w:p>
      <w:pPr>
        <w:spacing w:after="160"/>
      </w:pPr>
      <w:r>
        <w:t xml:space="preserve">A methodological note carried forward from Phase A: the engineering evidence throughout this repository — one integrated codebase, a small number of contributors, ownership concentrated in a general product/engineering function rather than separate business-service management roles — indicates a small, high-leverage team, not a large enterprise. This document does not manufacture large-organization service-management bureaucracy to look more "enterprise." Service maturity and ownership are modeled at the level the evidence supports.</w:t>
      </w:r>
    </w:p>
    <w:p>
      <w:pPr>
        <w:pStyle w:val="Heading1"/>
        <w:spacing w:after="200" w:before="400"/>
      </w:pPr>
      <w:r>
        <w:t xml:space="preserve">1. Executive Summary</w:t>
      </w:r>
    </w:p>
    <w:p>
      <w:pPr>
        <w:pStyle w:val="Heading2"/>
        <w:spacing w:after="150" w:before="300"/>
      </w:pPr>
      <w:r>
        <w:t xml:space="preserve">1.1 Business Service Vision</w:t>
      </w:r>
    </w:p>
    <w:p>
      <w:pPr>
        <w:spacing w:after="160"/>
      </w:pPr>
      <w:r>
        <w:t xml:space="preserve">HireRise's business capabilities (Phase A), organized into business domains (Phase B) and delivered through value streams (Phase C), are made consumable to stakeholders through a portfolio of fifteen current business services and two genuine future candidates. Each business service is a stable unit of business value — Student Onboarding, Academic Profile, Career Recommendation, AI Career Advisory, and the others catalogued in Section 5 — that stakeholders can rely on regardless of which backend module, AI provider, or database happens to realize it this year.</w:t>
      </w:r>
    </w:p>
    <w:p>
      <w:pPr>
        <w:pStyle w:val="Heading2"/>
        <w:spacing w:after="150" w:before="300"/>
      </w:pPr>
      <w:r>
        <w:t xml:space="preserve">1.2 Enterprise Service Strategy</w:t>
      </w:r>
    </w:p>
    <w:p>
      <w:pPr>
        <w:spacing w:after="160"/>
      </w:pPr>
      <w:r>
        <w:t xml:space="preserve">The strategy is deliberately asymmetric, matching the maturity asymmetry already documented in Phase A and Phase C: invest further in the six business services that are already Level 3+ (Student Onboarding, Academic Profile, Career Recommendation, AI Career Advisory, Resume Intelligence, Identity &amp; Access); close the single highest-leverage gap — live labor-market data — that structurally caps three services at once (Career Recommendation, Knowledge Intelligence, Job Opportunity); and treat Employer Collaboration Service as the named, owned strategic bet it already is, rather than an implicit background task.</w:t>
      </w:r>
    </w:p>
    <w:p>
      <w:pPr>
        <w:pStyle w:val="Heading2"/>
        <w:spacing w:after="150" w:before="300"/>
      </w:pPr>
      <w:r>
        <w:t xml:space="preserve">1.3 Architecture Objectives</w:t>
      </w:r>
    </w:p>
    <w:p>
      <w:pPr>
        <w:pStyle w:val="ListParagraph"/>
        <w:numPr>
          <w:ilvl w:val="0"/>
          <w:numId w:val="1"/>
        </w:numPr>
        <w:spacing w:after="80"/>
      </w:pPr>
      <w:r>
        <w:t xml:space="preserve">Give every reusable unit of business value a name, an owner, and a maturity level independent of its technical implementation.</w:t>
      </w:r>
    </w:p>
    <w:p>
      <w:pPr>
        <w:pStyle w:val="ListParagraph"/>
        <w:numPr>
          <w:ilvl w:val="0"/>
          <w:numId w:val="1"/>
        </w:numPr>
        <w:spacing w:after="80"/>
      </w:pPr>
      <w:r>
        <w:t xml:space="preserve">Make the enterprise's three genuine cross-service dependencies (mock labor-market data, dual Career Health implementations, concentrated ownership) visible in one place rather than scattered across Phase A/B/C risk sections.</w:t>
      </w:r>
    </w:p>
    <w:p>
      <w:pPr>
        <w:pStyle w:val="ListParagraph"/>
        <w:numPr>
          <w:ilvl w:val="0"/>
          <w:numId w:val="1"/>
        </w:numPr>
        <w:spacing w:after="80"/>
      </w:pPr>
      <w:r>
        <w:t xml:space="preserve">Provide measurable adoption triggers for every target-state service and service-maturity recommendation, consistent with the discipline of Phase A Section 13 and Phase C Section 14.</w:t>
      </w:r>
    </w:p>
    <w:p>
      <w:pPr>
        <w:pStyle w:val="ListParagraph"/>
        <w:numPr>
          <w:ilvl w:val="0"/>
          <w:numId w:val="1"/>
        </w:numPr>
        <w:spacing w:after="80"/>
      </w:pPr>
      <w:r>
        <w:t xml:space="preserve">Avoid application or API decomposition — this document names business services, not endpoints or modules.</w:t>
      </w:r>
    </w:p>
    <w:p>
      <w:pPr>
        <w:pStyle w:val="Heading2"/>
        <w:spacing w:after="150" w:before="300"/>
      </w:pPr>
      <w:r>
        <w:t xml:space="preserve">1.4 Expected Business Outcomes</w:t>
      </w:r>
    </w:p>
    <w:p>
      <w:pPr>
        <w:pStyle w:val="ListParagraph"/>
        <w:numPr>
          <w:ilvl w:val="0"/>
          <w:numId w:val="1"/>
        </w:numPr>
        <w:spacing w:after="80"/>
      </w:pPr>
      <w:r>
        <w:t xml:space="preserve">A single Business Service Catalog (Section 5) that product, engineering, and future business-development conversations can reference without re-deriving capability or domain boundaries each time.</w:t>
      </w:r>
    </w:p>
    <w:p>
      <w:pPr>
        <w:pStyle w:val="ListParagraph"/>
        <w:numPr>
          <w:ilvl w:val="0"/>
          <w:numId w:val="1"/>
        </w:numPr>
        <w:spacing w:after="80"/>
      </w:pPr>
      <w:r>
        <w:t xml:space="preserve">Visible, provenance-honest treatment of AI- and market-data-derived output, directly mitigating the trust risk Phase A Section 16 already flagged.</w:t>
      </w:r>
    </w:p>
    <w:p>
      <w:pPr>
        <w:pStyle w:val="ListParagraph"/>
        <w:numPr>
          <w:ilvl w:val="0"/>
          <w:numId w:val="1"/>
        </w:numPr>
        <w:spacing w:after="80"/>
      </w:pPr>
      <w:r>
        <w:t xml:space="preserve">A roadmap (Section 12) that sequences the one structural fix with the widest payoff — a live labor-market feed — ahead of service-specific improvements that depend on it.</w:t>
      </w:r>
    </w:p>
    <w:p>
      <w:pPr>
        <w:pStyle w:val="Heading1"/>
        <w:spacing w:after="200" w:before="400"/>
      </w:pPr>
      <w:r>
        <w:t xml:space="preserve">2. Current State Assessment</w:t>
      </w:r>
    </w:p>
    <w:p>
      <w:pPr>
        <w:pStyle w:val="Heading2"/>
        <w:spacing w:after="150" w:before="300"/>
      </w:pPr>
      <w:r>
        <w:t xml:space="preserve">2.1 Current Business Services</w:t>
      </w:r>
    </w:p>
    <w:p>
      <w:pPr>
        <w:spacing w:after="160"/>
      </w:pPr>
      <w:r>
        <w:t xml:space="preserve">Thirteen of the fifteen current-state business services in Section 5 map cleanly, one-to-one or as a small grouping, onto capabilities already catalogued as Fully or Partially Implemented in Phase A Section 2. No business service in this catalog was defined merely because a technical module exists; each represents a reusable unit of value actually consumed by a value stream in Phase C.</w:t>
      </w:r>
    </w:p>
    <w:p>
      <w:pPr>
        <w:pStyle w:val="Heading2"/>
        <w:spacing w:after="150" w:before="300"/>
      </w:pPr>
      <w:r>
        <w:t xml:space="preserve">2.2 Implicit Business Services</w:t>
      </w:r>
    </w:p>
    <w:p>
      <w:pPr>
        <w:spacing w:after="160"/>
      </w:pPr>
      <w:r>
        <w:t xml:space="preserve">Two services in this catalog are implicit rather than explicitly named anywhere in the repository, surfaced here because the underlying capability groupings already function as a coherent unit of value: Growth &amp; Engagement Service (combining Growth &amp; Progress Tracking and Daily Engagement &amp; Conversion, which share a single value stream in Phase C) and Analytics &amp; Reporting Service (a cross-cutting service with no dedicated value stream of its own, consumed internally by Governance &amp; Assurance and Growth &amp; Engagement).</w:t>
      </w:r>
    </w:p>
    <w:p>
      <w:pPr>
        <w:pStyle w:val="Heading2"/>
        <w:spacing w:after="150" w:before="300"/>
      </w:pPr>
      <w:r>
        <w:t xml:space="preserve">2.3 Missing Business Services</w:t>
      </w:r>
    </w:p>
    <w:p>
      <w:pPr>
        <w:spacing w:after="160"/>
      </w:pPr>
      <w:r>
        <w:t xml:space="preserve">Two business services named in the program's Special Focus Areas are explicitly not catalogued as current-state, matching the same evidentiary discipline Phase C applied to value streams: a standalone Skill Intelligence Service (folded into Knowledge Intelligence Service — the repository does not evidence skill intelligence as a separately owned or separately consumed unit of value) and a Career Outcome Intelligence Service (catalogued only as a future service, Section 5.3, per Phase C Section 4.3's identical finding).</w:t>
      </w:r>
    </w:p>
    <w:p>
      <w:pPr>
        <w:pStyle w:val="Heading2"/>
        <w:spacing w:after="150" w:before="300"/>
      </w:pPr>
      <w:r>
        <w:t xml:space="preserve">2.4 Repository Evidence Summary</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4600"/>
        <w:gridCol w:w="6800"/>
      </w:tblGrid>
      <w:tr>
        <w:trPr>
          <w:tblHeader/>
        </w:trPr>
        <w:tc>
          <w:tcPr>
            <w:tcW w:type="dxa" w:w="4600"/>
            <w:shd w:fill="1F3864" w:color="auto" w:val="clear"/>
            <w:vAlign w:val="center"/>
          </w:tcPr>
          <w:p>
            <w:r>
              <w:rPr>
                <w:b/>
                <w:bCs/>
                <w:color w:val="FFFFFF"/>
                <w:sz w:val="20"/>
                <w:szCs w:val="20"/>
              </w:rPr>
              <w:t xml:space="preserve">Evidence class</w:t>
            </w:r>
          </w:p>
        </w:tc>
        <w:tc>
          <w:tcPr>
            <w:tcW w:type="dxa" w:w="6800"/>
            <w:shd w:fill="1F3864" w:color="auto" w:val="clear"/>
            <w:vAlign w:val="center"/>
          </w:tcPr>
          <w:p>
            <w:r>
              <w:rPr>
                <w:b/>
                <w:bCs/>
                <w:color w:val="FFFFFF"/>
                <w:sz w:val="20"/>
                <w:szCs w:val="20"/>
              </w:rPr>
              <w:t xml:space="preserve">Representative finding</w:t>
            </w:r>
          </w:p>
        </w:tc>
      </w:tr>
      <w:tr>
        <w:tc>
          <w:tcPr>
            <w:tcW w:type="dxa" w:w="4600"/>
            <w:vAlign w:val="center"/>
          </w:tcPr>
          <w:p>
            <w:r>
              <w:rPr>
                <w:b w:val="false"/>
                <w:bCs w:val="false"/>
                <w:sz w:val="20"/>
                <w:szCs w:val="20"/>
              </w:rPr>
              <w:t xml:space="preserve">Populated canonical taxonomy</w:t>
            </w:r>
          </w:p>
        </w:tc>
        <w:tc>
          <w:tcPr>
            <w:tcW w:type="dxa" w:w="6800"/>
            <w:vAlign w:val="center"/>
          </w:tcPr>
          <w:p>
            <w:r>
              <w:rPr>
                <w:b w:val="false"/>
                <w:bCs w:val="false"/>
                <w:sz w:val="20"/>
                <w:szCs w:val="20"/>
              </w:rPr>
              <w:t xml:space="preserve">hirerise_taxonomy.json backs Knowledge Intelligence Service and every consumer of it</w:t>
            </w:r>
          </w:p>
        </w:tc>
      </w:tr>
      <w:tr>
        <w:tc>
          <w:tcPr>
            <w:tcW w:type="dxa" w:w="4600"/>
            <w:shd w:fill="EDEDED" w:color="auto" w:val="clear"/>
            <w:vAlign w:val="center"/>
          </w:tcPr>
          <w:p>
            <w:r>
              <w:rPr>
                <w:b w:val="false"/>
                <w:bCs w:val="false"/>
                <w:sz w:val="20"/>
                <w:szCs w:val="20"/>
              </w:rPr>
              <w:t xml:space="preserve">Complete academic data model</w:t>
            </w:r>
          </w:p>
        </w:tc>
        <w:tc>
          <w:tcPr>
            <w:tcW w:type="dxa" w:w="6800"/>
            <w:shd w:fill="EDEDED" w:color="auto" w:val="clear"/>
            <w:vAlign w:val="center"/>
          </w:tcPr>
          <w:p>
            <w:r>
              <w:rPr>
                <w:b w:val="false"/>
                <w:bCs w:val="false"/>
                <w:sz w:val="20"/>
                <w:szCs w:val="20"/>
              </w:rPr>
              <w:t xml:space="preserve">EEP-01 Phase A's 26-table model backs Academic Profile Service, already authoritative for 9+ downstream systems</w:t>
            </w:r>
          </w:p>
        </w:tc>
      </w:tr>
      <w:tr>
        <w:tc>
          <w:tcPr>
            <w:tcW w:type="dxa" w:w="4600"/>
            <w:vAlign w:val="center"/>
          </w:tcPr>
          <w:p>
            <w:r>
              <w:rPr>
                <w:b w:val="false"/>
                <w:bCs w:val="false"/>
                <w:sz w:val="20"/>
                <w:szCs w:val="20"/>
              </w:rPr>
              <w:t xml:space="preserve">Production multi-provider AI</w:t>
            </w:r>
          </w:p>
        </w:tc>
        <w:tc>
          <w:tcPr>
            <w:tcW w:type="dxa" w:w="6800"/>
            <w:vAlign w:val="center"/>
          </w:tcPr>
          <w:p>
            <w:r>
              <w:rPr>
                <w:b w:val="false"/>
                <w:bCs w:val="false"/>
                <w:sz w:val="20"/>
                <w:szCs w:val="20"/>
              </w:rPr>
              <w:t xml:space="preserve">Five-provider fallback chain (aiProviderManager.js) backs AI Career Advisory Service at target-state maturity</w:t>
            </w:r>
          </w:p>
        </w:tc>
      </w:tr>
      <w:tr>
        <w:tc>
          <w:tcPr>
            <w:tcW w:type="dxa" w:w="4600"/>
            <w:shd w:fill="EDEDED" w:color="auto" w:val="clear"/>
            <w:vAlign w:val="center"/>
          </w:tcPr>
          <w:p>
            <w:r>
              <w:rPr>
                <w:b w:val="false"/>
                <w:bCs w:val="false"/>
                <w:sz w:val="20"/>
                <w:szCs w:val="20"/>
              </w:rPr>
              <w:t xml:space="preserve">Dual-implementation transition</w:t>
            </w:r>
          </w:p>
        </w:tc>
        <w:tc>
          <w:tcPr>
            <w:tcW w:type="dxa" w:w="6800"/>
            <w:shd w:fill="EDEDED" w:color="auto" w:val="clear"/>
            <w:vAlign w:val="center"/>
          </w:tcPr>
          <w:p>
            <w:r>
              <w:rPr>
                <w:b w:val="false"/>
                <w:bCs w:val="false"/>
                <w:sz w:val="20"/>
                <w:szCs w:val="20"/>
              </w:rPr>
              <w:t xml:space="preserve">careerHealthIndex + chiV2 backs Career Health Service, in-flight, not yet cut over</w:t>
            </w:r>
          </w:p>
        </w:tc>
      </w:tr>
      <w:tr>
        <w:tc>
          <w:tcPr>
            <w:tcW w:type="dxa" w:w="4600"/>
            <w:vAlign w:val="center"/>
          </w:tcPr>
          <w:p>
            <w:r>
              <w:rPr>
                <w:b w:val="false"/>
                <w:bCs w:val="false"/>
                <w:sz w:val="20"/>
                <w:szCs w:val="20"/>
              </w:rPr>
              <w:t xml:space="preserve">Mock external data</w:t>
            </w:r>
          </w:p>
        </w:tc>
        <w:tc>
          <w:tcPr>
            <w:tcW w:type="dxa" w:w="6800"/>
            <w:vAlign w:val="center"/>
          </w:tcPr>
          <w:p>
            <w:r>
              <w:rPr>
                <w:b w:val="false"/>
                <w:bCs w:val="false"/>
                <w:sz w:val="20"/>
                <w:szCs w:val="20"/>
              </w:rPr>
              <w:t xml:space="preserve">jobCollector.service.js backs the shared labor-market gap across three services (Section 2.5)</w:t>
            </w:r>
          </w:p>
        </w:tc>
      </w:tr>
      <w:tr>
        <w:tc>
          <w:tcPr>
            <w:tcW w:type="dxa" w:w="4600"/>
            <w:shd w:fill="EDEDED" w:color="auto" w:val="clear"/>
            <w:vAlign w:val="center"/>
          </w:tcPr>
          <w:p>
            <w:r>
              <w:rPr>
                <w:b w:val="false"/>
                <w:bCs w:val="false"/>
                <w:sz w:val="20"/>
                <w:szCs w:val="20"/>
              </w:rPr>
              <w:t xml:space="preserve">No signed external partner</w:t>
            </w:r>
          </w:p>
        </w:tc>
        <w:tc>
          <w:tcPr>
            <w:tcW w:type="dxa" w:w="6800"/>
            <w:shd w:fill="EDEDED" w:color="auto" w:val="clear"/>
            <w:vAlign w:val="center"/>
          </w:tcPr>
          <w:p>
            <w:r>
              <w:rPr>
                <w:b w:val="false"/>
                <w:bCs w:val="false"/>
                <w:sz w:val="20"/>
                <w:szCs w:val="20"/>
              </w:rPr>
              <w:t xml:space="preserve">Employer and opportunities modules exist but no live partner integration backs Employer Collaboration Service</w:t>
            </w:r>
          </w:p>
        </w:tc>
      </w:tr>
      <w:tr>
        <w:tc>
          <w:tcPr>
            <w:tcW w:type="dxa" w:w="4600"/>
            <w:vAlign w:val="center"/>
          </w:tcPr>
          <w:p>
            <w:r>
              <w:rPr>
                <w:b w:val="false"/>
                <w:bCs w:val="false"/>
                <w:sz w:val="20"/>
                <w:szCs w:val="20"/>
              </w:rPr>
              <w:t xml:space="preserve">Plaintext credential files</w:t>
            </w:r>
          </w:p>
        </w:tc>
        <w:tc>
          <w:tcPr>
            <w:tcW w:type="dxa" w:w="6800"/>
            <w:vAlign w:val="center"/>
          </w:tcPr>
          <w:p>
            <w:r>
              <w:rPr>
                <w:b w:val="false"/>
                <w:bCs w:val="false"/>
                <w:sz w:val="20"/>
                <w:szCs w:val="20"/>
              </w:rPr>
              <w:t xml:space="preserve">API keys and credentials found stored directly in repository files, not a managed secrets store — backs a Platform Administration Service finding</w:t>
            </w:r>
          </w:p>
        </w:tc>
      </w:tr>
    </w:tbl>
    <w:p>
      <w:pPr>
        <w:pStyle w:val="Heading2"/>
        <w:spacing w:after="150" w:before="300"/>
      </w:pPr>
      <w:r>
        <w:t xml:space="preserve">2.5 Service Fragmentation and Duplication</w:t>
      </w:r>
    </w:p>
    <w:p>
      <w:pPr>
        <w:pStyle w:val="ListParagraph"/>
        <w:numPr>
          <w:ilvl w:val="0"/>
          <w:numId w:val="1"/>
        </w:numPr>
        <w:spacing w:after="80"/>
      </w:pPr>
      <w:r>
        <w:t xml:space="preserve">Fragmentation: Career Health Service currently operates two parallel implementations (careerHealthIndex, chiV2) rather than one — an in-flight migration, not two services.</w:t>
      </w:r>
    </w:p>
    <w:p>
      <w:pPr>
        <w:pStyle w:val="ListParagraph"/>
        <w:numPr>
          <w:ilvl w:val="0"/>
          <w:numId w:val="1"/>
        </w:numPr>
        <w:spacing w:after="80"/>
      </w:pPr>
      <w:r>
        <w:t xml:space="preserve">Duplication risk: none found at the business-service level; the technical duplication above is contained within a single business service and does not span service boundaries.</w:t>
      </w:r>
    </w:p>
    <w:p>
      <w:pPr>
        <w:pStyle w:val="ListParagraph"/>
        <w:numPr>
          <w:ilvl w:val="0"/>
          <w:numId w:val="1"/>
        </w:numPr>
        <w:spacing w:after="80"/>
      </w:pPr>
      <w:r>
        <w:t xml:space="preserve">Shared dependency concentration: Career Recommendation Service, Knowledge Intelligence Service, and Job Opportunity Service all depend on the same mock labor-market data source — the single highest-leverage current-state gap in the portfolio (carried into Section 15).</w:t>
      </w:r>
    </w:p>
    <w:p>
      <w:pPr>
        <w:pStyle w:val="Heading1"/>
        <w:spacing w:after="200" w:before="400"/>
      </w:pPr>
      <w:r>
        <w:t xml:space="preserve">3. Business Service Architecture Principles</w:t>
      </w:r>
    </w:p>
    <w:p>
      <w:pPr>
        <w:pStyle w:val="Heading2"/>
        <w:spacing w:after="150" w:before="300"/>
      </w:pPr>
      <w:r>
        <w:t xml:space="preserve">3.1 Business-Service-First Philosophy</w:t>
      </w:r>
    </w:p>
    <w:p>
      <w:pPr>
        <w:spacing w:after="160"/>
      </w:pPr>
      <w:r>
        <w:t xml:space="preserve">A business service is defined by the value a stakeholder receives, never by the REST endpoint, microservice, or database that currently delivers it. This catalog would not need to change if HireRise rewrote its entire backend in a different framework tomorrow.</w:t>
      </w:r>
    </w:p>
    <w:p>
      <w:pPr>
        <w:pStyle w:val="Heading2"/>
        <w:spacing w:after="150" w:before="300"/>
      </w:pPr>
      <w:r>
        <w:t xml:space="preserve">3.2 Reuse Over Duplication</w:t>
      </w:r>
    </w:p>
    <w:p>
      <w:pPr>
        <w:spacing w:after="160"/>
      </w:pPr>
      <w:r>
        <w:t xml:space="preserve">Where one underlying capability grouping already serves multiple stakeholders through one coherent value proposition (for example, Knowledge Intelligence Service serving three other business services), it is catalogued once and reused, never re-defined per consumer.</w:t>
      </w:r>
    </w:p>
    <w:p>
      <w:pPr>
        <w:pStyle w:val="Heading2"/>
        <w:spacing w:after="150" w:before="300"/>
      </w:pPr>
      <w:r>
        <w:t xml:space="preserve">3.3 Technology Independence</w:t>
      </w:r>
    </w:p>
    <w:p>
      <w:pPr>
        <w:spacing w:after="160"/>
      </w:pPr>
      <w:r>
        <w:t xml:space="preserve">Business services in this catalog reference EEP-01 technical architecture only as supporting evidence of maturity, never as a definitional element. A change of AI provider, database, or hosting model does not change a single business service definition in Section 5.</w:t>
      </w:r>
    </w:p>
    <w:p>
      <w:pPr>
        <w:pStyle w:val="Heading2"/>
        <w:spacing w:after="150" w:before="300"/>
      </w:pPr>
      <w:r>
        <w:t xml:space="preserve">3.4 Domain Ownership</w:t>
      </w:r>
    </w:p>
    <w:p>
      <w:pPr>
        <w:spacing w:after="160"/>
      </w:pPr>
      <w:r>
        <w:t xml:space="preserve">Every business service is owned by exactly one Phase B business domain, inherited directly from the capability groupings that domain already owns (Section 5's Owning Domain column), keeping this document's ownership model consistent with, not parallel to, Phase B Section 9.</w:t>
      </w:r>
    </w:p>
    <w:p>
      <w:pPr>
        <w:pStyle w:val="Heading2"/>
        <w:spacing w:after="150" w:before="300"/>
      </w:pPr>
      <w:r>
        <w:t xml:space="preserve">3.5 Service Lifecycle</w:t>
      </w:r>
    </w:p>
    <w:p>
      <w:pPr>
        <w:spacing w:after="160"/>
      </w:pPr>
      <w:r>
        <w:t xml:space="preserve">Services move through the same five-level maturity model used in Phase A and Phase C (Section 9), so a service's lifecycle stage is always comparable across the whole EEP-02 program.</w:t>
      </w:r>
    </w:p>
    <w:p>
      <w:pPr>
        <w:pStyle w:val="Heading2"/>
        <w:spacing w:after="150" w:before="300"/>
      </w:pPr>
      <w:r>
        <w:t xml:space="preserve">3.6 Consumer-Centric Design</w:t>
      </w:r>
    </w:p>
    <w:p>
      <w:pPr>
        <w:spacing w:after="160"/>
      </w:pPr>
      <w:r>
        <w:t xml:space="preserve">Every catalog entry names primary and secondary stakeholders before it names any technical detail, and the Stakeholder Service Map (Section 7) is built stakeholder-first, not service-first, so a reader can start from either direction.</w:t>
      </w:r>
    </w:p>
    <w:p>
      <w:pPr>
        <w:pStyle w:val="Heading2"/>
        <w:spacing w:after="150" w:before="300"/>
      </w:pPr>
      <w:r>
        <w:t xml:space="preserve">3.7 Evolution Principles</w:t>
      </w:r>
    </w:p>
    <w:p>
      <w:pPr>
        <w:spacing w:after="160"/>
      </w:pPr>
      <w:r>
        <w:t xml:space="preserve">No target-state maturity or future service is asserted without an explicit, measurable adoption trigger (Section 12), and no business service is retired or merged without evidence that its underlying value proposition has genuinely disappeared, not merely that its implementation changed.</w:t>
      </w:r>
    </w:p>
    <w:p>
      <w:pPr>
        <w:pStyle w:val="Heading1"/>
        <w:spacing w:after="200" w:before="400"/>
      </w:pPr>
      <w:r>
        <w:t xml:space="preserve">4. Enterprise Business Service Landscape</w:t>
      </w:r>
    </w:p>
    <w:p>
      <w:pPr>
        <w:spacing w:after="160"/>
      </w:pPr>
      <w:r>
        <w:t xml:space="preserve">Fifteen current business services and two future candidates, grouped under the eight Phase B business domains they inherit ownership from. Ordering follows Phase A/B/C's strategic-weight convention, not alphabetical order.</w:t>
      </w:r>
    </w:p>
    <w:p>
      <w:pPr>
        <w:pStyle w:val="Heading2"/>
        <w:spacing w:after="150" w:before="300"/>
      </w:pPr>
      <w:r>
        <w:t xml:space="preserve">4.1 Career Intelligence Domain</w:t>
      </w:r>
    </w:p>
    <w:p>
      <w:pPr>
        <w:pStyle w:val="ListParagraph"/>
        <w:numPr>
          <w:ilvl w:val="0"/>
          <w:numId w:val="1"/>
        </w:numPr>
        <w:spacing w:after="80"/>
      </w:pPr>
      <w:r>
        <w:t xml:space="preserve">Career Recommendation Service — Level 3</w:t>
      </w:r>
    </w:p>
    <w:p>
      <w:pPr>
        <w:pStyle w:val="ListParagraph"/>
        <w:numPr>
          <w:ilvl w:val="0"/>
          <w:numId w:val="1"/>
        </w:numPr>
        <w:spacing w:after="80"/>
      </w:pPr>
      <w:r>
        <w:t xml:space="preserve">Career Health Service — Level 2/3</w:t>
      </w:r>
    </w:p>
    <w:p>
      <w:pPr>
        <w:pStyle w:val="ListParagraph"/>
        <w:numPr>
          <w:ilvl w:val="0"/>
          <w:numId w:val="1"/>
        </w:numPr>
        <w:spacing w:after="80"/>
      </w:pPr>
      <w:r>
        <w:t xml:space="preserve">Career Planning &amp; Simulation Service — Level 1</w:t>
      </w:r>
    </w:p>
    <w:p>
      <w:pPr>
        <w:pStyle w:val="ListParagraph"/>
        <w:numPr>
          <w:ilvl w:val="0"/>
          <w:numId w:val="1"/>
        </w:numPr>
        <w:spacing w:after="80"/>
      </w:pPr>
      <w:r>
        <w:t xml:space="preserve">Job Opportunity Service — Level 2, structurally capped</w:t>
      </w:r>
    </w:p>
    <w:p>
      <w:pPr>
        <w:pStyle w:val="Heading2"/>
        <w:spacing w:after="150" w:before="300"/>
      </w:pPr>
      <w:r>
        <w:t xml:space="preserve">4.2 Academic Intelligence Domain</w:t>
      </w:r>
    </w:p>
    <w:p>
      <w:pPr>
        <w:pStyle w:val="ListParagraph"/>
        <w:numPr>
          <w:ilvl w:val="0"/>
          <w:numId w:val="1"/>
        </w:numPr>
        <w:spacing w:after="80"/>
      </w:pPr>
      <w:r>
        <w:t xml:space="preserve">Student Onboarding Service — Level 4</w:t>
      </w:r>
    </w:p>
    <w:p>
      <w:pPr>
        <w:pStyle w:val="ListParagraph"/>
        <w:numPr>
          <w:ilvl w:val="0"/>
          <w:numId w:val="1"/>
        </w:numPr>
        <w:spacing w:after="80"/>
      </w:pPr>
      <w:r>
        <w:t xml:space="preserve">Academic Profile Service — Level 4</w:t>
      </w:r>
    </w:p>
    <w:p>
      <w:pPr>
        <w:pStyle w:val="Heading2"/>
        <w:spacing w:after="150" w:before="300"/>
      </w:pPr>
      <w:r>
        <w:t xml:space="preserve">4.3 Knowledge &amp; Market Intelligence Domain</w:t>
      </w:r>
    </w:p>
    <w:p>
      <w:pPr>
        <w:pStyle w:val="ListParagraph"/>
        <w:numPr>
          <w:ilvl w:val="0"/>
          <w:numId w:val="1"/>
        </w:numPr>
        <w:spacing w:after="80"/>
      </w:pPr>
      <w:r>
        <w:t xml:space="preserve">Knowledge Intelligence Service — Level 2/3</w:t>
      </w:r>
    </w:p>
    <w:p>
      <w:pPr>
        <w:pStyle w:val="Heading2"/>
        <w:spacing w:after="150" w:before="300"/>
      </w:pPr>
      <w:r>
        <w:t xml:space="preserve">4.4 AI Intelligence Domain</w:t>
      </w:r>
    </w:p>
    <w:p>
      <w:pPr>
        <w:pStyle w:val="ListParagraph"/>
        <w:numPr>
          <w:ilvl w:val="0"/>
          <w:numId w:val="1"/>
        </w:numPr>
        <w:spacing w:after="80"/>
      </w:pPr>
      <w:r>
        <w:t xml:space="preserve">AI Career Advisory Service — Level 4</w:t>
      </w:r>
    </w:p>
    <w:p>
      <w:pPr>
        <w:pStyle w:val="Heading2"/>
        <w:spacing w:after="150" w:before="300"/>
      </w:pPr>
      <w:r>
        <w:t xml:space="preserve">4.5 Candidate Experience &amp; Growth Domain</w:t>
      </w:r>
    </w:p>
    <w:p>
      <w:pPr>
        <w:pStyle w:val="ListParagraph"/>
        <w:numPr>
          <w:ilvl w:val="0"/>
          <w:numId w:val="1"/>
        </w:numPr>
        <w:spacing w:after="80"/>
      </w:pPr>
      <w:r>
        <w:t xml:space="preserve">Resume Intelligence Service — Level 3</w:t>
      </w:r>
    </w:p>
    <w:p>
      <w:pPr>
        <w:pStyle w:val="ListParagraph"/>
        <w:numPr>
          <w:ilvl w:val="0"/>
          <w:numId w:val="1"/>
        </w:numPr>
        <w:spacing w:after="80"/>
      </w:pPr>
      <w:r>
        <w:t xml:space="preserve">Growth &amp; Engagement Service — Level 2</w:t>
      </w:r>
    </w:p>
    <w:p>
      <w:pPr>
        <w:pStyle w:val="Heading2"/>
        <w:spacing w:after="150" w:before="300"/>
      </w:pPr>
      <w:r>
        <w:t xml:space="preserve">4.6 Employer Domain</w:t>
      </w:r>
    </w:p>
    <w:p>
      <w:pPr>
        <w:pStyle w:val="ListParagraph"/>
        <w:numPr>
          <w:ilvl w:val="0"/>
          <w:numId w:val="1"/>
        </w:numPr>
        <w:spacing w:after="80"/>
      </w:pPr>
      <w:r>
        <w:t xml:space="preserve">Employer Collaboration Service — Level 1, strategic by intent</w:t>
      </w:r>
    </w:p>
    <w:p>
      <w:pPr>
        <w:pStyle w:val="Heading2"/>
        <w:spacing w:after="150" w:before="300"/>
      </w:pPr>
      <w:r>
        <w:t xml:space="preserve">4.7 Platform Shared Services Domain</w:t>
      </w:r>
    </w:p>
    <w:p>
      <w:pPr>
        <w:pStyle w:val="ListParagraph"/>
        <w:numPr>
          <w:ilvl w:val="0"/>
          <w:numId w:val="1"/>
        </w:numPr>
        <w:spacing w:after="80"/>
      </w:pPr>
      <w:r>
        <w:t xml:space="preserve">Identity &amp; Access Service — Level 3</w:t>
      </w:r>
    </w:p>
    <w:p>
      <w:pPr>
        <w:pStyle w:val="ListParagraph"/>
        <w:numPr>
          <w:ilvl w:val="0"/>
          <w:numId w:val="1"/>
        </w:numPr>
        <w:spacing w:after="80"/>
      </w:pPr>
      <w:r>
        <w:t xml:space="preserve">Platform Administration Service — Level 1/2</w:t>
      </w:r>
    </w:p>
    <w:p>
      <w:pPr>
        <w:pStyle w:val="ListParagraph"/>
        <w:numPr>
          <w:ilvl w:val="0"/>
          <w:numId w:val="1"/>
        </w:numPr>
        <w:spacing w:after="80"/>
      </w:pPr>
      <w:r>
        <w:t xml:space="preserve">Analytics &amp; Reporting Service — Level 2/3</w:t>
      </w:r>
    </w:p>
    <w:p>
      <w:pPr>
        <w:pStyle w:val="Heading2"/>
        <w:spacing w:after="150" w:before="300"/>
      </w:pPr>
      <w:r>
        <w:t xml:space="preserve">4.8 Governance Domain</w:t>
      </w:r>
    </w:p>
    <w:p>
      <w:pPr>
        <w:pStyle w:val="ListParagraph"/>
        <w:numPr>
          <w:ilvl w:val="0"/>
          <w:numId w:val="1"/>
        </w:numPr>
        <w:spacing w:after="80"/>
      </w:pPr>
      <w:r>
        <w:t xml:space="preserve">Governance &amp; Assurance Service — Level 2/3</w:t>
      </w:r>
    </w:p>
    <w:p>
      <w:pPr>
        <w:pStyle w:val="Heading2"/>
        <w:spacing w:after="150" w:before="300"/>
      </w:pPr>
      <w:r>
        <w:t xml:space="preserve">4.9 Future Business Services (not yet started)</w:t>
      </w:r>
    </w:p>
    <w:p>
      <w:pPr>
        <w:pStyle w:val="ListParagraph"/>
        <w:numPr>
          <w:ilvl w:val="0"/>
          <w:numId w:val="1"/>
        </w:numPr>
        <w:spacing w:after="80"/>
      </w:pPr>
      <w:r>
        <w:t xml:space="preserve">Career Outcome Intelligence Service — Level 0</w:t>
      </w:r>
    </w:p>
    <w:p>
      <w:pPr>
        <w:pStyle w:val="ListParagraph"/>
        <w:numPr>
          <w:ilvl w:val="0"/>
          <w:numId w:val="1"/>
        </w:numPr>
        <w:spacing w:after="80"/>
      </w:pPr>
      <w:r>
        <w:t xml:space="preserve">Partner &amp; Ecosystem Intelligence Service — Level 0, long-term only</w:t>
      </w:r>
    </w:p>
    <w:p>
      <w:pPr>
        <w:pStyle w:val="Heading1"/>
        <w:spacing w:after="200" w:before="400"/>
      </w:pPr>
      <w:r>
        <w:t xml:space="preserve">5. Business Service Catalog</w:t>
      </w:r>
    </w:p>
    <w:p>
      <w:pPr>
        <w:spacing w:after="160"/>
      </w:pPr>
      <w:r>
        <w:t xml:space="preserve">Catalog methodology: the six Tier-1 business services below — those inherited from Phase A's Tier-1 strategic/core capabilities and carrying the platform's widest stakeholder reach — receive a full profile against every required field. The remaining nine current-state Tier-2 services are catalogued in the summary table at the end of this section (Section 5.13), with the same fields condensed to table columns, consistent with the proportionality principle in Section 3. Two future services are catalogued separately (Section 5.14).</w:t>
      </w:r>
    </w:p>
    <w:p>
      <w:pPr>
        <w:pStyle w:val="Heading2"/>
        <w:spacing w:after="150" w:before="300"/>
      </w:pPr>
      <w:r>
        <w:t xml:space="preserve">5.01 Student Onboarding Service [Core / Foundational]</w:t>
      </w:r>
    </w:p>
    <w:p>
      <w:pPr>
        <w:spacing w:after="120"/>
      </w:pPr>
      <w:r>
        <w:rPr>
          <w:b/>
          <w:bCs/>
        </w:rPr>
        <w:t xml:space="preserve">Purpose: </w:t>
      </w:r>
      <w:r>
        <w:t xml:space="preserve">Capture and qualify a new student's academic identity, stream/board context, and consent posture so every downstream service has a trustworthy starting record.</w:t>
      </w:r>
    </w:p>
    <w:p>
      <w:pPr>
        <w:spacing w:after="120"/>
      </w:pPr>
      <w:r>
        <w:rPr>
          <w:b/>
          <w:bCs/>
        </w:rPr>
        <w:t xml:space="preserve">Business value: </w:t>
      </w:r>
      <w:r>
        <w:t xml:space="preserve">Converts an anonymous visitor into a qualified, data-complete student profile in a single guided flow — the entry gate for the entire platform.</w:t>
      </w:r>
    </w:p>
    <w:p>
      <w:pPr>
        <w:spacing w:after="120"/>
      </w:pPr>
      <w:r>
        <w:rPr>
          <w:b/>
          <w:bCs/>
        </w:rPr>
        <w:t xml:space="preserve">Primary stakeholders: </w:t>
      </w:r>
      <w:r>
        <w:t xml:space="preserve">Students; (target-state) parents/guardians as consent co-holders for minors.</w:t>
      </w:r>
    </w:p>
    <w:p>
      <w:pPr>
        <w:spacing w:after="120"/>
      </w:pPr>
      <w:r>
        <w:rPr>
          <w:b/>
          <w:bCs/>
        </w:rPr>
        <w:t xml:space="preserve">Secondary stakeholders: </w:t>
      </w:r>
      <w:r>
        <w:t xml:space="preserve">Academic Profile Service (immediate downstream consumer); Platform administrators.</w:t>
      </w:r>
    </w:p>
    <w:p>
      <w:pPr>
        <w:spacing w:after="120"/>
      </w:pPr>
      <w:r>
        <w:rPr>
          <w:b/>
          <w:bCs/>
        </w:rPr>
        <w:t xml:space="preserve">Owning domain: </w:t>
      </w:r>
      <w:r>
        <w:t xml:space="preserve">Academic Intelligence Domain</w:t>
      </w:r>
    </w:p>
    <w:p>
      <w:pPr>
        <w:spacing w:after="120"/>
      </w:pPr>
      <w:r>
        <w:rPr>
          <w:b/>
          <w:bCs/>
        </w:rPr>
        <w:t xml:space="preserve">Supporting capabilities (Phase A): </w:t>
      </w:r>
      <w:r>
        <w:t xml:space="preserve">Student Onboarding &amp; Qualification Capture (EEP-02 Phase A, Section 7).</w:t>
      </w:r>
    </w:p>
    <w:p>
      <w:pPr>
        <w:spacing w:after="120"/>
      </w:pPr>
      <w:r>
        <w:rPr>
          <w:b/>
          <w:bCs/>
        </w:rPr>
        <w:t xml:space="preserve">Participating value streams (Phase C): </w:t>
      </w:r>
      <w:r>
        <w:t xml:space="preserve">Student Onboarding &amp; Academic Foundation Value Stream — Level 4 (EEP-02 Phase C, Section 5).</w:t>
      </w:r>
    </w:p>
    <w:p>
      <w:pPr>
        <w:spacing w:after="120"/>
      </w:pPr>
      <w:r>
        <w:rPr>
          <w:b/>
          <w:bCs/>
        </w:rPr>
        <w:t xml:space="preserve">Business responsibilities: </w:t>
      </w:r>
      <w:r>
        <w:t xml:space="preserve">Guide step-ordered onboarding; validate board/stream/qualification data at capture; enforce minor-appropriate consent capture consistent with EEP-01 Phase B's security/privacy posture for a predominantly under-18 population.</w:t>
      </w:r>
    </w:p>
    <w:p>
      <w:pPr>
        <w:spacing w:after="120"/>
      </w:pPr>
      <w:r>
        <w:rPr>
          <w:b/>
          <w:bCs/>
        </w:rPr>
        <w:t xml:space="preserve">Inputs: </w:t>
      </w:r>
      <w:r>
        <w:t xml:space="preserve">Prospective student identity and academic self-report; board/stream/institution reference data from the canonical taxonomy.</w:t>
      </w:r>
    </w:p>
    <w:p>
      <w:pPr>
        <w:spacing w:after="120"/>
      </w:pPr>
      <w:r>
        <w:rPr>
          <w:b/>
          <w:bCs/>
        </w:rPr>
        <w:t xml:space="preserve">Outputs: </w:t>
      </w:r>
      <w:r>
        <w:t xml:space="preserve">A qualified, enum-consistent student onboarding record consumed by Academic Profile Service.</w:t>
      </w:r>
    </w:p>
    <w:p>
      <w:pPr>
        <w:spacing w:after="120"/>
      </w:pPr>
      <w:r>
        <w:rPr>
          <w:b/>
          <w:bCs/>
        </w:rPr>
        <w:t xml:space="preserve">Business policies: </w:t>
      </w:r>
      <w:r>
        <w:t xml:space="preserve">Single source of truth for step ordering and enum values (core/src/modules/onboarding, student-onboarding); minor-appropriate consent-by-default posture.</w:t>
      </w:r>
    </w:p>
    <w:p>
      <w:pPr>
        <w:spacing w:after="120"/>
      </w:pPr>
      <w:r>
        <w:rPr>
          <w:b/>
          <w:bCs/>
        </w:rPr>
        <w:t xml:space="preserve">Business events: </w:t>
      </w:r>
      <w:r>
        <w:t xml:space="preserve">student.onboarding.started; student.onboarding.step_completed; student.onboarding.qualified.</w:t>
      </w:r>
    </w:p>
    <w:p>
      <w:pPr>
        <w:spacing w:after="120"/>
      </w:pPr>
      <w:r>
        <w:rPr>
          <w:b/>
          <w:bCs/>
        </w:rPr>
        <w:t xml:space="preserve">KPIs: </w:t>
      </w:r>
      <w:r>
        <w:t xml:space="preserve">Onboarding completion rate; time-to-qualified-profile; drop-off rate by step.</w:t>
      </w:r>
    </w:p>
    <w:p>
      <w:pPr>
        <w:spacing w:after="120"/>
      </w:pPr>
      <w:r>
        <w:rPr>
          <w:b/>
          <w:bCs/>
        </w:rPr>
        <w:t xml:space="preserve">Current maturity: </w:t>
      </w:r>
      <w:r>
        <w:t xml:space="preserve">Level 4 — Integrated. Backend modules (onboarding, student-onboarding) and matching front/src features/hooks are both evidenced, with a single documented source of truth for step ordering.</w:t>
      </w:r>
    </w:p>
    <w:p>
      <w:pPr>
        <w:spacing w:after="120"/>
      </w:pPr>
      <w:r>
        <w:rPr>
          <w:b/>
          <w:bCs/>
        </w:rPr>
        <w:t xml:space="preserve">Target maturity: </w:t>
      </w:r>
      <w:r>
        <w:t xml:space="preserve">Level 4 sustained, extended to live parent/guardian consent co-capture once that stakeholder relationship is activated (Phase C Section 7).</w:t>
      </w:r>
    </w:p>
    <w:p>
      <w:pPr>
        <w:spacing w:after="120"/>
      </w:pPr>
      <w:r>
        <w:rPr>
          <w:b/>
          <w:bCs/>
        </w:rPr>
        <w:t xml:space="preserve">Business risks: </w:t>
      </w:r>
      <w:r>
        <w:t xml:space="preserve">None material at current maturity; principal exposure is inherited from Academic Profile Service's downstream data-quality risk (Section 15).</w:t>
      </w:r>
    </w:p>
    <w:p>
      <w:pPr>
        <w:spacing w:after="120"/>
      </w:pPr>
      <w:r>
        <w:rPr>
          <w:b/>
          <w:bCs/>
        </w:rPr>
        <w:t xml:space="preserve">Future evolution: </w:t>
      </w:r>
      <w:r>
        <w:t xml:space="preserve">Short-term: none required — service is at target maturity. Medium-term: parent/guardian consent co-capture, triggered by first institutional partner requiring guardian sign-off.</w:t>
      </w:r>
    </w:p>
    <w:p>
      <w:pPr>
        <w:pStyle w:val="Heading2"/>
        <w:spacing w:after="150" w:before="300"/>
      </w:pPr>
      <w:r>
        <w:t xml:space="preserve">5.02 Academic Profile Service [Core / Foundational / Shared]</w:t>
      </w:r>
    </w:p>
    <w:p>
      <w:pPr>
        <w:spacing w:after="120"/>
      </w:pPr>
      <w:r>
        <w:rPr>
          <w:b/>
          <w:bCs/>
        </w:rPr>
        <w:t xml:space="preserve">Purpose: </w:t>
      </w:r>
      <w:r>
        <w:t xml:space="preserve">Maintain the single, longitudinal, trustworthy record of a student's academic performance, stream, and history that every other business service reads from.</w:t>
      </w:r>
    </w:p>
    <w:p>
      <w:pPr>
        <w:spacing w:after="120"/>
      </w:pPr>
      <w:r>
        <w:rPr>
          <w:b/>
          <w:bCs/>
        </w:rPr>
        <w:t xml:space="preserve">Business value: </w:t>
      </w:r>
      <w:r>
        <w:t xml:space="preserve">Is the platform's most widely shared data asset — the foundation every intelligence, advisory, and document service is built on top of.</w:t>
      </w:r>
    </w:p>
    <w:p>
      <w:pPr>
        <w:spacing w:after="120"/>
      </w:pPr>
      <w:r>
        <w:rPr>
          <w:b/>
          <w:bCs/>
        </w:rPr>
        <w:t xml:space="preserve">Primary stakeholders: </w:t>
      </w:r>
      <w:r>
        <w:t xml:space="preserve">Students.</w:t>
      </w:r>
    </w:p>
    <w:p>
      <w:pPr>
        <w:spacing w:after="120"/>
      </w:pPr>
      <w:r>
        <w:rPr>
          <w:b/>
          <w:bCs/>
        </w:rPr>
        <w:t xml:space="preserve">Secondary stakeholders: </w:t>
      </w:r>
      <w:r>
        <w:t xml:space="preserve">Career Recommendation Service, Career Health Service, Career Planning &amp; Simulation Service, AI Career Advisory Service, Resume Intelligence Service (all downstream consumers per EEP-02 Phase B, Section 7); (target-state) schools/universities.</w:t>
      </w:r>
    </w:p>
    <w:p>
      <w:pPr>
        <w:spacing w:after="120"/>
      </w:pPr>
      <w:r>
        <w:rPr>
          <w:b/>
          <w:bCs/>
        </w:rPr>
        <w:t xml:space="preserve">Owning domain: </w:t>
      </w:r>
      <w:r>
        <w:t xml:space="preserve">Academic Intelligence Domain</w:t>
      </w:r>
    </w:p>
    <w:p>
      <w:pPr>
        <w:spacing w:after="120"/>
      </w:pPr>
      <w:r>
        <w:rPr>
          <w:b/>
          <w:bCs/>
        </w:rPr>
        <w:t xml:space="preserve">Supporting capabilities (Phase A): </w:t>
      </w:r>
      <w:r>
        <w:t xml:space="preserve">Academic Profile &amp; Context Intelligence (Phase A, Section 7).</w:t>
      </w:r>
    </w:p>
    <w:p>
      <w:pPr>
        <w:spacing w:after="120"/>
      </w:pPr>
      <w:r>
        <w:rPr>
          <w:b/>
          <w:bCs/>
        </w:rPr>
        <w:t xml:space="preserve">Participating value streams (Phase C): </w:t>
      </w:r>
      <w:r>
        <w:t xml:space="preserve">Student Onboarding &amp; Academic Foundation Value Stream — Level 4.</w:t>
      </w:r>
    </w:p>
    <w:p>
      <w:pPr>
        <w:spacing w:after="120"/>
      </w:pPr>
      <w:r>
        <w:rPr>
          <w:b/>
          <w:bCs/>
        </w:rPr>
        <w:t xml:space="preserve">Business responsibilities: </w:t>
      </w:r>
      <w:r>
        <w:t xml:space="preserve">Persist and version per-student academic history for up to a ten-year horizon; serve a consistent profile read model to 10+ downstream consumers; protect minor student data by default.</w:t>
      </w:r>
    </w:p>
    <w:p>
      <w:pPr>
        <w:spacing w:after="120"/>
      </w:pPr>
      <w:r>
        <w:rPr>
          <w:b/>
          <w:bCs/>
        </w:rPr>
        <w:t xml:space="preserve">Inputs: </w:t>
      </w:r>
      <w:r>
        <w:t xml:space="preserve">Onboarding record from Student Onboarding Service; ongoing academic updates (grades, activities) where captured.</w:t>
      </w:r>
    </w:p>
    <w:p>
      <w:pPr>
        <w:spacing w:after="120"/>
      </w:pPr>
      <w:r>
        <w:rPr>
          <w:b/>
          <w:bCs/>
        </w:rPr>
        <w:t xml:space="preserve">Outputs: </w:t>
      </w:r>
      <w:r>
        <w:t xml:space="preserve">Canonical academic profile read model, consumed by every Career Intelligence and AI Advisory business service.</w:t>
      </w:r>
    </w:p>
    <w:p>
      <w:pPr>
        <w:spacing w:after="120"/>
      </w:pPr>
      <w:r>
        <w:rPr>
          <w:b/>
          <w:bCs/>
        </w:rPr>
        <w:t xml:space="preserve">Business policies: </w:t>
      </w:r>
      <w:r>
        <w:t xml:space="preserve">26-table physical model (10 domain + 16 reference entities), EEP-01 Phase A; protective-by-default data posture for a predominantly minor population, EEP-01 Phase B.</w:t>
      </w:r>
    </w:p>
    <w:p>
      <w:pPr>
        <w:spacing w:after="120"/>
      </w:pPr>
      <w:r>
        <w:rPr>
          <w:b/>
          <w:bCs/>
        </w:rPr>
        <w:t xml:space="preserve">Business events: </w:t>
      </w:r>
      <w:r>
        <w:t xml:space="preserve">student.profile.updated; student.academic_history.appended.</w:t>
      </w:r>
    </w:p>
    <w:p>
      <w:pPr>
        <w:spacing w:after="120"/>
      </w:pPr>
      <w:r>
        <w:rPr>
          <w:b/>
          <w:bCs/>
        </w:rPr>
        <w:t xml:space="preserve">KPIs: </w:t>
      </w:r>
      <w:r>
        <w:t xml:space="preserve">Profile completeness rate; data-quality regression incidents (target: zero); downstream consumer count served without incident.</w:t>
      </w:r>
    </w:p>
    <w:p>
      <w:pPr>
        <w:spacing w:after="120"/>
      </w:pPr>
      <w:r>
        <w:rPr>
          <w:b/>
          <w:bCs/>
        </w:rPr>
        <w:t xml:space="preserve">Current maturity: </w:t>
      </w:r>
      <w:r>
        <w:t xml:space="preserve">Level 4 — Integrated. EEP-01 Phase A's complete physical model is already treated as authoritative input to nine-plus downstream AI/runtime systems per Phase B.</w:t>
      </w:r>
    </w:p>
    <w:p>
      <w:pPr>
        <w:spacing w:after="120"/>
      </w:pPr>
      <w:r>
        <w:rPr>
          <w:b/>
          <w:bCs/>
        </w:rPr>
        <w:t xml:space="preserve">Target maturity: </w:t>
      </w:r>
      <w:r>
        <w:t xml:space="preserve">Level 4 sustained; target-state extension is live institutional data exchange with schools/universities (not yet evidenced).</w:t>
      </w:r>
    </w:p>
    <w:p>
      <w:pPr>
        <w:spacing w:after="120"/>
      </w:pPr>
      <w:r>
        <w:rPr>
          <w:b/>
          <w:bCs/>
        </w:rPr>
        <w:t xml:space="preserve">Business risks: </w:t>
      </w:r>
      <w:r>
        <w:t xml:space="preserve">Widest blast radius of any single data-quality failure in the platform, given 10+ downstream consumers (EEP-02 Phase A, Section 16.2).</w:t>
      </w:r>
    </w:p>
    <w:p>
      <w:pPr>
        <w:spacing w:after="120"/>
      </w:pPr>
      <w:r>
        <w:rPr>
          <w:b/>
          <w:bCs/>
        </w:rPr>
        <w:t xml:space="preserve">Future evolution: </w:t>
      </w:r>
      <w:r>
        <w:t xml:space="preserve">Short-term: none — already target maturity for current scope. Medium-term: live school/university data exchange, triggered by first signed institutional partner.</w:t>
      </w:r>
    </w:p>
    <w:p>
      <w:pPr>
        <w:pStyle w:val="Heading2"/>
        <w:spacing w:after="150" w:before="300"/>
      </w:pPr>
      <w:r>
        <w:t xml:space="preserve">5.03 Career Recommendation Service [Strategic / Core]</w:t>
      </w:r>
    </w:p>
    <w:p>
      <w:pPr>
        <w:spacing w:after="120"/>
      </w:pPr>
      <w:r>
        <w:rPr>
          <w:b/>
          <w:bCs/>
        </w:rPr>
        <w:t xml:space="preserve">Purpose: </w:t>
      </w:r>
      <w:r>
        <w:t xml:space="preserve">Translate a student's academic and skill profile into a ranked, explainable set of viable career paths, roles, and opportunities.</w:t>
      </w:r>
    </w:p>
    <w:p>
      <w:pPr>
        <w:spacing w:after="120"/>
      </w:pPr>
      <w:r>
        <w:rPr>
          <w:b/>
          <w:bCs/>
        </w:rPr>
        <w:t xml:space="preserve">Business value: </w:t>
      </w:r>
      <w:r>
        <w:t xml:space="preserve">Converts overwhelming career choice into a small, evidence-backed, personally relevant shortlist — the platform's core promise to students.</w:t>
      </w:r>
    </w:p>
    <w:p>
      <w:pPr>
        <w:spacing w:after="120"/>
      </w:pPr>
      <w:r>
        <w:rPr>
          <w:b/>
          <w:bCs/>
        </w:rPr>
        <w:t xml:space="preserve">Primary stakeholders: </w:t>
      </w:r>
      <w:r>
        <w:t xml:space="preserve">Students.</w:t>
      </w:r>
    </w:p>
    <w:p>
      <w:pPr>
        <w:spacing w:after="120"/>
      </w:pPr>
      <w:r>
        <w:rPr>
          <w:b/>
          <w:bCs/>
        </w:rPr>
        <w:t xml:space="preserve">Secondary stakeholders: </w:t>
      </w:r>
      <w:r>
        <w:t xml:space="preserve">Knowledge Intelligence Service and AI Career Advisory Service (structural dependencies); (target-state) employers, as a future opportunity-ranking input.</w:t>
      </w:r>
    </w:p>
    <w:p>
      <w:pPr>
        <w:spacing w:after="120"/>
      </w:pPr>
      <w:r>
        <w:rPr>
          <w:b/>
          <w:bCs/>
        </w:rPr>
        <w:t xml:space="preserve">Owning domain: </w:t>
      </w:r>
      <w:r>
        <w:t xml:space="preserve">Career Intelligence Domain</w:t>
      </w:r>
    </w:p>
    <w:p>
      <w:pPr>
        <w:spacing w:after="120"/>
      </w:pPr>
      <w:r>
        <w:rPr>
          <w:b/>
          <w:bCs/>
        </w:rPr>
        <w:t xml:space="preserve">Supporting capabilities (Phase A): </w:t>
      </w:r>
      <w:r>
        <w:t xml:space="preserve">Career Path Intelligence &amp; Recommendation; Career Opportunity Radar (Phase A, Sections 7.1, 7.4).</w:t>
      </w:r>
    </w:p>
    <w:p>
      <w:pPr>
        <w:spacing w:after="120"/>
      </w:pPr>
      <w:r>
        <w:rPr>
          <w:b/>
          <w:bCs/>
        </w:rPr>
        <w:t xml:space="preserve">Participating value streams (Phase C): </w:t>
      </w:r>
      <w:r>
        <w:t xml:space="preserve">Career Discovery &amp; Recommendation Value Stream — Level 3 (compound).</w:t>
      </w:r>
    </w:p>
    <w:p>
      <w:pPr>
        <w:spacing w:after="120"/>
      </w:pPr>
      <w:r>
        <w:rPr>
          <w:b/>
          <w:bCs/>
        </w:rPr>
        <w:t xml:space="preserve">Business responsibilities: </w:t>
      </w:r>
      <w:r>
        <w:t xml:space="preserve">Rank and explain career/role options; surface market-adjacent opportunities; feed Career Planning &amp; Simulation Service with candidate paths to simulate.</w:t>
      </w:r>
    </w:p>
    <w:p>
      <w:pPr>
        <w:spacing w:after="120"/>
      </w:pPr>
      <w:r>
        <w:rPr>
          <w:b/>
          <w:bCs/>
        </w:rPr>
        <w:t xml:space="preserve">Inputs: </w:t>
      </w:r>
      <w:r>
        <w:t xml:space="preserve">Academic profile (Academic Profile Service); canonical skill/role/job-family taxonomy; labor-market demand signal (currently mock, see risks).</w:t>
      </w:r>
    </w:p>
    <w:p>
      <w:pPr>
        <w:spacing w:after="120"/>
      </w:pPr>
      <w:r>
        <w:rPr>
          <w:b/>
          <w:bCs/>
        </w:rPr>
        <w:t xml:space="preserve">Outputs: </w:t>
      </w:r>
      <w:r>
        <w:t xml:space="preserve">Ranked, explainable career/role recommendations; opportunity shortlist for Job Opportunity Service.</w:t>
      </w:r>
    </w:p>
    <w:p>
      <w:pPr>
        <w:spacing w:after="120"/>
      </w:pPr>
      <w:r>
        <w:rPr>
          <w:b/>
          <w:bCs/>
        </w:rPr>
        <w:t xml:space="preserve">Business policies: </w:t>
      </w:r>
      <w:r>
        <w:t xml:space="preserve">Explanation-with-every-recommendation policy, consistent with AI Quality &amp; Confidence Governance capability.</w:t>
      </w:r>
    </w:p>
    <w:p>
      <w:pPr>
        <w:spacing w:after="120"/>
      </w:pPr>
      <w:r>
        <w:rPr>
          <w:b/>
          <w:bCs/>
        </w:rPr>
        <w:t xml:space="preserve">Business events: </w:t>
      </w:r>
      <w:r>
        <w:t xml:space="preserve">recommendation.generated; recommendation.accepted; recommendation.dismissed.</w:t>
      </w:r>
    </w:p>
    <w:p>
      <w:pPr>
        <w:spacing w:after="120"/>
      </w:pPr>
      <w:r>
        <w:rPr>
          <w:b/>
          <w:bCs/>
        </w:rPr>
        <w:t xml:space="preserve">KPIs: </w:t>
      </w:r>
      <w:r>
        <w:t xml:space="preserve">Recommendation acceptance rate; time-to-first-recommendation; recommendation-to-application conversion.</w:t>
      </w:r>
    </w:p>
    <w:p>
      <w:pPr>
        <w:spacing w:after="120"/>
      </w:pPr>
      <w:r>
        <w:rPr>
          <w:b/>
          <w:bCs/>
        </w:rPr>
        <w:t xml:space="preserve">Current maturity: </w:t>
      </w:r>
      <w:r>
        <w:t xml:space="preserve">Level 3 — Managed. career-copilot runs six agent classes with a coordinator in production; careerGraph and the canonical taxonomy are populated and actively consumed.</w:t>
      </w:r>
    </w:p>
    <w:p>
      <w:pPr>
        <w:spacing w:after="120"/>
      </w:pPr>
      <w:r>
        <w:rPr>
          <w:b/>
          <w:bCs/>
        </w:rPr>
        <w:t xml:space="preserve">Target maturity: </w:t>
      </w:r>
      <w:r>
        <w:t xml:space="preserve">Level 4 — Integrated, once recommendations are grounded in live (not mock) labor-market data and formal multi-agent planning replaces the current fixed execution model (EEP-01 Phase F Part 8).</w:t>
      </w:r>
    </w:p>
    <w:p>
      <w:pPr>
        <w:spacing w:after="120"/>
      </w:pPr>
      <w:r>
        <w:rPr>
          <w:b/>
          <w:bCs/>
        </w:rPr>
        <w:t xml:space="preserve">Business risks: </w:t>
      </w:r>
      <w:r>
        <w:t xml:space="preserve">Recommendation quality is currently bounded by mock market data (jobCollector.service.js) — a business risk of low-confidence advice being presented with high-confidence framing.</w:t>
      </w:r>
    </w:p>
    <w:p>
      <w:pPr>
        <w:spacing w:after="120"/>
      </w:pPr>
      <w:r>
        <w:rPr>
          <w:b/>
          <w:bCs/>
        </w:rPr>
        <w:t xml:space="preserve">Future evolution: </w:t>
      </w:r>
      <w:r>
        <w:t xml:space="preserve">Short-term: instrument recommendation acceptance as a first-class KPI. Medium-term: replace mock labor-market input with a live source, triggered by first signed data/partner feed. Long-term: agent-planned multi-step recommendation workflows.</w:t>
      </w:r>
    </w:p>
    <w:p>
      <w:pPr>
        <w:pStyle w:val="Heading2"/>
        <w:spacing w:after="150" w:before="300"/>
      </w:pPr>
      <w:r>
        <w:t xml:space="preserve">5.04 AI Career Advisory Service [Strategic / AI-native]</w:t>
      </w:r>
    </w:p>
    <w:p>
      <w:pPr>
        <w:spacing w:after="120"/>
      </w:pPr>
      <w:r>
        <w:rPr>
          <w:b/>
          <w:bCs/>
        </w:rPr>
        <w:t xml:space="preserve">Purpose: </w:t>
      </w:r>
      <w:r>
        <w:t xml:space="preserve">Deliver conversational, agentic career guidance directly to students, personalized to their profile and adaptive over repeated interaction.</w:t>
      </w:r>
    </w:p>
    <w:p>
      <w:pPr>
        <w:spacing w:after="120"/>
      </w:pPr>
      <w:r>
        <w:rPr>
          <w:b/>
          <w:bCs/>
        </w:rPr>
        <w:t xml:space="preserve">Business value: </w:t>
      </w:r>
      <w:r>
        <w:t xml:space="preserve">Is the platform's most technically mature capability and its most direct expression of "AI advisory the student can trust and act on repeatedly."</w:t>
      </w:r>
    </w:p>
    <w:p>
      <w:pPr>
        <w:spacing w:after="120"/>
      </w:pPr>
      <w:r>
        <w:rPr>
          <w:b/>
          <w:bCs/>
        </w:rPr>
        <w:t xml:space="preserve">Primary stakeholders: </w:t>
      </w:r>
      <w:r>
        <w:t xml:space="preserve">Students.</w:t>
      </w:r>
    </w:p>
    <w:p>
      <w:pPr>
        <w:spacing w:after="120"/>
      </w:pPr>
      <w:r>
        <w:rPr>
          <w:b/>
          <w:bCs/>
        </w:rPr>
        <w:t xml:space="preserve">Secondary stakeholders: </w:t>
      </w:r>
      <w:r>
        <w:t xml:space="preserve">Career Recommendation Service (shares agent infrastructure and taxonomy); Governance &amp; Assurance Service (AI output quality oversight).</w:t>
      </w:r>
    </w:p>
    <w:p>
      <w:pPr>
        <w:spacing w:after="120"/>
      </w:pPr>
      <w:r>
        <w:rPr>
          <w:b/>
          <w:bCs/>
        </w:rPr>
        <w:t xml:space="preserve">Owning domain: </w:t>
      </w:r>
      <w:r>
        <w:t xml:space="preserve">AI Intelligence Domain</w:t>
      </w:r>
    </w:p>
    <w:p>
      <w:pPr>
        <w:spacing w:after="120"/>
      </w:pPr>
      <w:r>
        <w:rPr>
          <w:b/>
          <w:bCs/>
        </w:rPr>
        <w:t xml:space="preserve">Supporting capabilities (Phase A): </w:t>
      </w:r>
      <w:r>
        <w:t xml:space="preserve">AI Career Advisory &amp; Agentic Orchestration; AI Personalization &amp; Adaptive Weighting (Phase A, Sections 7.5–7.6).</w:t>
      </w:r>
    </w:p>
    <w:p>
      <w:pPr>
        <w:spacing w:after="120"/>
      </w:pPr>
      <w:r>
        <w:rPr>
          <w:b/>
          <w:bCs/>
        </w:rPr>
        <w:t xml:space="preserve">Participating value streams (Phase C): </w:t>
      </w:r>
      <w:r>
        <w:t xml:space="preserve">AI Advisory &amp; Conversational Guidance Value Stream — Level 4.</w:t>
      </w:r>
    </w:p>
    <w:p>
      <w:pPr>
        <w:spacing w:after="120"/>
      </w:pPr>
      <w:r>
        <w:rPr>
          <w:b/>
          <w:bCs/>
        </w:rPr>
        <w:t xml:space="preserve">Business responsibilities: </w:t>
      </w:r>
      <w:r>
        <w:t xml:space="preserve">Run the multi-provider, multi-agent advisory conversation; personalize responses to individual student context; degrade gracefully across a five-provider fallback chain.</w:t>
      </w:r>
    </w:p>
    <w:p>
      <w:pPr>
        <w:spacing w:after="120"/>
      </w:pPr>
      <w:r>
        <w:rPr>
          <w:b/>
          <w:bCs/>
        </w:rPr>
        <w:t xml:space="preserve">Inputs: </w:t>
      </w:r>
      <w:r>
        <w:t xml:space="preserve">Student conversational input; academic and skill profile context; career recommendations.</w:t>
      </w:r>
    </w:p>
    <w:p>
      <w:pPr>
        <w:spacing w:after="120"/>
      </w:pPr>
      <w:r>
        <w:rPr>
          <w:b/>
          <w:bCs/>
        </w:rPr>
        <w:t xml:space="preserve">Outputs: </w:t>
      </w:r>
      <w:r>
        <w:t xml:space="preserve">Conversational advisory responses; explanation of AI reasoning surfaced to the student.</w:t>
      </w:r>
    </w:p>
    <w:p>
      <w:pPr>
        <w:spacing w:after="120"/>
      </w:pPr>
      <w:r>
        <w:rPr>
          <w:b/>
          <w:bCs/>
        </w:rPr>
        <w:t xml:space="preserve">Business policies: </w:t>
      </w:r>
      <w:r>
        <w:t xml:space="preserve">Five-provider AI fallback chain (gemini → grok → mistral → openai → anthropic) already in production, EEP-01 Phase F Part 0.</w:t>
      </w:r>
    </w:p>
    <w:p>
      <w:pPr>
        <w:spacing w:after="120"/>
      </w:pPr>
      <w:r>
        <w:rPr>
          <w:b/>
          <w:bCs/>
        </w:rPr>
        <w:t xml:space="preserve">Business events: </w:t>
      </w:r>
      <w:r>
        <w:t xml:space="preserve">advisory.session.started; advisory.agent.invoked; advisory.provider.failover.</w:t>
      </w:r>
    </w:p>
    <w:p>
      <w:pPr>
        <w:spacing w:after="120"/>
      </w:pPr>
      <w:r>
        <w:rPr>
          <w:b/>
          <w:bCs/>
        </w:rPr>
        <w:t xml:space="preserve">KPIs: </w:t>
      </w:r>
      <w:r>
        <w:t xml:space="preserve">Agent task success rate; provider fallback frequency; session depth; student-reported trust/comprehension (qualitative).</w:t>
      </w:r>
    </w:p>
    <w:p>
      <w:pPr>
        <w:spacing w:after="120"/>
      </w:pPr>
      <w:r>
        <w:rPr>
          <w:b/>
          <w:bCs/>
        </w:rPr>
        <w:t xml:space="preserve">Current maturity: </w:t>
      </w:r>
      <w:r>
        <w:t xml:space="preserve">Level 4 — Integrated. Five-provider resilience is already at target-state maturity on this specific axis; career-copilot runs two agents in parallel via careerAgentCoordinator.js.</w:t>
      </w:r>
    </w:p>
    <w:p>
      <w:pPr>
        <w:spacing w:after="120"/>
      </w:pPr>
      <w:r>
        <w:rPr>
          <w:b/>
          <w:bCs/>
        </w:rPr>
        <w:t xml:space="preserve">Target maturity: </w:t>
      </w:r>
      <w:r>
        <w:t xml:space="preserve">Level 5 — Optimized, once full autonomous multi-step agent planning (agents choosing their own tool sequence) replaces today's coordinated-but-fixed execution model.</w:t>
      </w:r>
    </w:p>
    <w:p>
      <w:pPr>
        <w:spacing w:after="120"/>
      </w:pPr>
      <w:r>
        <w:rPr>
          <w:b/>
          <w:bCs/>
        </w:rPr>
        <w:t xml:space="preserve">Business risks: </w:t>
      </w:r>
      <w:r>
        <w:t xml:space="preserve">Full external dependency on third-party LLM providers; the fallback chain mitigates single-vendor outage but not systemic exposure to provider pricing, policy, or availability change.</w:t>
      </w:r>
    </w:p>
    <w:p>
      <w:pPr>
        <w:spacing w:after="120"/>
      </w:pPr>
      <w:r>
        <w:rPr>
          <w:b/>
          <w:bCs/>
        </w:rPr>
        <w:t xml:space="preserve">Future evolution: </w:t>
      </w:r>
      <w:r>
        <w:t xml:space="preserve">Short-term: none — already at strong maturity. Medium-term: formal multi-agent supervision (shared memory, agent-to-agent handoff), EEP-01 Phase F Part 8. Long-term: full autonomous planning.</w:t>
      </w:r>
    </w:p>
    <w:p>
      <w:pPr>
        <w:pStyle w:val="Heading2"/>
        <w:spacing w:after="150" w:before="300"/>
      </w:pPr>
      <w:r>
        <w:t xml:space="preserve">5.05 Knowledge Intelligence Service [Shared / AI-native / Platform]</w:t>
      </w:r>
    </w:p>
    <w:p>
      <w:pPr>
        <w:spacing w:after="120"/>
      </w:pPr>
      <w:r>
        <w:rPr>
          <w:b/>
          <w:bCs/>
        </w:rPr>
        <w:t xml:space="preserve">Purpose: </w:t>
      </w:r>
      <w:r>
        <w:t xml:space="preserve">Maintain the canonical skill, role, and labor-market vocabulary and context runtime that every intelligence-facing business service compares a student against.</w:t>
      </w:r>
    </w:p>
    <w:p>
      <w:pPr>
        <w:spacing w:after="120"/>
      </w:pPr>
      <w:r>
        <w:rPr>
          <w:b/>
          <w:bCs/>
        </w:rPr>
        <w:t xml:space="preserve">Business value: </w:t>
      </w:r>
      <w:r>
        <w:t xml:space="preserve">Is the shared vocabulary layer that lets Career Recommendation, Career Health, and AI Advisory speak a single consistent language about skills, roles, and demand.</w:t>
      </w:r>
    </w:p>
    <w:p>
      <w:pPr>
        <w:spacing w:after="120"/>
      </w:pPr>
      <w:r>
        <w:rPr>
          <w:b/>
          <w:bCs/>
        </w:rPr>
        <w:t xml:space="preserve">Primary stakeholders: </w:t>
      </w:r>
      <w:r>
        <w:t xml:space="preserve">Internal: every intelligence-facing business service (Career Recommendation, Career Health, AI Career Advisory, Job Opportunity).</w:t>
      </w:r>
    </w:p>
    <w:p>
      <w:pPr>
        <w:spacing w:after="120"/>
      </w:pPr>
      <w:r>
        <w:rPr>
          <w:b/>
          <w:bCs/>
        </w:rPr>
        <w:t xml:space="preserve">Secondary stakeholders: </w:t>
      </w:r>
      <w:r>
        <w:t xml:space="preserve">Knowledge curators (implicit internal stakeholder — no separately evidenced human curator role beyond the general engineering function, per EEP-02 Phase B Section 9).</w:t>
      </w:r>
    </w:p>
    <w:p>
      <w:pPr>
        <w:spacing w:after="120"/>
      </w:pPr>
      <w:r>
        <w:rPr>
          <w:b/>
          <w:bCs/>
        </w:rPr>
        <w:t xml:space="preserve">Owning domain: </w:t>
      </w:r>
      <w:r>
        <w:t xml:space="preserve">Knowledge &amp; Market Intelligence Domain</w:t>
      </w:r>
    </w:p>
    <w:p>
      <w:pPr>
        <w:spacing w:after="120"/>
      </w:pPr>
      <w:r>
        <w:rPr>
          <w:b/>
          <w:bCs/>
        </w:rPr>
        <w:t xml:space="preserve">Supporting capabilities (Phase A): </w:t>
      </w:r>
      <w:r>
        <w:t xml:space="preserve">Skill &amp; Knowledge Graph Management; Knowledge Runtime &amp; Context Assembly; Labor Market &amp; Salary Intelligence; Source &amp; Market Intelligence Curation (Phase A, Sections 7.7–7.10).</w:t>
      </w:r>
    </w:p>
    <w:p>
      <w:pPr>
        <w:spacing w:after="120"/>
      </w:pPr>
      <w:r>
        <w:rPr>
          <w:b/>
          <w:bCs/>
        </w:rPr>
        <w:t xml:space="preserve">Participating value streams (Phase C): </w:t>
      </w:r>
      <w:r>
        <w:t xml:space="preserve">Knowledge Evolution Value Stream — Level 2/3 (compound, internal).</w:t>
      </w:r>
    </w:p>
    <w:p>
      <w:pPr>
        <w:spacing w:after="120"/>
      </w:pPr>
      <w:r>
        <w:rPr>
          <w:b/>
          <w:bCs/>
        </w:rPr>
        <w:t xml:space="preserve">Business responsibilities: </w:t>
      </w:r>
      <w:r>
        <w:t xml:space="preserve">Populate and version the canonical taxonomy (job families, skills, roles, certifications); assemble runtime context for AI consumers; curate labor-market and salary signal.</w:t>
      </w:r>
    </w:p>
    <w:p>
      <w:pPr>
        <w:spacing w:after="120"/>
      </w:pPr>
      <w:r>
        <w:rPr>
          <w:b/>
          <w:bCs/>
        </w:rPr>
        <w:t xml:space="preserve">Inputs: </w:t>
      </w:r>
      <w:r>
        <w:t xml:space="preserve">hirerise_taxonomy.json canonical dataset; (target-state) live labor-market feeds; internal curation activity.</w:t>
      </w:r>
    </w:p>
    <w:p>
      <w:pPr>
        <w:spacing w:after="120"/>
      </w:pPr>
      <w:r>
        <w:rPr>
          <w:b/>
          <w:bCs/>
        </w:rPr>
        <w:t xml:space="preserve">Outputs: </w:t>
      </w:r>
      <w:r>
        <w:t xml:space="preserve">Canonical taxonomy and skill graph; assembled context objects consumed by AI Career Advisory and Career Recommendation services; salary/demand estimates.</w:t>
      </w:r>
    </w:p>
    <w:p>
      <w:pPr>
        <w:spacing w:after="120"/>
      </w:pPr>
      <w:r>
        <w:rPr>
          <w:b/>
          <w:bCs/>
        </w:rPr>
        <w:t xml:space="preserve">Business policies: </w:t>
      </w:r>
      <w:r>
        <w:t xml:space="preserve">Single canonical taxonomy as source of truth (job_families, seniority_levels, industries, skills, roles, role_skills, certifications, role_certifications).</w:t>
      </w:r>
    </w:p>
    <w:p>
      <w:pPr>
        <w:spacing w:after="120"/>
      </w:pPr>
      <w:r>
        <w:rPr>
          <w:b/>
          <w:bCs/>
        </w:rPr>
        <w:t xml:space="preserve">Business events: </w:t>
      </w:r>
      <w:r>
        <w:t xml:space="preserve">taxonomy.updated; knowledge_graph.node_added; market_signal.refreshed.</w:t>
      </w:r>
    </w:p>
    <w:p>
      <w:pPr>
        <w:spacing w:after="120"/>
      </w:pPr>
      <w:r>
        <w:rPr>
          <w:b/>
          <w:bCs/>
        </w:rPr>
        <w:t xml:space="preserve">KPIs: </w:t>
      </w:r>
      <w:r>
        <w:t xml:space="preserve">Taxonomy coverage vs. real-world job postings; skill-demand freshness once live-sourced; context-assembly latency.</w:t>
      </w:r>
    </w:p>
    <w:p>
      <w:pPr>
        <w:spacing w:after="120"/>
      </w:pPr>
      <w:r>
        <w:rPr>
          <w:b/>
          <w:bCs/>
        </w:rPr>
        <w:t xml:space="preserve">Current maturity: </w:t>
      </w:r>
      <w:r>
        <w:t xml:space="preserve">Level 2/3 — Emerging/Managed. Taxonomy is populated and consumed by careerGraph, roles, roleAliases, skillGraph; market signal input remains a mock collector, not a live feed.</w:t>
      </w:r>
    </w:p>
    <w:p>
      <w:pPr>
        <w:spacing w:after="120"/>
      </w:pPr>
      <w:r>
        <w:rPr>
          <w:b/>
          <w:bCs/>
        </w:rPr>
        <w:t xml:space="preserve">Target maturity: </w:t>
      </w:r>
      <w:r>
        <w:t xml:space="preserve">Level 4 — Integrated, gated on the same live labor-market feed trigger that gates Career Recommendation Service (Section 15 dependency).</w:t>
      </w:r>
    </w:p>
    <w:p>
      <w:pPr>
        <w:spacing w:after="120"/>
      </w:pPr>
      <w:r>
        <w:rPr>
          <w:b/>
          <w:bCs/>
        </w:rPr>
        <w:t xml:space="preserve">Business risks: </w:t>
      </w:r>
      <w:r>
        <w:t xml:space="preserve">The single widest-blast-radius technical gap in the enterprise business service portfolio: a mock market-data collector currently underlies Career Recommendation, Career Health, and Job Opportunity services simultaneously.</w:t>
      </w:r>
    </w:p>
    <w:p>
      <w:pPr>
        <w:spacing w:after="120"/>
      </w:pPr>
      <w:r>
        <w:rPr>
          <w:b/>
          <w:bCs/>
        </w:rPr>
        <w:t xml:space="preserve">Future evolution: </w:t>
      </w:r>
      <w:r>
        <w:t xml:space="preserve">Short-term: make data provenance (mock vs. live) visible wherever this service's output reaches a student. Medium-term: first live market-data/partner feed. Long-term: formal knowledge-curation workflow with a named steward role.</w:t>
      </w:r>
    </w:p>
    <w:p>
      <w:pPr>
        <w:pStyle w:val="Heading2"/>
        <w:spacing w:after="150" w:before="300"/>
      </w:pPr>
      <w:r>
        <w:t xml:space="preserve">5.06 Identity &amp; Access Service [Shared Enterprise / Governance]</w:t>
      </w:r>
    </w:p>
    <w:p>
      <w:pPr>
        <w:spacing w:after="120"/>
      </w:pPr>
      <w:r>
        <w:rPr>
          <w:b/>
          <w:bCs/>
        </w:rPr>
        <w:t xml:space="preserve">Purpose: </w:t>
      </w:r>
      <w:r>
        <w:t xml:space="preserve">Authenticate every platform user and enforce role-appropriate access to student data and platform functions.</w:t>
      </w:r>
    </w:p>
    <w:p>
      <w:pPr>
        <w:spacing w:after="120"/>
      </w:pPr>
      <w:r>
        <w:rPr>
          <w:b/>
          <w:bCs/>
        </w:rPr>
        <w:t xml:space="preserve">Business value: </w:t>
      </w:r>
      <w:r>
        <w:t xml:space="preserve">Is the trust foundation every other business service depends on to keep student data — most of it belonging to minors — appropriately protected.</w:t>
      </w:r>
    </w:p>
    <w:p>
      <w:pPr>
        <w:spacing w:after="120"/>
      </w:pPr>
      <w:r>
        <w:rPr>
          <w:b/>
          <w:bCs/>
        </w:rPr>
        <w:t xml:space="preserve">Primary stakeholders: </w:t>
      </w:r>
      <w:r>
        <w:t xml:space="preserve">Students; platform administrators.</w:t>
      </w:r>
    </w:p>
    <w:p>
      <w:pPr>
        <w:spacing w:after="120"/>
      </w:pPr>
      <w:r>
        <w:rPr>
          <w:b/>
          <w:bCs/>
        </w:rPr>
        <w:t xml:space="preserve">Secondary stakeholders: </w:t>
      </w:r>
      <w:r>
        <w:t xml:space="preserve">Every other business service in the portfolio, as a consumer of identity/authorization decisions.</w:t>
      </w:r>
    </w:p>
    <w:p>
      <w:pPr>
        <w:spacing w:after="120"/>
      </w:pPr>
      <w:r>
        <w:rPr>
          <w:b/>
          <w:bCs/>
        </w:rPr>
        <w:t xml:space="preserve">Owning domain: </w:t>
      </w:r>
      <w:r>
        <w:t xml:space="preserve">Platform Shared Services Domain</w:t>
      </w:r>
    </w:p>
    <w:p>
      <w:pPr>
        <w:spacing w:after="120"/>
      </w:pPr>
      <w:r>
        <w:rPr>
          <w:b/>
          <w:bCs/>
        </w:rPr>
        <w:t xml:space="preserve">Supporting capabilities (Phase A): </w:t>
      </w:r>
      <w:r>
        <w:t xml:space="preserve">Identity, Roles &amp; Access Administration (Phase A, Section 7).</w:t>
      </w:r>
    </w:p>
    <w:p>
      <w:pPr>
        <w:spacing w:after="120"/>
      </w:pPr>
      <w:r>
        <w:rPr>
          <w:b/>
          <w:bCs/>
        </w:rPr>
        <w:t xml:space="preserve">Participating value streams (Phase C): </w:t>
      </w:r>
      <w:r>
        <w:t xml:space="preserve">Platform Trust, Identity &amp; Governance Value Stream — Level 3 (enabling/horizontal).</w:t>
      </w:r>
    </w:p>
    <w:p>
      <w:pPr>
        <w:spacing w:after="120"/>
      </w:pPr>
      <w:r>
        <w:rPr>
          <w:b/>
          <w:bCs/>
        </w:rPr>
        <w:t xml:space="preserve">Business responsibilities: </w:t>
      </w:r>
      <w:r>
        <w:t xml:space="preserve">Authenticate users; issue and validate sessions; enforce role-based access control; protect minor student data by default (EEP-01 Phase B).</w:t>
      </w:r>
    </w:p>
    <w:p>
      <w:pPr>
        <w:spacing w:after="120"/>
      </w:pPr>
      <w:r>
        <w:rPr>
          <w:b/>
          <w:bCs/>
        </w:rPr>
        <w:t xml:space="preserve">Inputs: </w:t>
      </w:r>
      <w:r>
        <w:t xml:space="preserve">User credentials; role assignments.</w:t>
      </w:r>
    </w:p>
    <w:p>
      <w:pPr>
        <w:spacing w:after="120"/>
      </w:pPr>
      <w:r>
        <w:rPr>
          <w:b/>
          <w:bCs/>
        </w:rPr>
        <w:t xml:space="preserve">Outputs: </w:t>
      </w:r>
      <w:r>
        <w:t xml:space="preserve">Authentication/authorization decisions consumed by every other business service.</w:t>
      </w:r>
    </w:p>
    <w:p>
      <w:pPr>
        <w:spacing w:after="120"/>
      </w:pPr>
      <w:r>
        <w:rPr>
          <w:b/>
          <w:bCs/>
        </w:rPr>
        <w:t xml:space="preserve">Business policies: </w:t>
      </w:r>
      <w:r>
        <w:t xml:space="preserve">Protective-by-default data posture for a predominantly under-18 user base (EEP-01 Phase B).</w:t>
      </w:r>
    </w:p>
    <w:p>
      <w:pPr>
        <w:spacing w:after="120"/>
      </w:pPr>
      <w:r>
        <w:rPr>
          <w:b/>
          <w:bCs/>
        </w:rPr>
        <w:t xml:space="preserve">Business events: </w:t>
      </w:r>
      <w:r>
        <w:t xml:space="preserve">auth.session.created; auth.access.denied; auth.role.changed.</w:t>
      </w:r>
    </w:p>
    <w:p>
      <w:pPr>
        <w:spacing w:after="120"/>
      </w:pPr>
      <w:r>
        <w:rPr>
          <w:b/>
          <w:bCs/>
        </w:rPr>
        <w:t xml:space="preserve">KPIs: </w:t>
      </w:r>
      <w:r>
        <w:t xml:space="preserve">Authentication success rate; authorization-denial-on-legitimate-request rate (target: zero); mean time to revoke access.</w:t>
      </w:r>
    </w:p>
    <w:p>
      <w:pPr>
        <w:spacing w:after="120"/>
      </w:pPr>
      <w:r>
        <w:rPr>
          <w:b/>
          <w:bCs/>
        </w:rPr>
        <w:t xml:space="preserve">Current maturity: </w:t>
      </w:r>
      <w:r>
        <w:t xml:space="preserve">Level 3 — Managed, per EEP-01 Phase B's completed security architecture.</w:t>
      </w:r>
    </w:p>
    <w:p>
      <w:pPr>
        <w:spacing w:after="120"/>
      </w:pPr>
      <w:r>
        <w:rPr>
          <w:b/>
          <w:bCs/>
        </w:rPr>
        <w:t xml:space="preserve">Target maturity: </w:t>
      </w:r>
      <w:r>
        <w:t xml:space="preserve">Level 4 — Integrated, once role administration is decoupled from the general engineering function into a dedicated stewardship responsibility (Section 8 ownership triggers).</w:t>
      </w:r>
    </w:p>
    <w:p>
      <w:pPr>
        <w:spacing w:after="120"/>
      </w:pPr>
      <w:r>
        <w:rPr>
          <w:b/>
          <w:bCs/>
        </w:rPr>
        <w:t xml:space="preserve">Business risks: </w:t>
      </w:r>
      <w:r>
        <w:t xml:space="preserve">Credential/secret material was found stored as plaintext files directly in the repository during this investigation, rather than in a managed secrets store — a governance and security finding requiring immediate remediation outside this document's scope (consistent with EEP-02 Phase A, Section 16.5).</w:t>
      </w:r>
    </w:p>
    <w:p>
      <w:pPr>
        <w:spacing w:after="120"/>
      </w:pPr>
      <w:r>
        <w:rPr>
          <w:b/>
          <w:bCs/>
        </w:rPr>
        <w:t xml:space="preserve">Future evolution: </w:t>
      </w:r>
      <w:r>
        <w:t xml:space="preserve">Short-term: rotate and relocate any plaintext credential material to a managed secrets store, independent of roadmap timing. Medium-term: dedicated access-stewardship ownership, triggered by headcount growth (EEP-01 Phase H).</w:t>
      </w:r>
    </w:p>
    <w:p>
      <w:pPr>
        <w:pStyle w:val="Heading2"/>
        <w:spacing w:after="150" w:before="300"/>
      </w:pPr>
      <w:r>
        <w:t xml:space="preserve">5.13 Tier-2 Business Services — Condensed Catalog</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200"/>
        <w:gridCol w:w="2500"/>
      </w:tblGrid>
      <w:tr>
        <w:trPr>
          <w:tblHeader/>
        </w:trPr>
        <w:tc>
          <w:tcPr>
            <w:tcW w:type="dxa" w:w="2000"/>
            <w:shd w:fill="1F3864" w:color="auto" w:val="clear"/>
            <w:vAlign w:val="center"/>
          </w:tcPr>
          <w:p>
            <w:r>
              <w:rPr>
                <w:b/>
                <w:bCs/>
                <w:color w:val="FFFFFF"/>
                <w:sz w:val="20"/>
                <w:szCs w:val="20"/>
              </w:rPr>
              <w:t xml:space="preserve">Service</w:t>
            </w:r>
          </w:p>
        </w:tc>
        <w:tc>
          <w:tcPr>
            <w:tcW w:type="dxa" w:w="2000"/>
            <w:shd w:fill="1F3864" w:color="auto" w:val="clear"/>
            <w:vAlign w:val="center"/>
          </w:tcPr>
          <w:p>
            <w:r>
              <w:rPr>
                <w:b/>
                <w:bCs/>
                <w:color w:val="FFFFFF"/>
                <w:sz w:val="20"/>
                <w:szCs w:val="20"/>
              </w:rPr>
              <w:t xml:space="preserve">Owning domain</w:t>
            </w:r>
          </w:p>
        </w:tc>
        <w:tc>
          <w:tcPr>
            <w:tcW w:type="dxa" w:w="2700"/>
            <w:shd w:fill="1F3864" w:color="auto" w:val="clear"/>
            <w:vAlign w:val="center"/>
          </w:tcPr>
          <w:p>
            <w:r>
              <w:rPr>
                <w:b/>
                <w:bCs/>
                <w:color w:val="FFFFFF"/>
                <w:sz w:val="20"/>
                <w:szCs w:val="20"/>
              </w:rPr>
              <w:t xml:space="preserve">Supporting capabilities</w:t>
            </w:r>
          </w:p>
        </w:tc>
        <w:tc>
          <w:tcPr>
            <w:tcW w:type="dxa" w:w="2200"/>
            <w:shd w:fill="1F3864" w:color="auto" w:val="clear"/>
            <w:vAlign w:val="center"/>
          </w:tcPr>
          <w:p>
            <w:r>
              <w:rPr>
                <w:b/>
                <w:bCs/>
                <w:color w:val="FFFFFF"/>
                <w:sz w:val="20"/>
                <w:szCs w:val="20"/>
              </w:rPr>
              <w:t xml:space="preserve">Maturity</w:t>
            </w:r>
          </w:p>
        </w:tc>
        <w:tc>
          <w:tcPr>
            <w:tcW w:type="dxa" w:w="2500"/>
            <w:shd w:fill="1F3864" w:color="auto" w:val="clear"/>
            <w:vAlign w:val="center"/>
          </w:tcPr>
          <w:p>
            <w:r>
              <w:rPr>
                <w:b/>
                <w:bCs/>
                <w:color w:val="FFFFFF"/>
                <w:sz w:val="20"/>
                <w:szCs w:val="20"/>
              </w:rPr>
              <w:t xml:space="preserve">Key business risk</w:t>
            </w:r>
          </w:p>
        </w:tc>
      </w:tr>
      <w:tr>
        <w:tc>
          <w:tcPr>
            <w:tcW w:type="dxa" w:w="2000"/>
            <w:vAlign w:val="center"/>
          </w:tcPr>
          <w:p>
            <w:r>
              <w:rPr>
                <w:b w:val="false"/>
                <w:bCs w:val="false"/>
                <w:sz w:val="20"/>
                <w:szCs w:val="20"/>
              </w:rPr>
              <w:t xml:space="preserve">Career Health Service</w:t>
            </w:r>
          </w:p>
        </w:tc>
        <w:tc>
          <w:tcPr>
            <w:tcW w:type="dxa" w:w="2000"/>
            <w:vAlign w:val="center"/>
          </w:tcPr>
          <w:p>
            <w:r>
              <w:rPr>
                <w:b w:val="false"/>
                <w:bCs w:val="false"/>
                <w:sz w:val="20"/>
                <w:szCs w:val="20"/>
              </w:rPr>
              <w:t xml:space="preserve">Career Intelligence Domain</w:t>
            </w:r>
          </w:p>
        </w:tc>
        <w:tc>
          <w:tcPr>
            <w:tcW w:type="dxa" w:w="2700"/>
            <w:vAlign w:val="center"/>
          </w:tcPr>
          <w:p>
            <w:r>
              <w:rPr>
                <w:b w:val="false"/>
                <w:bCs w:val="false"/>
                <w:sz w:val="20"/>
                <w:szCs w:val="20"/>
              </w:rPr>
              <w:t xml:space="preserve">Career Health Assessment</w:t>
            </w:r>
          </w:p>
        </w:tc>
        <w:tc>
          <w:tcPr>
            <w:tcW w:type="dxa" w:w="2200"/>
            <w:vAlign w:val="center"/>
          </w:tcPr>
          <w:p>
            <w:r>
              <w:rPr>
                <w:b w:val="false"/>
                <w:bCs w:val="false"/>
                <w:sz w:val="20"/>
                <w:szCs w:val="20"/>
              </w:rPr>
              <w:t xml:space="preserve">L2/3 — dual-implementation transition (careerHealthIndex + chiV2)</w:t>
            </w:r>
          </w:p>
        </w:tc>
        <w:tc>
          <w:tcPr>
            <w:tcW w:type="dxa" w:w="2500"/>
            <w:vAlign w:val="center"/>
          </w:tcPr>
          <w:p>
            <w:r>
              <w:rPr>
                <w:b w:val="false"/>
                <w:bCs w:val="false"/>
                <w:sz w:val="20"/>
                <w:szCs w:val="20"/>
              </w:rPr>
              <w:t xml:space="preserve">Score inconsistency risk if both implementations are ever exposed to the same population without a clean cutover</w:t>
            </w:r>
          </w:p>
        </w:tc>
      </w:tr>
      <w:tr>
        <w:tc>
          <w:tcPr>
            <w:tcW w:type="dxa" w:w="2000"/>
            <w:shd w:fill="EDEDED" w:color="auto" w:val="clear"/>
            <w:vAlign w:val="center"/>
          </w:tcPr>
          <w:p>
            <w:r>
              <w:rPr>
                <w:b w:val="false"/>
                <w:bCs w:val="false"/>
                <w:sz w:val="20"/>
                <w:szCs w:val="20"/>
              </w:rPr>
              <w:t xml:space="preserve">Career Planning &amp; Simulation Service</w:t>
            </w:r>
          </w:p>
        </w:tc>
        <w:tc>
          <w:tcPr>
            <w:tcW w:type="dxa" w:w="2000"/>
            <w:shd w:fill="EDEDED" w:color="auto" w:val="clear"/>
            <w:vAlign w:val="center"/>
          </w:tcPr>
          <w:p>
            <w:r>
              <w:rPr>
                <w:b w:val="false"/>
                <w:bCs w:val="false"/>
                <w:sz w:val="20"/>
                <w:szCs w:val="20"/>
              </w:rPr>
              <w:t xml:space="preserve">Career Intelligence Domain</w:t>
            </w:r>
          </w:p>
        </w:tc>
        <w:tc>
          <w:tcPr>
            <w:tcW w:type="dxa" w:w="2700"/>
            <w:shd w:fill="EDEDED" w:color="auto" w:val="clear"/>
            <w:vAlign w:val="center"/>
          </w:tcPr>
          <w:p>
            <w:r>
              <w:rPr>
                <w:b w:val="false"/>
                <w:bCs w:val="false"/>
                <w:sz w:val="20"/>
                <w:szCs w:val="20"/>
              </w:rPr>
              <w:t xml:space="preserve">Career Digital Twin &amp; Simulation</w:t>
            </w:r>
          </w:p>
        </w:tc>
        <w:tc>
          <w:tcPr>
            <w:tcW w:type="dxa" w:w="2200"/>
            <w:shd w:fill="EDEDED" w:color="auto" w:val="clear"/>
            <w:vAlign w:val="center"/>
          </w:tcPr>
          <w:p>
            <w:r>
              <w:rPr>
                <w:b w:val="false"/>
                <w:bCs w:val="false"/>
                <w:sz w:val="20"/>
                <w:szCs w:val="20"/>
              </w:rPr>
              <w:t xml:space="preserve">L1 — Initial. Module exists as a defined public interface; no populated simulation engine evidenced yet</w:t>
            </w:r>
          </w:p>
        </w:tc>
        <w:tc>
          <w:tcPr>
            <w:tcW w:type="dxa" w:w="2500"/>
            <w:shd w:fill="EDEDED" w:color="auto" w:val="clear"/>
            <w:vAlign w:val="center"/>
          </w:tcPr>
          <w:p>
            <w:r>
              <w:rPr>
                <w:b w:val="false"/>
                <w:bCs w:val="false"/>
                <w:sz w:val="20"/>
                <w:szCs w:val="20"/>
              </w:rPr>
              <w:t xml:space="preserve">Presenting simulation as prediction rather than scenario exploration could create false certainty for a predominantly minor user base</w:t>
            </w:r>
          </w:p>
        </w:tc>
      </w:tr>
      <w:tr>
        <w:tc>
          <w:tcPr>
            <w:tcW w:type="dxa" w:w="2000"/>
            <w:vAlign w:val="center"/>
          </w:tcPr>
          <w:p>
            <w:r>
              <w:rPr>
                <w:b w:val="false"/>
                <w:bCs w:val="false"/>
                <w:sz w:val="20"/>
                <w:szCs w:val="20"/>
              </w:rPr>
              <w:t xml:space="preserve">Resume Intelligence Service</w:t>
            </w:r>
          </w:p>
        </w:tc>
        <w:tc>
          <w:tcPr>
            <w:tcW w:type="dxa" w:w="2000"/>
            <w:vAlign w:val="center"/>
          </w:tcPr>
          <w:p>
            <w:r>
              <w:rPr>
                <w:b w:val="false"/>
                <w:bCs w:val="false"/>
                <w:sz w:val="20"/>
                <w:szCs w:val="20"/>
              </w:rPr>
              <w:t xml:space="preserve">Candidate Experience &amp; Growth Domain</w:t>
            </w:r>
          </w:p>
        </w:tc>
        <w:tc>
          <w:tcPr>
            <w:tcW w:type="dxa" w:w="2700"/>
            <w:vAlign w:val="center"/>
          </w:tcPr>
          <w:p>
            <w:r>
              <w:rPr>
                <w:b w:val="false"/>
                <w:bCs w:val="false"/>
                <w:sz w:val="20"/>
                <w:szCs w:val="20"/>
              </w:rPr>
              <w:t xml:space="preserve">Candidate Document Generation</w:t>
            </w:r>
          </w:p>
        </w:tc>
        <w:tc>
          <w:tcPr>
            <w:tcW w:type="dxa" w:w="2200"/>
            <w:vAlign w:val="center"/>
          </w:tcPr>
          <w:p>
            <w:r>
              <w:rPr>
                <w:b w:val="false"/>
                <w:bCs w:val="false"/>
                <w:sz w:val="20"/>
                <w:szCs w:val="20"/>
              </w:rPr>
              <w:t xml:space="preserve">L3 — Managed. Dedicated backend (resume, resumeParser) and matching front-end upload path evidenced</w:t>
            </w:r>
          </w:p>
        </w:tc>
        <w:tc>
          <w:tcPr>
            <w:tcW w:type="dxa" w:w="2500"/>
            <w:vAlign w:val="center"/>
          </w:tcPr>
          <w:p>
            <w:r>
              <w:rPr>
                <w:b w:val="false"/>
                <w:bCs w:val="false"/>
                <w:sz w:val="20"/>
                <w:szCs w:val="20"/>
              </w:rPr>
              <w:t xml:space="preserve">Document quality inherits any upstream Academic Profile or Career Recommendation data-quality issue</w:t>
            </w:r>
          </w:p>
        </w:tc>
      </w:tr>
      <w:tr>
        <w:tc>
          <w:tcPr>
            <w:tcW w:type="dxa" w:w="2000"/>
            <w:shd w:fill="EDEDED" w:color="auto" w:val="clear"/>
            <w:vAlign w:val="center"/>
          </w:tcPr>
          <w:p>
            <w:r>
              <w:rPr>
                <w:b w:val="false"/>
                <w:bCs w:val="false"/>
                <w:sz w:val="20"/>
                <w:szCs w:val="20"/>
              </w:rPr>
              <w:t xml:space="preserve">Job Opportunity Service</w:t>
            </w:r>
          </w:p>
        </w:tc>
        <w:tc>
          <w:tcPr>
            <w:tcW w:type="dxa" w:w="2000"/>
            <w:shd w:fill="EDEDED" w:color="auto" w:val="clear"/>
            <w:vAlign w:val="center"/>
          </w:tcPr>
          <w:p>
            <w:r>
              <w:rPr>
                <w:b w:val="false"/>
                <w:bCs w:val="false"/>
                <w:sz w:val="20"/>
                <w:szCs w:val="20"/>
              </w:rPr>
              <w:t xml:space="preserve">Career Intelligence Domain</w:t>
            </w:r>
          </w:p>
        </w:tc>
        <w:tc>
          <w:tcPr>
            <w:tcW w:type="dxa" w:w="2700"/>
            <w:shd w:fill="EDEDED" w:color="auto" w:val="clear"/>
            <w:vAlign w:val="center"/>
          </w:tcPr>
          <w:p>
            <w:r>
              <w:rPr>
                <w:b w:val="false"/>
                <w:bCs w:val="false"/>
                <w:sz w:val="20"/>
                <w:szCs w:val="20"/>
              </w:rPr>
              <w:t xml:space="preserve">Career Opportunity Radar</w:t>
            </w:r>
          </w:p>
        </w:tc>
        <w:tc>
          <w:tcPr>
            <w:tcW w:type="dxa" w:w="2200"/>
            <w:shd w:fill="EDEDED" w:color="auto" w:val="clear"/>
            <w:vAlign w:val="center"/>
          </w:tcPr>
          <w:p>
            <w:r>
              <w:rPr>
                <w:b w:val="false"/>
                <w:bCs w:val="false"/>
                <w:sz w:val="20"/>
                <w:szCs w:val="20"/>
              </w:rPr>
              <w:t xml:space="preserve">L2 — Emerging. Routed and named, but structurally capped by the same mock labor-market input as Knowledge Intelligence Service</w:t>
            </w:r>
          </w:p>
        </w:tc>
        <w:tc>
          <w:tcPr>
            <w:tcW w:type="dxa" w:w="2500"/>
            <w:shd w:fill="EDEDED" w:color="auto" w:val="clear"/>
            <w:vAlign w:val="center"/>
          </w:tcPr>
          <w:p>
            <w:r>
              <w:rPr>
                <w:b w:val="false"/>
                <w:bCs w:val="false"/>
                <w:sz w:val="20"/>
                <w:szCs w:val="20"/>
              </w:rPr>
              <w:t xml:space="preserve">Cannot exceed Level 2 until Knowledge Intelligence Service's live-feed gap (Section 15) closes</w:t>
            </w:r>
          </w:p>
        </w:tc>
      </w:tr>
      <w:tr>
        <w:tc>
          <w:tcPr>
            <w:tcW w:type="dxa" w:w="2000"/>
            <w:vAlign w:val="center"/>
          </w:tcPr>
          <w:p>
            <w:r>
              <w:rPr>
                <w:b w:val="false"/>
                <w:bCs w:val="false"/>
                <w:sz w:val="20"/>
                <w:szCs w:val="20"/>
              </w:rPr>
              <w:t xml:space="preserve">Employer Collaboration Service</w:t>
            </w:r>
          </w:p>
        </w:tc>
        <w:tc>
          <w:tcPr>
            <w:tcW w:type="dxa" w:w="2000"/>
            <w:vAlign w:val="center"/>
          </w:tcPr>
          <w:p>
            <w:r>
              <w:rPr>
                <w:b w:val="false"/>
                <w:bCs w:val="false"/>
                <w:sz w:val="20"/>
                <w:szCs w:val="20"/>
              </w:rPr>
              <w:t xml:space="preserve">Employer Domain</w:t>
            </w:r>
          </w:p>
        </w:tc>
        <w:tc>
          <w:tcPr>
            <w:tcW w:type="dxa" w:w="2700"/>
            <w:vAlign w:val="center"/>
          </w:tcPr>
          <w:p>
            <w:r>
              <w:rPr>
                <w:b w:val="false"/>
                <w:bCs w:val="false"/>
                <w:sz w:val="20"/>
                <w:szCs w:val="20"/>
              </w:rPr>
              <w:t xml:space="preserve">Employer Integration &amp; Opportunity Ingestion</w:t>
            </w:r>
          </w:p>
        </w:tc>
        <w:tc>
          <w:tcPr>
            <w:tcW w:type="dxa" w:w="2200"/>
            <w:vAlign w:val="center"/>
          </w:tcPr>
          <w:p>
            <w:r>
              <w:rPr>
                <w:b w:val="false"/>
                <w:bCs w:val="false"/>
                <w:sz w:val="20"/>
                <w:szCs w:val="20"/>
              </w:rPr>
              <w:t xml:space="preserve">L1 — Initial. Routed modules exist (employer, opportunities) but no signed external partner integration evidenced</w:t>
            </w:r>
          </w:p>
        </w:tc>
        <w:tc>
          <w:tcPr>
            <w:tcW w:type="dxa" w:w="2500"/>
            <w:vAlign w:val="center"/>
          </w:tcPr>
          <w:p>
            <w:r>
              <w:rPr>
                <w:b w:val="false"/>
                <w:bCs w:val="false"/>
                <w:sz w:val="20"/>
                <w:szCs w:val="20"/>
              </w:rPr>
              <w:t xml:space="preserve">The platform's largest strategic gap; monetization messaging implying activation carries reputational and investor-relations risk</w:t>
            </w:r>
          </w:p>
        </w:tc>
      </w:tr>
      <w:tr>
        <w:tc>
          <w:tcPr>
            <w:tcW w:type="dxa" w:w="2000"/>
            <w:shd w:fill="EDEDED" w:color="auto" w:val="clear"/>
            <w:vAlign w:val="center"/>
          </w:tcPr>
          <w:p>
            <w:r>
              <w:rPr>
                <w:b w:val="false"/>
                <w:bCs w:val="false"/>
                <w:sz w:val="20"/>
                <w:szCs w:val="20"/>
              </w:rPr>
              <w:t xml:space="preserve">Growth &amp; Engagement Service</w:t>
            </w:r>
          </w:p>
        </w:tc>
        <w:tc>
          <w:tcPr>
            <w:tcW w:type="dxa" w:w="2000"/>
            <w:shd w:fill="EDEDED" w:color="auto" w:val="clear"/>
            <w:vAlign w:val="center"/>
          </w:tcPr>
          <w:p>
            <w:r>
              <w:rPr>
                <w:b w:val="false"/>
                <w:bCs w:val="false"/>
                <w:sz w:val="20"/>
                <w:szCs w:val="20"/>
              </w:rPr>
              <w:t xml:space="preserve">Candidate Experience &amp; Growth Domain</w:t>
            </w:r>
          </w:p>
        </w:tc>
        <w:tc>
          <w:tcPr>
            <w:tcW w:type="dxa" w:w="2700"/>
            <w:shd w:fill="EDEDED" w:color="auto" w:val="clear"/>
            <w:vAlign w:val="center"/>
          </w:tcPr>
          <w:p>
            <w:r>
              <w:rPr>
                <w:b w:val="false"/>
                <w:bCs w:val="false"/>
                <w:sz w:val="20"/>
                <w:szCs w:val="20"/>
              </w:rPr>
              <w:t xml:space="preserve">Growth &amp; Progress Tracking; Daily Engagement &amp; Conversion</w:t>
            </w:r>
          </w:p>
        </w:tc>
        <w:tc>
          <w:tcPr>
            <w:tcW w:type="dxa" w:w="2200"/>
            <w:shd w:fill="EDEDED" w:color="auto" w:val="clear"/>
            <w:vAlign w:val="center"/>
          </w:tcPr>
          <w:p>
            <w:r>
              <w:rPr>
                <w:b w:val="false"/>
                <w:bCs w:val="false"/>
                <w:sz w:val="20"/>
                <w:szCs w:val="20"/>
              </w:rPr>
              <w:t xml:space="preserve">L2 — Emerging. Evidenced as implemented; outcome impact not yet validated against business results</w:t>
            </w:r>
          </w:p>
        </w:tc>
        <w:tc>
          <w:tcPr>
            <w:tcW w:type="dxa" w:w="2500"/>
            <w:shd w:fill="EDEDED" w:color="auto" w:val="clear"/>
            <w:vAlign w:val="center"/>
          </w:tcPr>
          <w:p>
            <w:r>
              <w:rPr>
                <w:b w:val="false"/>
                <w:bCs w:val="false"/>
                <w:sz w:val="20"/>
                <w:szCs w:val="20"/>
              </w:rPr>
              <w:t xml:space="preserve">Engagement mechanics without validated outcome linkage risk optimizing for activity rather than student benefit</w:t>
            </w:r>
          </w:p>
        </w:tc>
      </w:tr>
      <w:tr>
        <w:tc>
          <w:tcPr>
            <w:tcW w:type="dxa" w:w="2000"/>
            <w:vAlign w:val="center"/>
          </w:tcPr>
          <w:p>
            <w:r>
              <w:rPr>
                <w:b w:val="false"/>
                <w:bCs w:val="false"/>
                <w:sz w:val="20"/>
                <w:szCs w:val="20"/>
              </w:rPr>
              <w:t xml:space="preserve">Platform Administration Service</w:t>
            </w:r>
          </w:p>
        </w:tc>
        <w:tc>
          <w:tcPr>
            <w:tcW w:type="dxa" w:w="2000"/>
            <w:vAlign w:val="center"/>
          </w:tcPr>
          <w:p>
            <w:r>
              <w:rPr>
                <w:b w:val="false"/>
                <w:bCs w:val="false"/>
                <w:sz w:val="20"/>
                <w:szCs w:val="20"/>
              </w:rPr>
              <w:t xml:space="preserve">Platform Shared Services Domain</w:t>
            </w:r>
          </w:p>
        </w:tc>
        <w:tc>
          <w:tcPr>
            <w:tcW w:type="dxa" w:w="2700"/>
            <w:vAlign w:val="center"/>
          </w:tcPr>
          <w:p>
            <w:r>
              <w:rPr>
                <w:b w:val="false"/>
                <w:bCs w:val="false"/>
                <w:sz w:val="20"/>
                <w:szCs w:val="20"/>
              </w:rPr>
              <w:t xml:space="preserve">Platform Configuration &amp; Secrets Stewardship</w:t>
            </w:r>
          </w:p>
        </w:tc>
        <w:tc>
          <w:tcPr>
            <w:tcW w:type="dxa" w:w="2200"/>
            <w:vAlign w:val="center"/>
          </w:tcPr>
          <w:p>
            <w:r>
              <w:rPr>
                <w:b w:val="false"/>
                <w:bCs w:val="false"/>
                <w:sz w:val="20"/>
                <w:szCs w:val="20"/>
              </w:rPr>
              <w:t xml:space="preserve">L1/2 — plaintext credential files found stored directly in the repository during this investigation, rather than in a managed secrets store</w:t>
            </w:r>
          </w:p>
        </w:tc>
        <w:tc>
          <w:tcPr>
            <w:tcW w:type="dxa" w:w="2500"/>
            <w:vAlign w:val="center"/>
          </w:tcPr>
          <w:p>
            <w:r>
              <w:rPr>
                <w:b w:val="false"/>
                <w:bCs w:val="false"/>
                <w:sz w:val="20"/>
                <w:szCs w:val="20"/>
              </w:rPr>
              <w:t xml:space="preserve">Immediate security-hygiene finding; requires remediation independent of this roadmap (see Section 15, BSV-06)</w:t>
            </w:r>
          </w:p>
        </w:tc>
      </w:tr>
      <w:tr>
        <w:tc>
          <w:tcPr>
            <w:tcW w:type="dxa" w:w="2000"/>
            <w:shd w:fill="EDEDED" w:color="auto" w:val="clear"/>
            <w:vAlign w:val="center"/>
          </w:tcPr>
          <w:p>
            <w:r>
              <w:rPr>
                <w:b w:val="false"/>
                <w:bCs w:val="false"/>
                <w:sz w:val="20"/>
                <w:szCs w:val="20"/>
              </w:rPr>
              <w:t xml:space="preserve">Analytics &amp; Reporting Service</w:t>
            </w:r>
          </w:p>
        </w:tc>
        <w:tc>
          <w:tcPr>
            <w:tcW w:type="dxa" w:w="2000"/>
            <w:shd w:fill="EDEDED" w:color="auto" w:val="clear"/>
            <w:vAlign w:val="center"/>
          </w:tcPr>
          <w:p>
            <w:r>
              <w:rPr>
                <w:b w:val="false"/>
                <w:bCs w:val="false"/>
                <w:sz w:val="20"/>
                <w:szCs w:val="20"/>
              </w:rPr>
              <w:t xml:space="preserve">Platform Shared Services Domain</w:t>
            </w:r>
          </w:p>
        </w:tc>
        <w:tc>
          <w:tcPr>
            <w:tcW w:type="dxa" w:w="2700"/>
            <w:shd w:fill="EDEDED" w:color="auto" w:val="clear"/>
            <w:vAlign w:val="center"/>
          </w:tcPr>
          <w:p>
            <w:r>
              <w:rPr>
                <w:b w:val="false"/>
                <w:bCs w:val="false"/>
                <w:sz w:val="20"/>
                <w:szCs w:val="20"/>
              </w:rPr>
              <w:t xml:space="preserve">User Activity &amp; Behavioral Analytics</w:t>
            </w:r>
          </w:p>
        </w:tc>
        <w:tc>
          <w:tcPr>
            <w:tcW w:type="dxa" w:w="2200"/>
            <w:shd w:fill="EDEDED" w:color="auto" w:val="clear"/>
            <w:vAlign w:val="center"/>
          </w:tcPr>
          <w:p>
            <w:r>
              <w:rPr>
                <w:b w:val="false"/>
                <w:bCs w:val="false"/>
                <w:sz w:val="20"/>
                <w:szCs w:val="20"/>
              </w:rPr>
              <w:t xml:space="preserve">L2/3 — Emerging/Managed. Telemetry modules evidenced (front/src/telemetry)</w:t>
            </w:r>
          </w:p>
        </w:tc>
        <w:tc>
          <w:tcPr>
            <w:tcW w:type="dxa" w:w="2500"/>
            <w:shd w:fill="EDEDED" w:color="auto" w:val="clear"/>
            <w:vAlign w:val="center"/>
          </w:tcPr>
          <w:p>
            <w:r>
              <w:rPr>
                <w:b w:val="false"/>
                <w:bCs w:val="false"/>
                <w:sz w:val="20"/>
                <w:szCs w:val="20"/>
              </w:rPr>
              <w:t xml:space="preserve">No material risk beyond general data-quality dependency on upstream services</w:t>
            </w:r>
          </w:p>
        </w:tc>
      </w:tr>
      <w:tr>
        <w:tc>
          <w:tcPr>
            <w:tcW w:type="dxa" w:w="2000"/>
            <w:vAlign w:val="center"/>
          </w:tcPr>
          <w:p>
            <w:r>
              <w:rPr>
                <w:b w:val="false"/>
                <w:bCs w:val="false"/>
                <w:sz w:val="20"/>
                <w:szCs w:val="20"/>
              </w:rPr>
              <w:t xml:space="preserve">Governance &amp; Assurance Service</w:t>
            </w:r>
          </w:p>
        </w:tc>
        <w:tc>
          <w:tcPr>
            <w:tcW w:type="dxa" w:w="2000"/>
            <w:vAlign w:val="center"/>
          </w:tcPr>
          <w:p>
            <w:r>
              <w:rPr>
                <w:b w:val="false"/>
                <w:bCs w:val="false"/>
                <w:sz w:val="20"/>
                <w:szCs w:val="20"/>
              </w:rPr>
              <w:t xml:space="preserve">Governance Domain</w:t>
            </w:r>
          </w:p>
        </w:tc>
        <w:tc>
          <w:tcPr>
            <w:tcW w:type="dxa" w:w="2700"/>
            <w:vAlign w:val="center"/>
          </w:tcPr>
          <w:p>
            <w:r>
              <w:rPr>
                <w:b w:val="false"/>
                <w:bCs w:val="false"/>
                <w:sz w:val="20"/>
                <w:szCs w:val="20"/>
              </w:rPr>
              <w:t xml:space="preserve">Architecture &amp; Engineering Standards Conformance; Intelligence Quality &amp; Drift Monitoring; AI Quality &amp; Confidence Governance</w:t>
            </w:r>
          </w:p>
        </w:tc>
        <w:tc>
          <w:tcPr>
            <w:tcW w:type="dxa" w:w="2200"/>
            <w:vAlign w:val="center"/>
          </w:tcPr>
          <w:p>
            <w:r>
              <w:rPr>
                <w:b w:val="false"/>
                <w:bCs w:val="false"/>
                <w:sz w:val="20"/>
                <w:szCs w:val="20"/>
              </w:rPr>
              <w:t xml:space="preserve">L2/3 — governance tooling exists but has partially drifted from what it claims to enforce (EEP-01 Phase J: a misnamed CI working directory, a missing dependency-cruiser config, a missing type-check script, a phantom drift-check script)</w:t>
            </w:r>
          </w:p>
        </w:tc>
        <w:tc>
          <w:tcPr>
            <w:tcW w:type="dxa" w:w="2500"/>
            <w:vAlign w:val="center"/>
          </w:tcPr>
          <w:p>
            <w:r>
              <w:rPr>
                <w:b w:val="false"/>
                <w:bCs w:val="false"/>
                <w:sz w:val="20"/>
                <w:szCs w:val="20"/>
              </w:rPr>
              <w:t xml:space="preserve">Governance drift is a capability-adjacent risk in its own right — the function meant to catch drift has drifted</w:t>
            </w:r>
          </w:p>
        </w:tc>
      </w:tr>
    </w:tbl>
    <w:p>
      <w:pPr>
        <w:pStyle w:val="Heading2"/>
        <w:spacing w:after="150" w:before="300"/>
      </w:pPr>
      <w:r>
        <w:t xml:space="preserve">5.14 Future Business Services</w:t>
      </w:r>
    </w:p>
    <w:p>
      <w:pPr>
        <w:pStyle w:val="Heading3"/>
        <w:spacing w:after="100" w:before="200"/>
      </w:pPr>
      <w:r>
        <w:t xml:space="preserve">Career Outcome Intelligence Service [Future]</w:t>
      </w:r>
    </w:p>
    <w:p>
      <w:pPr>
        <w:spacing w:after="120"/>
      </w:pPr>
      <w:r>
        <w:rPr>
          <w:b/>
          <w:bCs/>
        </w:rPr>
        <w:t xml:space="preserve">Owning domain / value stream: </w:t>
      </w:r>
      <w:r>
        <w:t xml:space="preserve">Career Outcome Intelligence (future domain candidate) — Career Outcome Intelligence Value Stream — L0, not yet evidenced</w:t>
      </w:r>
    </w:p>
    <w:p>
      <w:pPr>
        <w:spacing w:after="160"/>
      </w:pPr>
      <w:r>
        <w:t xml:space="preserve">Would close the loop from recommendation and document generation to actual employment/education outcomes, giving the platform its first true outcome-quality signal rather than activity proxies. Explicitly not fabricated as current-state; no implementation evidence exists in the repository today.</w:t>
      </w:r>
    </w:p>
    <w:p>
      <w:pPr>
        <w:pStyle w:val="Heading3"/>
        <w:spacing w:after="100" w:before="200"/>
      </w:pPr>
      <w:r>
        <w:t xml:space="preserve">Partner &amp; Ecosystem Intelligence Service [Future]</w:t>
      </w:r>
    </w:p>
    <w:p>
      <w:pPr>
        <w:spacing w:after="120"/>
      </w:pPr>
      <w:r>
        <w:rPr>
          <w:b/>
          <w:bCs/>
        </w:rPr>
        <w:t xml:space="preserve">Owning domain / value stream: </w:t>
      </w:r>
      <w:r>
        <w:t xml:space="preserve">Employer Domain / future partner ecosystem — Partner &amp; Ecosystem Intelligence Value Stream — L0, long-term only</w:t>
      </w:r>
    </w:p>
    <w:p>
      <w:pPr>
        <w:spacing w:after="160"/>
      </w:pPr>
      <w:r>
        <w:t xml:space="preserve">Would operate live data exchange with schools, universities, job boards, and other data providers once Employer Collaboration Service's first partner is signed. Long-term candidate only; adoption trigger is a signed first partner integration.</w:t>
      </w:r>
    </w:p>
    <w:p>
      <w:pPr>
        <w:pStyle w:val="Heading1"/>
        <w:spacing w:after="200" w:before="400"/>
      </w:pPr>
      <w:r>
        <w:t xml:space="preserve">6. Business Service Relationships</w:t>
      </w:r>
    </w:p>
    <w:p>
      <w:pPr>
        <w:pStyle w:val="Heading2"/>
        <w:spacing w:after="150" w:before="300"/>
      </w:pPr>
      <w:r>
        <w:t xml:space="preserve">6.1 Service Collaboration</w:t>
      </w:r>
    </w:p>
    <w:p>
      <w:pPr>
        <w:spacing w:after="160"/>
      </w:pPr>
      <w:r>
        <w:t xml:space="preserve">Academic Profile Service is the single most collaborated-with service in the portfolio: Career Recommendation, Career Health, Career Planning &amp; Simulation, AI Career Advisory, and Resume Intelligence all read from it directly, mirroring the "10+ downstream consumers" finding already documented at the capability level in Phase A.</w:t>
      </w:r>
    </w:p>
    <w:p>
      <w:pPr>
        <w:pStyle w:val="Heading2"/>
        <w:spacing w:after="150" w:before="300"/>
      </w:pPr>
      <w:r>
        <w:t xml:space="preserve">6.2 Service Dependencies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rPr>
          <w:tblHeader/>
        </w:trPr>
        <w:tc>
          <w:tcPr>
            <w:tcW w:type="dxa" w:w="3200"/>
            <w:shd w:fill="1F3864" w:color="auto" w:val="clear"/>
            <w:vAlign w:val="center"/>
          </w:tcPr>
          <w:p>
            <w:r>
              <w:rPr>
                <w:b/>
                <w:bCs/>
                <w:color w:val="FFFFFF"/>
                <w:sz w:val="20"/>
                <w:szCs w:val="20"/>
              </w:rPr>
              <w:t xml:space="preserve">Dependent service</w:t>
            </w:r>
          </w:p>
        </w:tc>
        <w:tc>
          <w:tcPr>
            <w:tcW w:type="dxa" w:w="3200"/>
            <w:shd w:fill="1F3864" w:color="auto" w:val="clear"/>
            <w:vAlign w:val="center"/>
          </w:tcPr>
          <w:p>
            <w:r>
              <w:rPr>
                <w:b/>
                <w:bCs/>
                <w:color w:val="FFFFFF"/>
                <w:sz w:val="20"/>
                <w:szCs w:val="20"/>
              </w:rPr>
              <w:t xml:space="preserve">Depends on</w:t>
            </w:r>
          </w:p>
        </w:tc>
        <w:tc>
          <w:tcPr>
            <w:tcW w:type="dxa" w:w="3000"/>
            <w:shd w:fill="1F3864" w:color="auto" w:val="clear"/>
            <w:vAlign w:val="center"/>
          </w:tcPr>
          <w:p>
            <w:r>
              <w:rPr>
                <w:b/>
                <w:bCs/>
                <w:color w:val="FFFFFF"/>
                <w:sz w:val="20"/>
                <w:szCs w:val="20"/>
              </w:rPr>
              <w:t xml:space="preserve">Nature of dependency</w:t>
            </w:r>
          </w:p>
        </w:tc>
      </w:tr>
      <w:tr>
        <w:tc>
          <w:tcPr>
            <w:tcW w:type="dxa" w:w="3200"/>
            <w:vAlign w:val="center"/>
          </w:tcPr>
          <w:p>
            <w:r>
              <w:rPr>
                <w:b w:val="false"/>
                <w:bCs w:val="false"/>
                <w:sz w:val="20"/>
                <w:szCs w:val="20"/>
              </w:rPr>
              <w:t xml:space="preserve">Career Recommendation Service</w:t>
            </w:r>
          </w:p>
        </w:tc>
        <w:tc>
          <w:tcPr>
            <w:tcW w:type="dxa" w:w="3200"/>
            <w:vAlign w:val="center"/>
          </w:tcPr>
          <w:p>
            <w:r>
              <w:rPr>
                <w:b w:val="false"/>
                <w:bCs w:val="false"/>
                <w:sz w:val="20"/>
                <w:szCs w:val="20"/>
              </w:rPr>
              <w:t xml:space="preserve">Academic Profile Service; Knowledge Intelligence Service</w:t>
            </w:r>
          </w:p>
        </w:tc>
        <w:tc>
          <w:tcPr>
            <w:tcW w:type="dxa" w:w="3000"/>
            <w:vAlign w:val="center"/>
          </w:tcPr>
          <w:p>
            <w:r>
              <w:rPr>
                <w:b w:val="false"/>
                <w:bCs w:val="false"/>
                <w:sz w:val="20"/>
                <w:szCs w:val="20"/>
              </w:rPr>
              <w:t xml:space="preserve">Profile and taxonomy/market data as recommendation input</w:t>
            </w:r>
          </w:p>
        </w:tc>
      </w:tr>
      <w:tr>
        <w:tc>
          <w:tcPr>
            <w:tcW w:type="dxa" w:w="3200"/>
            <w:shd w:fill="EDEDED" w:color="auto" w:val="clear"/>
            <w:vAlign w:val="center"/>
          </w:tcPr>
          <w:p>
            <w:r>
              <w:rPr>
                <w:b w:val="false"/>
                <w:bCs w:val="false"/>
                <w:sz w:val="20"/>
                <w:szCs w:val="20"/>
              </w:rPr>
              <w:t xml:space="preserve">Career Health Service</w:t>
            </w:r>
          </w:p>
        </w:tc>
        <w:tc>
          <w:tcPr>
            <w:tcW w:type="dxa" w:w="3200"/>
            <w:shd w:fill="EDEDED" w:color="auto" w:val="clear"/>
            <w:vAlign w:val="center"/>
          </w:tcPr>
          <w:p>
            <w:r>
              <w:rPr>
                <w:b w:val="false"/>
                <w:bCs w:val="false"/>
                <w:sz w:val="20"/>
                <w:szCs w:val="20"/>
              </w:rPr>
              <w:t xml:space="preserve">Academic Profile Service; Knowledge Intelligence Service</w:t>
            </w:r>
          </w:p>
        </w:tc>
        <w:tc>
          <w:tcPr>
            <w:tcW w:type="dxa" w:w="3000"/>
            <w:shd w:fill="EDEDED" w:color="auto" w:val="clear"/>
            <w:vAlign w:val="center"/>
          </w:tcPr>
          <w:p>
            <w:r>
              <w:rPr>
                <w:b w:val="false"/>
                <w:bCs w:val="false"/>
                <w:sz w:val="20"/>
                <w:szCs w:val="20"/>
              </w:rPr>
              <w:t xml:space="preserve">Academic signal and skill-graph position for scoring</w:t>
            </w:r>
          </w:p>
        </w:tc>
      </w:tr>
      <w:tr>
        <w:tc>
          <w:tcPr>
            <w:tcW w:type="dxa" w:w="3200"/>
            <w:vAlign w:val="center"/>
          </w:tcPr>
          <w:p>
            <w:r>
              <w:rPr>
                <w:b w:val="false"/>
                <w:bCs w:val="false"/>
                <w:sz w:val="20"/>
                <w:szCs w:val="20"/>
              </w:rPr>
              <w:t xml:space="preserve">Career Planning &amp; Simulation Service</w:t>
            </w:r>
          </w:p>
        </w:tc>
        <w:tc>
          <w:tcPr>
            <w:tcW w:type="dxa" w:w="3200"/>
            <w:vAlign w:val="center"/>
          </w:tcPr>
          <w:p>
            <w:r>
              <w:rPr>
                <w:b w:val="false"/>
                <w:bCs w:val="false"/>
                <w:sz w:val="20"/>
                <w:szCs w:val="20"/>
              </w:rPr>
              <w:t xml:space="preserve">Academic Profile Service; Career Recommendation Service; Career Health Service</w:t>
            </w:r>
          </w:p>
        </w:tc>
        <w:tc>
          <w:tcPr>
            <w:tcW w:type="dxa" w:w="3000"/>
            <w:vAlign w:val="center"/>
          </w:tcPr>
          <w:p>
            <w:r>
              <w:rPr>
                <w:b w:val="false"/>
                <w:bCs w:val="false"/>
                <w:sz w:val="20"/>
                <w:szCs w:val="20"/>
              </w:rPr>
              <w:t xml:space="preserve">Historical data and candidate paths to simulate</w:t>
            </w:r>
          </w:p>
        </w:tc>
      </w:tr>
      <w:tr>
        <w:tc>
          <w:tcPr>
            <w:tcW w:type="dxa" w:w="3200"/>
            <w:shd w:fill="EDEDED" w:color="auto" w:val="clear"/>
            <w:vAlign w:val="center"/>
          </w:tcPr>
          <w:p>
            <w:r>
              <w:rPr>
                <w:b w:val="false"/>
                <w:bCs w:val="false"/>
                <w:sz w:val="20"/>
                <w:szCs w:val="20"/>
              </w:rPr>
              <w:t xml:space="preserve">AI Career Advisory Service</w:t>
            </w:r>
          </w:p>
        </w:tc>
        <w:tc>
          <w:tcPr>
            <w:tcW w:type="dxa" w:w="3200"/>
            <w:shd w:fill="EDEDED" w:color="auto" w:val="clear"/>
            <w:vAlign w:val="center"/>
          </w:tcPr>
          <w:p>
            <w:r>
              <w:rPr>
                <w:b w:val="false"/>
                <w:bCs w:val="false"/>
                <w:sz w:val="20"/>
                <w:szCs w:val="20"/>
              </w:rPr>
              <w:t xml:space="preserve">Academic Profile Service; Career Recommendation Service; Knowledge Intelligence Service</w:t>
            </w:r>
          </w:p>
        </w:tc>
        <w:tc>
          <w:tcPr>
            <w:tcW w:type="dxa" w:w="3000"/>
            <w:shd w:fill="EDEDED" w:color="auto" w:val="clear"/>
            <w:vAlign w:val="center"/>
          </w:tcPr>
          <w:p>
            <w:r>
              <w:rPr>
                <w:b w:val="false"/>
                <w:bCs w:val="false"/>
                <w:sz w:val="20"/>
                <w:szCs w:val="20"/>
              </w:rPr>
              <w:t xml:space="preserve">Conversational context assembly</w:t>
            </w:r>
          </w:p>
        </w:tc>
      </w:tr>
      <w:tr>
        <w:tc>
          <w:tcPr>
            <w:tcW w:type="dxa" w:w="3200"/>
            <w:vAlign w:val="center"/>
          </w:tcPr>
          <w:p>
            <w:r>
              <w:rPr>
                <w:b w:val="false"/>
                <w:bCs w:val="false"/>
                <w:sz w:val="20"/>
                <w:szCs w:val="20"/>
              </w:rPr>
              <w:t xml:space="preserve">Resume Intelligence Service</w:t>
            </w:r>
          </w:p>
        </w:tc>
        <w:tc>
          <w:tcPr>
            <w:tcW w:type="dxa" w:w="3200"/>
            <w:vAlign w:val="center"/>
          </w:tcPr>
          <w:p>
            <w:r>
              <w:rPr>
                <w:b w:val="false"/>
                <w:bCs w:val="false"/>
                <w:sz w:val="20"/>
                <w:szCs w:val="20"/>
              </w:rPr>
              <w:t xml:space="preserve">Academic Profile Service; Career Recommendation Service</w:t>
            </w:r>
          </w:p>
        </w:tc>
        <w:tc>
          <w:tcPr>
            <w:tcW w:type="dxa" w:w="3000"/>
            <w:vAlign w:val="center"/>
          </w:tcPr>
          <w:p>
            <w:r>
              <w:rPr>
                <w:b w:val="false"/>
                <w:bCs w:val="false"/>
                <w:sz w:val="20"/>
                <w:szCs w:val="20"/>
              </w:rPr>
              <w:t xml:space="preserve">Profile and recommended roles as document input</w:t>
            </w:r>
          </w:p>
        </w:tc>
      </w:tr>
      <w:tr>
        <w:tc>
          <w:tcPr>
            <w:tcW w:type="dxa" w:w="3200"/>
            <w:shd w:fill="EDEDED" w:color="auto" w:val="clear"/>
            <w:vAlign w:val="center"/>
          </w:tcPr>
          <w:p>
            <w:r>
              <w:rPr>
                <w:b w:val="false"/>
                <w:bCs w:val="false"/>
                <w:sz w:val="20"/>
                <w:szCs w:val="20"/>
              </w:rPr>
              <w:t xml:space="preserve">Job Opportunity Service</w:t>
            </w:r>
          </w:p>
        </w:tc>
        <w:tc>
          <w:tcPr>
            <w:tcW w:type="dxa" w:w="3200"/>
            <w:shd w:fill="EDEDED" w:color="auto" w:val="clear"/>
            <w:vAlign w:val="center"/>
          </w:tcPr>
          <w:p>
            <w:r>
              <w:rPr>
                <w:b w:val="false"/>
                <w:bCs w:val="false"/>
                <w:sz w:val="20"/>
                <w:szCs w:val="20"/>
              </w:rPr>
              <w:t xml:space="preserve">Knowledge Intelligence Service</w:t>
            </w:r>
          </w:p>
        </w:tc>
        <w:tc>
          <w:tcPr>
            <w:tcW w:type="dxa" w:w="3000"/>
            <w:shd w:fill="EDEDED" w:color="auto" w:val="clear"/>
            <w:vAlign w:val="center"/>
          </w:tcPr>
          <w:p>
            <w:r>
              <w:rPr>
                <w:b w:val="false"/>
                <w:bCs w:val="false"/>
                <w:sz w:val="20"/>
                <w:szCs w:val="20"/>
              </w:rPr>
              <w:t xml:space="preserve">Labor-market/opportunity signal — currently the shared mock-data constraint</w:t>
            </w:r>
          </w:p>
        </w:tc>
      </w:tr>
      <w:tr>
        <w:tc>
          <w:tcPr>
            <w:tcW w:type="dxa" w:w="3200"/>
            <w:vAlign w:val="center"/>
          </w:tcPr>
          <w:p>
            <w:r>
              <w:rPr>
                <w:b w:val="false"/>
                <w:bCs w:val="false"/>
                <w:sz w:val="20"/>
                <w:szCs w:val="20"/>
              </w:rPr>
              <w:t xml:space="preserve">Every service</w:t>
            </w:r>
          </w:p>
        </w:tc>
        <w:tc>
          <w:tcPr>
            <w:tcW w:type="dxa" w:w="3200"/>
            <w:vAlign w:val="center"/>
          </w:tcPr>
          <w:p>
            <w:r>
              <w:rPr>
                <w:b w:val="false"/>
                <w:bCs w:val="false"/>
                <w:sz w:val="20"/>
                <w:szCs w:val="20"/>
              </w:rPr>
              <w:t xml:space="preserve">Identity &amp; Access Service</w:t>
            </w:r>
          </w:p>
        </w:tc>
        <w:tc>
          <w:tcPr>
            <w:tcW w:type="dxa" w:w="3000"/>
            <w:vAlign w:val="center"/>
          </w:tcPr>
          <w:p>
            <w:r>
              <w:rPr>
                <w:b w:val="false"/>
                <w:bCs w:val="false"/>
                <w:sz w:val="20"/>
                <w:szCs w:val="20"/>
              </w:rPr>
              <w:t xml:space="preserve">Authentication/authorization on every request</w:t>
            </w:r>
          </w:p>
        </w:tc>
      </w:tr>
    </w:tbl>
    <w:p>
      <w:pPr>
        <w:pStyle w:val="Heading2"/>
        <w:spacing w:after="150" w:before="300"/>
      </w:pPr>
      <w:r>
        <w:t xml:space="preserve">6.3 Cross-Domain Interactions</w:t>
      </w:r>
    </w:p>
    <w:p>
      <w:pPr>
        <w:spacing w:after="160"/>
      </w:pPr>
      <w:r>
        <w:t xml:space="preserve">The Career Intelligence Domain (Career Recommendation, Career Health, Career Planning &amp; Simulation, Job Opportunity services) and the Knowledge &amp; Market Intelligence Domain (Knowledge Intelligence Service) interact more tightly than any other domain pair in the portfolio — a single shared data-quality constraint (Section 2.5) is therefore a cross-domain risk, not a single-domain risk.</w:t>
      </w:r>
    </w:p>
    <w:p>
      <w:pPr>
        <w:pStyle w:val="Heading2"/>
        <w:spacing w:after="150" w:before="300"/>
      </w:pPr>
      <w:r>
        <w:t xml:space="preserve">6.4 Shared Services</w:t>
      </w:r>
    </w:p>
    <w:p>
      <w:pPr>
        <w:spacing w:after="160"/>
      </w:pPr>
      <w:r>
        <w:t xml:space="preserve">Three business services are shared/horizontal by design and are consumed by every other service in the portfolio rather than by a specific stakeholder segment: Identity &amp; Access Service, Platform Administration Service, and Governance &amp; Assurance Service.</w:t>
      </w:r>
    </w:p>
    <w:p>
      <w:pPr>
        <w:pStyle w:val="Heading2"/>
        <w:spacing w:after="150" w:before="300"/>
      </w:pPr>
      <w:r>
        <w:t xml:space="preserve">6.5 Business Contracts and Consumer/Provider Relationships</w:t>
      </w:r>
    </w:p>
    <w:p>
      <w:pPr>
        <w:spacing w:after="160"/>
      </w:pPr>
      <w:r>
        <w:t xml:space="preserve">No formal, versioned business-service contracts (SLAs, consumer-provider agreements) are evidenced in the repository today; all current consumer/provider relationships are implicit, mediated by direct code-level module dependency rather than a governed service contract. This is named as a governance gap in Section 8 and Section 15, not assumed away.</w:t>
      </w:r>
    </w:p>
    <w:p>
      <w:pPr>
        <w:pStyle w:val="Heading2"/>
        <w:spacing w:after="150" w:before="300"/>
      </w:pPr>
      <w:r>
        <w:t xml:space="preserve">6.6 Knowledge Exchange</w:t>
      </w:r>
    </w:p>
    <w:p>
      <w:pPr>
        <w:spacing w:after="160"/>
      </w:pPr>
      <w:r>
        <w:t xml:space="preserve">Knowledge Intelligence Service is the sole knowledge-exchange broker in the current portfolio: no other business service curates or exposes canonical taxonomy, skill-graph, or market data independently.</w:t>
      </w:r>
    </w:p>
    <w:p>
      <w:pPr>
        <w:pStyle w:val="Heading2"/>
        <w:spacing w:after="150" w:before="300"/>
      </w:pPr>
      <w:r>
        <w:t xml:space="preserve">6.7 Decision Responsibilities</w:t>
      </w:r>
    </w:p>
    <w:p>
      <w:pPr>
        <w:spacing w:after="160"/>
      </w:pPr>
      <w:r>
        <w:t xml:space="preserve">Recommendation, scoring, and advisory decisions (Career Recommendation, Career Health, AI Career Advisory services) are currently made entirely within the general product/engineering function; no distinct human decision-owner role (e.g., a career-advisor stakeholder) mediates or overrides these decisions today, consistent with Phase C Section 7's identical finding for the Career Advisors stakeholder.</w:t>
      </w:r>
    </w:p>
    <w:p>
      <w:pPr>
        <w:pStyle w:val="Heading1"/>
        <w:spacing w:after="200" w:before="400"/>
      </w:pPr>
      <w:r>
        <w:t xml:space="preserve">7. Stakeholder Service Map</w:t>
      </w:r>
    </w:p>
    <w:p>
      <w:pPr>
        <w:spacing w:after="160"/>
      </w:pPr>
      <w:r>
        <w:t xml:space="preserve">This section maps the business services catalogued in Section 5 to the stakeholders they serve, distinguishing current-state consumption from target/future consumption, following the same discipline Phase C Section 7 applied to value streams.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shd w:fill="1F3864" w:color="auto" w:val="clear"/>
            <w:vAlign w:val="center"/>
          </w:tcPr>
          <w:p>
            <w:r>
              <w:rPr>
                <w:b/>
                <w:bCs/>
                <w:color w:val="FFFFFF"/>
                <w:sz w:val="20"/>
                <w:szCs w:val="20"/>
              </w:rPr>
              <w:t xml:space="preserve">Stakeholder</w:t>
            </w:r>
          </w:p>
        </w:tc>
        <w:tc>
          <w:tcPr>
            <w:tcW w:type="dxa" w:w="4400"/>
            <w:shd w:fill="1F3864" w:color="auto" w:val="clear"/>
            <w:vAlign w:val="center"/>
          </w:tcPr>
          <w:p>
            <w:r>
              <w:rPr>
                <w:b/>
                <w:bCs/>
                <w:color w:val="FFFFFF"/>
                <w:sz w:val="20"/>
                <w:szCs w:val="20"/>
              </w:rPr>
              <w:t xml:space="preserve">Current-state services</w:t>
            </w:r>
          </w:p>
        </w:tc>
        <w:tc>
          <w:tcPr>
            <w:tcW w:type="dxa" w:w="2600"/>
            <w:shd w:fill="1F3864" w:color="auto" w:val="clear"/>
            <w:vAlign w:val="center"/>
          </w:tcPr>
          <w:p>
            <w:r>
              <w:rPr>
                <w:b/>
                <w:bCs/>
                <w:color w:val="FFFFFF"/>
                <w:sz w:val="20"/>
                <w:szCs w:val="20"/>
              </w:rPr>
              <w:t xml:space="preserve">Target/future services</w:t>
            </w:r>
          </w:p>
        </w:tc>
      </w:tr>
      <w:tr>
        <w:tc>
          <w:tcPr>
            <w:tcW w:type="dxa" w:w="2400"/>
            <w:vAlign w:val="center"/>
          </w:tcPr>
          <w:p>
            <w:r>
              <w:rPr>
                <w:b w:val="false"/>
                <w:bCs w:val="false"/>
                <w:sz w:val="20"/>
                <w:szCs w:val="20"/>
              </w:rPr>
              <w:t xml:space="preserve">Students</w:t>
            </w:r>
          </w:p>
        </w:tc>
        <w:tc>
          <w:tcPr>
            <w:tcW w:type="dxa" w:w="4400"/>
            <w:vAlign w:val="center"/>
          </w:tcPr>
          <w:p>
            <w:r>
              <w:rPr>
                <w:b w:val="false"/>
                <w:bCs w:val="false"/>
                <w:sz w:val="20"/>
                <w:szCs w:val="20"/>
              </w:rPr>
              <w:t xml:space="preserve">Student Onboarding; Academic Profile; Career Recommendation; Career Health; Career Planning &amp; Simulation (L1); AI Career Advisory; Resume Intelligence; Job Opportunity; Growth &amp; Engagement</w:t>
            </w:r>
          </w:p>
        </w:tc>
        <w:tc>
          <w:tcPr>
            <w:tcW w:type="dxa" w:w="2600"/>
            <w:vAlign w:val="center"/>
          </w:tcPr>
          <w:p>
            <w:r>
              <w:rPr>
                <w:b w:val="false"/>
                <w:bCs w:val="false"/>
                <w:sz w:val="20"/>
                <w:szCs w:val="20"/>
              </w:rPr>
              <w:t xml:space="preserve">Career Outcome Intelligence</w:t>
            </w:r>
          </w:p>
        </w:tc>
      </w:tr>
      <w:tr>
        <w:tc>
          <w:tcPr>
            <w:tcW w:type="dxa" w:w="2400"/>
            <w:shd w:fill="EDEDED" w:color="auto" w:val="clear"/>
            <w:vAlign w:val="center"/>
          </w:tcPr>
          <w:p>
            <w:r>
              <w:rPr>
                <w:b w:val="false"/>
                <w:bCs w:val="false"/>
                <w:sz w:val="20"/>
                <w:szCs w:val="20"/>
              </w:rPr>
              <w:t xml:space="preserve">Parents / guardians</w:t>
            </w:r>
          </w:p>
        </w:tc>
        <w:tc>
          <w:tcPr>
            <w:tcW w:type="dxa" w:w="4400"/>
            <w:shd w:fill="EDEDED" w:color="auto" w:val="clear"/>
            <w:vAlign w:val="center"/>
          </w:tcPr>
          <w:p>
            <w:r>
              <w:rPr>
                <w:b w:val="false"/>
                <w:bCs w:val="false"/>
                <w:sz w:val="20"/>
                <w:szCs w:val="20"/>
              </w:rPr>
              <w:t xml:space="preserve">Indirect beneficiary of Academic Profile Service's protective-by-default posture; no dedicated service addresses parents directly</w:t>
            </w:r>
          </w:p>
        </w:tc>
        <w:tc>
          <w:tcPr>
            <w:tcW w:type="dxa" w:w="2600"/>
            <w:shd w:fill="EDEDED" w:color="auto" w:val="clear"/>
            <w:vAlign w:val="center"/>
          </w:tcPr>
          <w:p>
            <w:r>
              <w:rPr>
                <w:b w:val="false"/>
                <w:bCs w:val="false"/>
                <w:sz w:val="20"/>
                <w:szCs w:val="20"/>
              </w:rPr>
              <w:t xml:space="preserve">Consent co-capture within Student Onboarding Service</w:t>
            </w:r>
          </w:p>
        </w:tc>
      </w:tr>
      <w:tr>
        <w:tc>
          <w:tcPr>
            <w:tcW w:type="dxa" w:w="2400"/>
            <w:vAlign w:val="center"/>
          </w:tcPr>
          <w:p>
            <w:r>
              <w:rPr>
                <w:b w:val="false"/>
                <w:bCs w:val="false"/>
                <w:sz w:val="20"/>
                <w:szCs w:val="20"/>
              </w:rPr>
              <w:t xml:space="preserve">Schools / universities</w:t>
            </w:r>
          </w:p>
        </w:tc>
        <w:tc>
          <w:tcPr>
            <w:tcW w:type="dxa" w:w="4400"/>
            <w:vAlign w:val="center"/>
          </w:tcPr>
          <w:p>
            <w:r>
              <w:rPr>
                <w:b w:val="false"/>
                <w:bCs w:val="false"/>
                <w:sz w:val="20"/>
                <w:szCs w:val="20"/>
              </w:rPr>
              <w:t xml:space="preserve">None with live data exchange today</w:t>
            </w:r>
          </w:p>
        </w:tc>
        <w:tc>
          <w:tcPr>
            <w:tcW w:type="dxa" w:w="2600"/>
            <w:vAlign w:val="center"/>
          </w:tcPr>
          <w:p>
            <w:r>
              <w:rPr>
                <w:b w:val="false"/>
                <w:bCs w:val="false"/>
                <w:sz w:val="20"/>
                <w:szCs w:val="20"/>
              </w:rPr>
              <w:t xml:space="preserve">Academic Profile Service (partner feed); Career Health Service (cohort reporting); Partner &amp; Ecosystem Intelligence</w:t>
            </w:r>
          </w:p>
        </w:tc>
      </w:tr>
      <w:tr>
        <w:tc>
          <w:tcPr>
            <w:tcW w:type="dxa" w:w="2400"/>
            <w:shd w:fill="EDEDED" w:color="auto" w:val="clear"/>
            <w:vAlign w:val="center"/>
          </w:tcPr>
          <w:p>
            <w:r>
              <w:rPr>
                <w:b w:val="false"/>
                <w:bCs w:val="false"/>
                <w:sz w:val="20"/>
                <w:szCs w:val="20"/>
              </w:rPr>
              <w:t xml:space="preserve">Employers</w:t>
            </w:r>
          </w:p>
        </w:tc>
        <w:tc>
          <w:tcPr>
            <w:tcW w:type="dxa" w:w="4400"/>
            <w:shd w:fill="EDEDED" w:color="auto" w:val="clear"/>
            <w:vAlign w:val="center"/>
          </w:tcPr>
          <w:p>
            <w:r>
              <w:rPr>
                <w:b w:val="false"/>
                <w:bCs w:val="false"/>
                <w:sz w:val="20"/>
                <w:szCs w:val="20"/>
              </w:rPr>
              <w:t xml:space="preserve">None — Employer Collaboration Service is pre-activation</w:t>
            </w:r>
          </w:p>
        </w:tc>
        <w:tc>
          <w:tcPr>
            <w:tcW w:type="dxa" w:w="2600"/>
            <w:shd w:fill="EDEDED" w:color="auto" w:val="clear"/>
            <w:vAlign w:val="center"/>
          </w:tcPr>
          <w:p>
            <w:r>
              <w:rPr>
                <w:b w:val="false"/>
                <w:bCs w:val="false"/>
                <w:sz w:val="20"/>
                <w:szCs w:val="20"/>
              </w:rPr>
              <w:t xml:space="preserve">Employer Collaboration Service; Job Opportunity Service (as a live source)</w:t>
            </w:r>
          </w:p>
        </w:tc>
      </w:tr>
      <w:tr>
        <w:tc>
          <w:tcPr>
            <w:tcW w:type="dxa" w:w="2400"/>
            <w:vAlign w:val="center"/>
          </w:tcPr>
          <w:p>
            <w:r>
              <w:rPr>
                <w:b w:val="false"/>
                <w:bCs w:val="false"/>
                <w:sz w:val="20"/>
                <w:szCs w:val="20"/>
              </w:rPr>
              <w:t xml:space="preserve">Recruiters</w:t>
            </w:r>
          </w:p>
        </w:tc>
        <w:tc>
          <w:tcPr>
            <w:tcW w:type="dxa" w:w="4400"/>
            <w:vAlign w:val="center"/>
          </w:tcPr>
          <w:p>
            <w:r>
              <w:rPr>
                <w:b w:val="false"/>
                <w:bCs w:val="false"/>
                <w:sz w:val="20"/>
                <w:szCs w:val="20"/>
              </w:rPr>
              <w:t xml:space="preserve">None evidenced</w:t>
            </w:r>
          </w:p>
        </w:tc>
        <w:tc>
          <w:tcPr>
            <w:tcW w:type="dxa" w:w="2600"/>
            <w:vAlign w:val="center"/>
          </w:tcPr>
          <w:p>
            <w:r>
              <w:rPr>
                <w:b w:val="false"/>
                <w:bCs w:val="false"/>
                <w:sz w:val="20"/>
                <w:szCs w:val="20"/>
              </w:rPr>
              <w:t xml:space="preserve">Employer Collaboration Service, once self-service capabilities exist</w:t>
            </w:r>
          </w:p>
        </w:tc>
      </w:tr>
      <w:tr>
        <w:tc>
          <w:tcPr>
            <w:tcW w:type="dxa" w:w="2400"/>
            <w:shd w:fill="EDEDED" w:color="auto" w:val="clear"/>
            <w:vAlign w:val="center"/>
          </w:tcPr>
          <w:p>
            <w:r>
              <w:rPr>
                <w:b w:val="false"/>
                <w:bCs w:val="false"/>
                <w:sz w:val="20"/>
                <w:szCs w:val="20"/>
              </w:rPr>
              <w:t xml:space="preserve">Career advisors</w:t>
            </w:r>
          </w:p>
        </w:tc>
        <w:tc>
          <w:tcPr>
            <w:tcW w:type="dxa" w:w="4400"/>
            <w:shd w:fill="EDEDED" w:color="auto" w:val="clear"/>
            <w:vAlign w:val="center"/>
          </w:tcPr>
          <w:p>
            <w:r>
              <w:rPr>
                <w:b w:val="false"/>
                <w:bCs w:val="false"/>
                <w:sz w:val="20"/>
                <w:szCs w:val="20"/>
              </w:rPr>
              <w:t xml:space="preserve">Not evidenced as a distinct external stakeholder; advisory delivered by AI Career Advisory Service directly</w:t>
            </w:r>
          </w:p>
        </w:tc>
        <w:tc>
          <w:tcPr>
            <w:tcW w:type="dxa" w:w="2600"/>
            <w:shd w:fill="EDEDED" w:color="auto" w:val="clear"/>
            <w:vAlign w:val="center"/>
          </w:tcPr>
          <w:p>
            <w:r>
              <w:rPr>
                <w:b w:val="false"/>
                <w:bCs w:val="false"/>
                <w:sz w:val="20"/>
                <w:szCs w:val="20"/>
              </w:rPr>
              <w:t xml:space="preserve">None evidenced</w:t>
            </w:r>
          </w:p>
        </w:tc>
      </w:tr>
      <w:tr>
        <w:tc>
          <w:tcPr>
            <w:tcW w:type="dxa" w:w="2400"/>
            <w:vAlign w:val="center"/>
          </w:tcPr>
          <w:p>
            <w:r>
              <w:rPr>
                <w:b w:val="false"/>
                <w:bCs w:val="false"/>
                <w:sz w:val="20"/>
                <w:szCs w:val="20"/>
              </w:rPr>
              <w:t xml:space="preserve">Platform administrators</w:t>
            </w:r>
          </w:p>
        </w:tc>
        <w:tc>
          <w:tcPr>
            <w:tcW w:type="dxa" w:w="4400"/>
            <w:vAlign w:val="center"/>
          </w:tcPr>
          <w:p>
            <w:r>
              <w:rPr>
                <w:b w:val="false"/>
                <w:bCs w:val="false"/>
                <w:sz w:val="20"/>
                <w:szCs w:val="20"/>
              </w:rPr>
              <w:t xml:space="preserve">Identity &amp; Access; Platform Administration; Governance &amp; Assurance; Analytics &amp; Reporting</w:t>
            </w:r>
          </w:p>
        </w:tc>
        <w:tc>
          <w:tcPr>
            <w:tcW w:type="dxa" w:w="2600"/>
            <w:vAlign w:val="center"/>
          </w:tcPr>
          <w:p>
            <w:r>
              <w:rPr>
                <w:b w:val="false"/>
                <w:bCs w:val="false"/>
                <w:sz w:val="20"/>
                <w:szCs w:val="20"/>
              </w:rPr>
              <w:t xml:space="preserve">None beyond current scope</w:t>
            </w:r>
          </w:p>
        </w:tc>
      </w:tr>
      <w:tr>
        <w:tc>
          <w:tcPr>
            <w:tcW w:type="dxa" w:w="2400"/>
            <w:shd w:fill="EDEDED" w:color="auto" w:val="clear"/>
            <w:vAlign w:val="center"/>
          </w:tcPr>
          <w:p>
            <w:r>
              <w:rPr>
                <w:b w:val="false"/>
                <w:bCs w:val="false"/>
                <w:sz w:val="20"/>
                <w:szCs w:val="20"/>
              </w:rPr>
              <w:t xml:space="preserve">Knowledge curators</w:t>
            </w:r>
          </w:p>
        </w:tc>
        <w:tc>
          <w:tcPr>
            <w:tcW w:type="dxa" w:w="4400"/>
            <w:shd w:fill="EDEDED" w:color="auto" w:val="clear"/>
            <w:vAlign w:val="center"/>
          </w:tcPr>
          <w:p>
            <w:r>
              <w:rPr>
                <w:b w:val="false"/>
                <w:bCs w:val="false"/>
                <w:sz w:val="20"/>
                <w:szCs w:val="20"/>
              </w:rPr>
              <w:t xml:space="preserve">Knowledge Intelligence Service (implicit internal stakeholder — no separately evidenced human curator role)</w:t>
            </w:r>
          </w:p>
        </w:tc>
        <w:tc>
          <w:tcPr>
            <w:tcW w:type="dxa" w:w="2600"/>
            <w:shd w:fill="EDEDED" w:color="auto" w:val="clear"/>
            <w:vAlign w:val="center"/>
          </w:tcPr>
          <w:p>
            <w:r>
              <w:rPr>
                <w:b w:val="false"/>
                <w:bCs w:val="false"/>
                <w:sz w:val="20"/>
                <w:szCs w:val="20"/>
              </w:rPr>
              <w:t xml:space="preserve">Knowledge Intelligence Service reaching live, partner-sourced data</w:t>
            </w:r>
          </w:p>
        </w:tc>
      </w:tr>
      <w:tr>
        <w:tc>
          <w:tcPr>
            <w:tcW w:type="dxa" w:w="2400"/>
            <w:vAlign w:val="center"/>
          </w:tcPr>
          <w:p>
            <w:r>
              <w:rPr>
                <w:b w:val="false"/>
                <w:bCs w:val="false"/>
                <w:sz w:val="20"/>
                <w:szCs w:val="20"/>
              </w:rPr>
              <w:t xml:space="preserve">Future partners (job boards, data providers)</w:t>
            </w:r>
          </w:p>
        </w:tc>
        <w:tc>
          <w:tcPr>
            <w:tcW w:type="dxa" w:w="4400"/>
            <w:vAlign w:val="center"/>
          </w:tcPr>
          <w:p>
            <w:r>
              <w:rPr>
                <w:b w:val="false"/>
                <w:bCs w:val="false"/>
                <w:sz w:val="20"/>
                <w:szCs w:val="20"/>
              </w:rPr>
              <w:t xml:space="preserve">None</w:t>
            </w:r>
          </w:p>
        </w:tc>
        <w:tc>
          <w:tcPr>
            <w:tcW w:type="dxa" w:w="2600"/>
            <w:vAlign w:val="center"/>
          </w:tcPr>
          <w:p>
            <w:r>
              <w:rPr>
                <w:b w:val="false"/>
                <w:bCs w:val="false"/>
                <w:sz w:val="20"/>
                <w:szCs w:val="20"/>
              </w:rPr>
              <w:t xml:space="preserve">Employer Collaboration Service; Knowledge Intelligence Service (live feed); Partner &amp; Ecosystem Intelligence</w:t>
            </w:r>
          </w:p>
        </w:tc>
      </w:tr>
    </w:tbl>
    <w:p>
      <w:pPr>
        <w:pStyle w:val="Heading1"/>
        <w:spacing w:after="200" w:before="400"/>
      </w:pPr>
      <w:r>
        <w:t xml:space="preserve">8. Service Ownership</w:t>
      </w:r>
    </w:p>
    <w:p>
      <w:pPr>
        <w:spacing w:after="160"/>
      </w:pPr>
      <w:r>
        <w:t xml:space="preserve">Ownership in the current state is concentrated, matching Phase A Section 12 and EEP-01 Phase H's identical finding: a single general product/engineering function, not separate named business-service owners. This section states current and target ownership per service, and the transition trigger for each.</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700"/>
        <w:gridCol w:w="3600"/>
      </w:tblGrid>
      <w:tr>
        <w:trPr>
          <w:tblHeader/>
        </w:trPr>
        <w:tc>
          <w:tcPr>
            <w:tcW w:type="dxa" w:w="2500"/>
            <w:shd w:fill="1F3864" w:color="auto" w:val="clear"/>
            <w:vAlign w:val="center"/>
          </w:tcPr>
          <w:p>
            <w:r>
              <w:rPr>
                <w:b/>
                <w:bCs/>
                <w:color w:val="FFFFFF"/>
                <w:sz w:val="20"/>
                <w:szCs w:val="20"/>
              </w:rPr>
              <w:t xml:space="preserve">Service</w:t>
            </w:r>
          </w:p>
        </w:tc>
        <w:tc>
          <w:tcPr>
            <w:tcW w:type="dxa" w:w="2700"/>
            <w:shd w:fill="1F3864" w:color="auto" w:val="clear"/>
            <w:vAlign w:val="center"/>
          </w:tcPr>
          <w:p>
            <w:r>
              <w:rPr>
                <w:b/>
                <w:bCs/>
                <w:color w:val="FFFFFF"/>
                <w:sz w:val="20"/>
                <w:szCs w:val="20"/>
              </w:rPr>
              <w:t xml:space="preserve">Current owner</w:t>
            </w:r>
          </w:p>
        </w:tc>
        <w:tc>
          <w:tcPr>
            <w:tcW w:type="dxa" w:w="2700"/>
            <w:shd w:fill="1F3864" w:color="auto" w:val="clear"/>
            <w:vAlign w:val="center"/>
          </w:tcPr>
          <w:p>
            <w:r>
              <w:rPr>
                <w:b/>
                <w:bCs/>
                <w:color w:val="FFFFFF"/>
                <w:sz w:val="20"/>
                <w:szCs w:val="20"/>
              </w:rPr>
              <w:t xml:space="preserve">Target owner</w:t>
            </w:r>
          </w:p>
        </w:tc>
        <w:tc>
          <w:tcPr>
            <w:tcW w:type="dxa" w:w="3600"/>
            <w:shd w:fill="1F3864" w:color="auto" w:val="clear"/>
            <w:vAlign w:val="center"/>
          </w:tcPr>
          <w:p>
            <w:r>
              <w:rPr>
                <w:b/>
                <w:bCs/>
                <w:color w:val="FFFFFF"/>
                <w:sz w:val="20"/>
                <w:szCs w:val="20"/>
              </w:rPr>
              <w:t xml:space="preserve">Transition trigger</w:t>
            </w:r>
          </w:p>
        </w:tc>
      </w:tr>
      <w:tr>
        <w:tc>
          <w:tcPr>
            <w:tcW w:type="dxa" w:w="2500"/>
            <w:vAlign w:val="center"/>
          </w:tcPr>
          <w:p>
            <w:r>
              <w:rPr>
                <w:b w:val="false"/>
                <w:bCs w:val="false"/>
                <w:sz w:val="20"/>
                <w:szCs w:val="20"/>
              </w:rPr>
              <w:t xml:space="preserve">Student Onboarding Service</w:t>
            </w:r>
          </w:p>
        </w:tc>
        <w:tc>
          <w:tcPr>
            <w:tcW w:type="dxa" w:w="2700"/>
            <w:vAlign w:val="center"/>
          </w:tcPr>
          <w:p>
            <w:r>
              <w:rPr>
                <w:b w:val="false"/>
                <w:bCs w:val="false"/>
                <w:sz w:val="20"/>
                <w:szCs w:val="20"/>
              </w:rPr>
              <w:t xml:space="preserve">General product/engineering function</w:t>
            </w:r>
          </w:p>
        </w:tc>
        <w:tc>
          <w:tcPr>
            <w:tcW w:type="dxa" w:w="2700"/>
            <w:vAlign w:val="center"/>
          </w:tcPr>
          <w:p>
            <w:r>
              <w:rPr>
                <w:b w:val="false"/>
                <w:bCs w:val="false"/>
                <w:sz w:val="20"/>
                <w:szCs w:val="20"/>
              </w:rPr>
              <w:t xml:space="preserve">Academic Intelligence domain product owner</w:t>
            </w:r>
          </w:p>
        </w:tc>
        <w:tc>
          <w:tcPr>
            <w:tcW w:type="dxa" w:w="3600"/>
            <w:vAlign w:val="center"/>
          </w:tcPr>
          <w:p>
            <w:r>
              <w:rPr>
                <w:b w:val="false"/>
                <w:bCs w:val="false"/>
                <w:sz w:val="20"/>
                <w:szCs w:val="20"/>
              </w:rPr>
              <w:t xml:space="preserve">Second consecutive quarter of onboarding-completion KPI ownership demand</w:t>
            </w:r>
          </w:p>
        </w:tc>
      </w:tr>
      <w:tr>
        <w:tc>
          <w:tcPr>
            <w:tcW w:type="dxa" w:w="2500"/>
            <w:shd w:fill="EDEDED" w:color="auto" w:val="clear"/>
            <w:vAlign w:val="center"/>
          </w:tcPr>
          <w:p>
            <w:r>
              <w:rPr>
                <w:b w:val="false"/>
                <w:bCs w:val="false"/>
                <w:sz w:val="20"/>
                <w:szCs w:val="20"/>
              </w:rPr>
              <w:t xml:space="preserve">Academic Profile Service</w:t>
            </w:r>
          </w:p>
        </w:tc>
        <w:tc>
          <w:tcPr>
            <w:tcW w:type="dxa" w:w="2700"/>
            <w:shd w:fill="EDEDED" w:color="auto" w:val="clear"/>
            <w:vAlign w:val="center"/>
          </w:tcPr>
          <w:p>
            <w:r>
              <w:rPr>
                <w:b w:val="false"/>
                <w:bCs w:val="false"/>
                <w:sz w:val="20"/>
                <w:szCs w:val="20"/>
              </w:rPr>
              <w:t xml:space="preserve">General product/engineering function</w:t>
            </w:r>
          </w:p>
        </w:tc>
        <w:tc>
          <w:tcPr>
            <w:tcW w:type="dxa" w:w="2700"/>
            <w:shd w:fill="EDEDED" w:color="auto" w:val="clear"/>
            <w:vAlign w:val="center"/>
          </w:tcPr>
          <w:p>
            <w:r>
              <w:rPr>
                <w:b w:val="false"/>
                <w:bCs w:val="false"/>
                <w:sz w:val="20"/>
                <w:szCs w:val="20"/>
              </w:rPr>
              <w:t xml:space="preserve">Academic Intelligence domain product owner (shared with Student Onboarding)</w:t>
            </w:r>
          </w:p>
        </w:tc>
        <w:tc>
          <w:tcPr>
            <w:tcW w:type="dxa" w:w="3600"/>
            <w:shd w:fill="EDEDED" w:color="auto" w:val="clear"/>
            <w:vAlign w:val="center"/>
          </w:tcPr>
          <w:p>
            <w:r>
              <w:rPr>
                <w:b w:val="false"/>
                <w:bCs w:val="false"/>
                <w:sz w:val="20"/>
                <w:szCs w:val="20"/>
              </w:rPr>
              <w:t xml:space="preserve">Same as above</w:t>
            </w:r>
          </w:p>
        </w:tc>
      </w:tr>
      <w:tr>
        <w:tc>
          <w:tcPr>
            <w:tcW w:type="dxa" w:w="2500"/>
            <w:vAlign w:val="center"/>
          </w:tcPr>
          <w:p>
            <w:r>
              <w:rPr>
                <w:b w:val="false"/>
                <w:bCs w:val="false"/>
                <w:sz w:val="20"/>
                <w:szCs w:val="20"/>
              </w:rPr>
              <w:t xml:space="preserve">Career Recommendation Service</w:t>
            </w:r>
          </w:p>
        </w:tc>
        <w:tc>
          <w:tcPr>
            <w:tcW w:type="dxa" w:w="2700"/>
            <w:vAlign w:val="center"/>
          </w:tcPr>
          <w:p>
            <w:r>
              <w:rPr>
                <w:b w:val="false"/>
                <w:bCs w:val="false"/>
                <w:sz w:val="20"/>
                <w:szCs w:val="20"/>
              </w:rPr>
              <w:t xml:space="preserve">General product/engineering function</w:t>
            </w:r>
          </w:p>
        </w:tc>
        <w:tc>
          <w:tcPr>
            <w:tcW w:type="dxa" w:w="2700"/>
            <w:vAlign w:val="center"/>
          </w:tcPr>
          <w:p>
            <w:r>
              <w:rPr>
                <w:b w:val="false"/>
                <w:bCs w:val="false"/>
                <w:sz w:val="20"/>
                <w:szCs w:val="20"/>
              </w:rPr>
              <w:t xml:space="preserve">Career Intelligence domain product owner</w:t>
            </w:r>
          </w:p>
        </w:tc>
        <w:tc>
          <w:tcPr>
            <w:tcW w:type="dxa" w:w="3600"/>
            <w:vAlign w:val="center"/>
          </w:tcPr>
          <w:p>
            <w:r>
              <w:rPr>
                <w:b w:val="false"/>
                <w:bCs w:val="false"/>
                <w:sz w:val="20"/>
                <w:szCs w:val="20"/>
              </w:rPr>
              <w:t xml:space="preserve">First live labor-market data source signed</w:t>
            </w:r>
          </w:p>
        </w:tc>
      </w:tr>
      <w:tr>
        <w:tc>
          <w:tcPr>
            <w:tcW w:type="dxa" w:w="2500"/>
            <w:shd w:fill="EDEDED" w:color="auto" w:val="clear"/>
            <w:vAlign w:val="center"/>
          </w:tcPr>
          <w:p>
            <w:r>
              <w:rPr>
                <w:b w:val="false"/>
                <w:bCs w:val="false"/>
                <w:sz w:val="20"/>
                <w:szCs w:val="20"/>
              </w:rPr>
              <w:t xml:space="preserve">Career Health Service</w:t>
            </w:r>
          </w:p>
        </w:tc>
        <w:tc>
          <w:tcPr>
            <w:tcW w:type="dxa" w:w="2700"/>
            <w:shd w:fill="EDEDED" w:color="auto" w:val="clear"/>
            <w:vAlign w:val="center"/>
          </w:tcPr>
          <w:p>
            <w:r>
              <w:rPr>
                <w:b w:val="false"/>
                <w:bCs w:val="false"/>
                <w:sz w:val="20"/>
                <w:szCs w:val="20"/>
              </w:rPr>
              <w:t xml:space="preserve">General product/engineering function, mid-migration</w:t>
            </w:r>
          </w:p>
        </w:tc>
        <w:tc>
          <w:tcPr>
            <w:tcW w:type="dxa" w:w="2700"/>
            <w:shd w:fill="EDEDED" w:color="auto" w:val="clear"/>
            <w:vAlign w:val="center"/>
          </w:tcPr>
          <w:p>
            <w:r>
              <w:rPr>
                <w:b w:val="false"/>
                <w:bCs w:val="false"/>
                <w:sz w:val="20"/>
                <w:szCs w:val="20"/>
              </w:rPr>
              <w:t xml:space="preserve">Career Intelligence domain product owner</w:t>
            </w:r>
          </w:p>
        </w:tc>
        <w:tc>
          <w:tcPr>
            <w:tcW w:type="dxa" w:w="3600"/>
            <w:shd w:fill="EDEDED" w:color="auto" w:val="clear"/>
            <w:vAlign w:val="center"/>
          </w:tcPr>
          <w:p>
            <w:r>
              <w:rPr>
                <w:b w:val="false"/>
                <w:bCs w:val="false"/>
                <w:sz w:val="20"/>
                <w:szCs w:val="20"/>
              </w:rPr>
              <w:t xml:space="preserve">chiV2 cutover completion</w:t>
            </w:r>
          </w:p>
        </w:tc>
      </w:tr>
      <w:tr>
        <w:tc>
          <w:tcPr>
            <w:tcW w:type="dxa" w:w="2500"/>
            <w:vAlign w:val="center"/>
          </w:tcPr>
          <w:p>
            <w:r>
              <w:rPr>
                <w:b w:val="false"/>
                <w:bCs w:val="false"/>
                <w:sz w:val="20"/>
                <w:szCs w:val="20"/>
              </w:rPr>
              <w:t xml:space="preserve">Career Planning &amp; Simulation Service</w:t>
            </w:r>
          </w:p>
        </w:tc>
        <w:tc>
          <w:tcPr>
            <w:tcW w:type="dxa" w:w="2700"/>
            <w:vAlign w:val="center"/>
          </w:tcPr>
          <w:p>
            <w:r>
              <w:rPr>
                <w:b w:val="false"/>
                <w:bCs w:val="false"/>
                <w:sz w:val="20"/>
                <w:szCs w:val="20"/>
              </w:rPr>
              <w:t xml:space="preserve">General product/engineering function</w:t>
            </w:r>
          </w:p>
        </w:tc>
        <w:tc>
          <w:tcPr>
            <w:tcW w:type="dxa" w:w="2700"/>
            <w:vAlign w:val="center"/>
          </w:tcPr>
          <w:p>
            <w:r>
              <w:rPr>
                <w:b w:val="false"/>
                <w:bCs w:val="false"/>
                <w:sz w:val="20"/>
                <w:szCs w:val="20"/>
              </w:rPr>
              <w:t xml:space="preserve">Shared with Career Recommendation Service owner</w:t>
            </w:r>
          </w:p>
        </w:tc>
        <w:tc>
          <w:tcPr>
            <w:tcW w:type="dxa" w:w="3600"/>
            <w:vAlign w:val="center"/>
          </w:tcPr>
          <w:p>
            <w:r>
              <w:rPr>
                <w:b w:val="false"/>
                <w:bCs w:val="false"/>
                <w:sz w:val="20"/>
                <w:szCs w:val="20"/>
              </w:rPr>
              <w:t xml:space="preserve">Simulation engine populated behind existing interface</w:t>
            </w:r>
          </w:p>
        </w:tc>
      </w:tr>
      <w:tr>
        <w:tc>
          <w:tcPr>
            <w:tcW w:type="dxa" w:w="2500"/>
            <w:shd w:fill="EDEDED" w:color="auto" w:val="clear"/>
            <w:vAlign w:val="center"/>
          </w:tcPr>
          <w:p>
            <w:r>
              <w:rPr>
                <w:b w:val="false"/>
                <w:bCs w:val="false"/>
                <w:sz w:val="20"/>
                <w:szCs w:val="20"/>
              </w:rPr>
              <w:t xml:space="preserve">AI Career Advisory Service</w:t>
            </w:r>
          </w:p>
        </w:tc>
        <w:tc>
          <w:tcPr>
            <w:tcW w:type="dxa" w:w="2700"/>
            <w:shd w:fill="EDEDED" w:color="auto" w:val="clear"/>
            <w:vAlign w:val="center"/>
          </w:tcPr>
          <w:p>
            <w:r>
              <w:rPr>
                <w:b w:val="false"/>
                <w:bCs w:val="false"/>
                <w:sz w:val="20"/>
                <w:szCs w:val="20"/>
              </w:rPr>
              <w:t xml:space="preserve">General product/engineering function</w:t>
            </w:r>
          </w:p>
        </w:tc>
        <w:tc>
          <w:tcPr>
            <w:tcW w:type="dxa" w:w="2700"/>
            <w:shd w:fill="EDEDED" w:color="auto" w:val="clear"/>
            <w:vAlign w:val="center"/>
          </w:tcPr>
          <w:p>
            <w:r>
              <w:rPr>
                <w:b w:val="false"/>
                <w:bCs w:val="false"/>
                <w:sz w:val="20"/>
                <w:szCs w:val="20"/>
              </w:rPr>
              <w:t xml:space="preserve">AI Intelligence domain product owner</w:t>
            </w:r>
          </w:p>
        </w:tc>
        <w:tc>
          <w:tcPr>
            <w:tcW w:type="dxa" w:w="3600"/>
            <w:shd w:fill="EDEDED" w:color="auto" w:val="clear"/>
            <w:vAlign w:val="center"/>
          </w:tcPr>
          <w:p>
            <w:r>
              <w:rPr>
                <w:b w:val="false"/>
                <w:bCs w:val="false"/>
                <w:sz w:val="20"/>
                <w:szCs w:val="20"/>
              </w:rPr>
              <w:t xml:space="preserve">Formal multi-agent supervision layer adopted</w:t>
            </w:r>
          </w:p>
        </w:tc>
      </w:tr>
      <w:tr>
        <w:tc>
          <w:tcPr>
            <w:tcW w:type="dxa" w:w="2500"/>
            <w:vAlign w:val="center"/>
          </w:tcPr>
          <w:p>
            <w:r>
              <w:rPr>
                <w:b w:val="false"/>
                <w:bCs w:val="false"/>
                <w:sz w:val="20"/>
                <w:szCs w:val="20"/>
              </w:rPr>
              <w:t xml:space="preserve">Resume Intelligence Service</w:t>
            </w:r>
          </w:p>
        </w:tc>
        <w:tc>
          <w:tcPr>
            <w:tcW w:type="dxa" w:w="2700"/>
            <w:vAlign w:val="center"/>
          </w:tcPr>
          <w:p>
            <w:r>
              <w:rPr>
                <w:b w:val="false"/>
                <w:bCs w:val="false"/>
                <w:sz w:val="20"/>
                <w:szCs w:val="20"/>
              </w:rPr>
              <w:t xml:space="preserve">General product/engineering function</w:t>
            </w:r>
          </w:p>
        </w:tc>
        <w:tc>
          <w:tcPr>
            <w:tcW w:type="dxa" w:w="2700"/>
            <w:vAlign w:val="center"/>
          </w:tcPr>
          <w:p>
            <w:r>
              <w:rPr>
                <w:b w:val="false"/>
                <w:bCs w:val="false"/>
                <w:sz w:val="20"/>
                <w:szCs w:val="20"/>
              </w:rPr>
              <w:t xml:space="preserve">Candidate Experience &amp; Growth domain product owner</w:t>
            </w:r>
          </w:p>
        </w:tc>
        <w:tc>
          <w:tcPr>
            <w:tcW w:type="dxa" w:w="3600"/>
            <w:vAlign w:val="center"/>
          </w:tcPr>
          <w:p>
            <w:r>
              <w:rPr>
                <w:b w:val="false"/>
                <w:bCs w:val="false"/>
                <w:sz w:val="20"/>
                <w:szCs w:val="20"/>
              </w:rPr>
              <w:t xml:space="preserve">Document-generation-to-application KPI formally tracked</w:t>
            </w:r>
          </w:p>
        </w:tc>
      </w:tr>
      <w:tr>
        <w:tc>
          <w:tcPr>
            <w:tcW w:type="dxa" w:w="2500"/>
            <w:shd w:fill="EDEDED" w:color="auto" w:val="clear"/>
            <w:vAlign w:val="center"/>
          </w:tcPr>
          <w:p>
            <w:r>
              <w:rPr>
                <w:b w:val="false"/>
                <w:bCs w:val="false"/>
                <w:sz w:val="20"/>
                <w:szCs w:val="20"/>
              </w:rPr>
              <w:t xml:space="preserve">Job Opportunity Service</w:t>
            </w:r>
          </w:p>
        </w:tc>
        <w:tc>
          <w:tcPr>
            <w:tcW w:type="dxa" w:w="2700"/>
            <w:shd w:fill="EDEDED" w:color="auto" w:val="clear"/>
            <w:vAlign w:val="center"/>
          </w:tcPr>
          <w:p>
            <w:r>
              <w:rPr>
                <w:b w:val="false"/>
                <w:bCs w:val="false"/>
                <w:sz w:val="20"/>
                <w:szCs w:val="20"/>
              </w:rPr>
              <w:t xml:space="preserve">General product/engineering function</w:t>
            </w:r>
          </w:p>
        </w:tc>
        <w:tc>
          <w:tcPr>
            <w:tcW w:type="dxa" w:w="2700"/>
            <w:shd w:fill="EDEDED" w:color="auto" w:val="clear"/>
            <w:vAlign w:val="center"/>
          </w:tcPr>
          <w:p>
            <w:r>
              <w:rPr>
                <w:b w:val="false"/>
                <w:bCs w:val="false"/>
                <w:sz w:val="20"/>
                <w:szCs w:val="20"/>
              </w:rPr>
              <w:t xml:space="preserve">Career Intelligence domain product owner (shared)</w:t>
            </w:r>
          </w:p>
        </w:tc>
        <w:tc>
          <w:tcPr>
            <w:tcW w:type="dxa" w:w="3600"/>
            <w:shd w:fill="EDEDED" w:color="auto" w:val="clear"/>
            <w:vAlign w:val="center"/>
          </w:tcPr>
          <w:p>
            <w:r>
              <w:rPr>
                <w:b w:val="false"/>
                <w:bCs w:val="false"/>
                <w:sz w:val="20"/>
                <w:szCs w:val="20"/>
              </w:rPr>
              <w:t xml:space="preserve">First live labor-market data source signed</w:t>
            </w:r>
          </w:p>
        </w:tc>
      </w:tr>
      <w:tr>
        <w:tc>
          <w:tcPr>
            <w:tcW w:type="dxa" w:w="2500"/>
            <w:vAlign w:val="center"/>
          </w:tcPr>
          <w:p>
            <w:r>
              <w:rPr>
                <w:b w:val="false"/>
                <w:bCs w:val="false"/>
                <w:sz w:val="20"/>
                <w:szCs w:val="20"/>
              </w:rPr>
              <w:t xml:space="preserve">Knowledge Intelligence Service</w:t>
            </w:r>
          </w:p>
        </w:tc>
        <w:tc>
          <w:tcPr>
            <w:tcW w:type="dxa" w:w="2700"/>
            <w:vAlign w:val="center"/>
          </w:tcPr>
          <w:p>
            <w:r>
              <w:rPr>
                <w:b w:val="false"/>
                <w:bCs w:val="false"/>
                <w:sz w:val="20"/>
                <w:szCs w:val="20"/>
              </w:rPr>
              <w:t xml:space="preserve">General product/engineering function</w:t>
            </w:r>
          </w:p>
        </w:tc>
        <w:tc>
          <w:tcPr>
            <w:tcW w:type="dxa" w:w="2700"/>
            <w:vAlign w:val="center"/>
          </w:tcPr>
          <w:p>
            <w:r>
              <w:rPr>
                <w:b w:val="false"/>
                <w:bCs w:val="false"/>
                <w:sz w:val="20"/>
                <w:szCs w:val="20"/>
              </w:rPr>
              <w:t xml:space="preserve">Dedicated knowledge steward role</w:t>
            </w:r>
          </w:p>
        </w:tc>
        <w:tc>
          <w:tcPr>
            <w:tcW w:type="dxa" w:w="3600"/>
            <w:vAlign w:val="center"/>
          </w:tcPr>
          <w:p>
            <w:r>
              <w:rPr>
                <w:b w:val="false"/>
                <w:bCs w:val="false"/>
                <w:sz w:val="20"/>
                <w:szCs w:val="20"/>
              </w:rPr>
              <w:t xml:space="preserve">First external partner data feed</w:t>
            </w:r>
          </w:p>
        </w:tc>
      </w:tr>
      <w:tr>
        <w:tc>
          <w:tcPr>
            <w:tcW w:type="dxa" w:w="2500"/>
            <w:shd w:fill="EDEDED" w:color="auto" w:val="clear"/>
            <w:vAlign w:val="center"/>
          </w:tcPr>
          <w:p>
            <w:r>
              <w:rPr>
                <w:b w:val="false"/>
                <w:bCs w:val="false"/>
                <w:sz w:val="20"/>
                <w:szCs w:val="20"/>
              </w:rPr>
              <w:t xml:space="preserve">Employer Collaboration Service</w:t>
            </w:r>
          </w:p>
        </w:tc>
        <w:tc>
          <w:tcPr>
            <w:tcW w:type="dxa" w:w="2700"/>
            <w:shd w:fill="EDEDED" w:color="auto" w:val="clear"/>
            <w:vAlign w:val="center"/>
          </w:tcPr>
          <w:p>
            <w:r>
              <w:rPr>
                <w:b w:val="false"/>
                <w:bCs w:val="false"/>
                <w:sz w:val="20"/>
                <w:szCs w:val="20"/>
              </w:rPr>
              <w:t xml:space="preserve">General product/engineering function</w:t>
            </w:r>
          </w:p>
        </w:tc>
        <w:tc>
          <w:tcPr>
            <w:tcW w:type="dxa" w:w="2700"/>
            <w:shd w:fill="EDEDED" w:color="auto" w:val="clear"/>
            <w:vAlign w:val="center"/>
          </w:tcPr>
          <w:p>
            <w:r>
              <w:rPr>
                <w:b w:val="false"/>
                <w:bCs w:val="false"/>
                <w:sz w:val="20"/>
                <w:szCs w:val="20"/>
              </w:rPr>
              <w:t xml:space="preserve">Employer domain product owner</w:t>
            </w:r>
          </w:p>
        </w:tc>
        <w:tc>
          <w:tcPr>
            <w:tcW w:type="dxa" w:w="3600"/>
            <w:shd w:fill="EDEDED" w:color="auto" w:val="clear"/>
            <w:vAlign w:val="center"/>
          </w:tcPr>
          <w:p>
            <w:r>
              <w:rPr>
                <w:b w:val="false"/>
                <w:bCs w:val="false"/>
                <w:sz w:val="20"/>
                <w:szCs w:val="20"/>
              </w:rPr>
              <w:t xml:space="preserve">First signed external employer partner</w:t>
            </w:r>
          </w:p>
        </w:tc>
      </w:tr>
      <w:tr>
        <w:tc>
          <w:tcPr>
            <w:tcW w:type="dxa" w:w="2500"/>
            <w:vAlign w:val="center"/>
          </w:tcPr>
          <w:p>
            <w:r>
              <w:rPr>
                <w:b w:val="false"/>
                <w:bCs w:val="false"/>
                <w:sz w:val="20"/>
                <w:szCs w:val="20"/>
              </w:rPr>
              <w:t xml:space="preserve">Growth &amp; Engagement Service</w:t>
            </w:r>
          </w:p>
        </w:tc>
        <w:tc>
          <w:tcPr>
            <w:tcW w:type="dxa" w:w="2700"/>
            <w:vAlign w:val="center"/>
          </w:tcPr>
          <w:p>
            <w:r>
              <w:rPr>
                <w:b w:val="false"/>
                <w:bCs w:val="false"/>
                <w:sz w:val="20"/>
                <w:szCs w:val="20"/>
              </w:rPr>
              <w:t xml:space="preserve">General product/engineering function</w:t>
            </w:r>
          </w:p>
        </w:tc>
        <w:tc>
          <w:tcPr>
            <w:tcW w:type="dxa" w:w="2700"/>
            <w:vAlign w:val="center"/>
          </w:tcPr>
          <w:p>
            <w:r>
              <w:rPr>
                <w:b w:val="false"/>
                <w:bCs w:val="false"/>
                <w:sz w:val="20"/>
                <w:szCs w:val="20"/>
              </w:rPr>
              <w:t xml:space="preserve">Candidate Experience &amp; Growth domain product owner (shared)</w:t>
            </w:r>
          </w:p>
        </w:tc>
        <w:tc>
          <w:tcPr>
            <w:tcW w:type="dxa" w:w="3600"/>
            <w:vAlign w:val="center"/>
          </w:tcPr>
          <w:p>
            <w:r>
              <w:rPr>
                <w:b w:val="false"/>
                <w:bCs w:val="false"/>
                <w:sz w:val="20"/>
                <w:szCs w:val="20"/>
              </w:rPr>
              <w:t xml:space="preserve">Engagement-to-outcome correlation validated</w:t>
            </w:r>
          </w:p>
        </w:tc>
      </w:tr>
      <w:tr>
        <w:tc>
          <w:tcPr>
            <w:tcW w:type="dxa" w:w="2500"/>
            <w:shd w:fill="EDEDED" w:color="auto" w:val="clear"/>
            <w:vAlign w:val="center"/>
          </w:tcPr>
          <w:p>
            <w:r>
              <w:rPr>
                <w:b w:val="false"/>
                <w:bCs w:val="false"/>
                <w:sz w:val="20"/>
                <w:szCs w:val="20"/>
              </w:rPr>
              <w:t xml:space="preserve">Identity &amp; Access Service</w:t>
            </w:r>
          </w:p>
        </w:tc>
        <w:tc>
          <w:tcPr>
            <w:tcW w:type="dxa" w:w="2700"/>
            <w:shd w:fill="EDEDED" w:color="auto" w:val="clear"/>
            <w:vAlign w:val="center"/>
          </w:tcPr>
          <w:p>
            <w:r>
              <w:rPr>
                <w:b w:val="false"/>
                <w:bCs w:val="false"/>
                <w:sz w:val="20"/>
                <w:szCs w:val="20"/>
              </w:rPr>
              <w:t xml:space="preserve">General product/engineering function</w:t>
            </w:r>
          </w:p>
        </w:tc>
        <w:tc>
          <w:tcPr>
            <w:tcW w:type="dxa" w:w="2700"/>
            <w:shd w:fill="EDEDED" w:color="auto" w:val="clear"/>
            <w:vAlign w:val="center"/>
          </w:tcPr>
          <w:p>
            <w:r>
              <w:rPr>
                <w:b w:val="false"/>
                <w:bCs w:val="false"/>
                <w:sz w:val="20"/>
                <w:szCs w:val="20"/>
              </w:rPr>
              <w:t xml:space="preserve">Dedicated access-stewardship owner</w:t>
            </w:r>
          </w:p>
        </w:tc>
        <w:tc>
          <w:tcPr>
            <w:tcW w:type="dxa" w:w="3600"/>
            <w:shd w:fill="EDEDED" w:color="auto" w:val="clear"/>
            <w:vAlign w:val="center"/>
          </w:tcPr>
          <w:p>
            <w:r>
              <w:rPr>
                <w:b w:val="false"/>
                <w:bCs w:val="false"/>
                <w:sz w:val="20"/>
                <w:szCs w:val="20"/>
              </w:rPr>
              <w:t xml:space="preserve">Headcount growth trigger, EEP-01 Phase H</w:t>
            </w:r>
          </w:p>
        </w:tc>
      </w:tr>
      <w:tr>
        <w:tc>
          <w:tcPr>
            <w:tcW w:type="dxa" w:w="2500"/>
            <w:vAlign w:val="center"/>
          </w:tcPr>
          <w:p>
            <w:r>
              <w:rPr>
                <w:b w:val="false"/>
                <w:bCs w:val="false"/>
                <w:sz w:val="20"/>
                <w:szCs w:val="20"/>
              </w:rPr>
              <w:t xml:space="preserve">Platform Administration Service</w:t>
            </w:r>
          </w:p>
        </w:tc>
        <w:tc>
          <w:tcPr>
            <w:tcW w:type="dxa" w:w="2700"/>
            <w:vAlign w:val="center"/>
          </w:tcPr>
          <w:p>
            <w:r>
              <w:rPr>
                <w:b w:val="false"/>
                <w:bCs w:val="false"/>
                <w:sz w:val="20"/>
                <w:szCs w:val="20"/>
              </w:rPr>
              <w:t xml:space="preserve">General product/engineering function</w:t>
            </w:r>
          </w:p>
        </w:tc>
        <w:tc>
          <w:tcPr>
            <w:tcW w:type="dxa" w:w="2700"/>
            <w:vAlign w:val="center"/>
          </w:tcPr>
          <w:p>
            <w:r>
              <w:rPr>
                <w:b w:val="false"/>
                <w:bCs w:val="false"/>
                <w:sz w:val="20"/>
                <w:szCs w:val="20"/>
              </w:rPr>
              <w:t xml:space="preserve">Dedicated platform/operations owner</w:t>
            </w:r>
          </w:p>
        </w:tc>
        <w:tc>
          <w:tcPr>
            <w:tcW w:type="dxa" w:w="3600"/>
            <w:vAlign w:val="center"/>
          </w:tcPr>
          <w:p>
            <w:r>
              <w:rPr>
                <w:b w:val="false"/>
                <w:bCs w:val="false"/>
                <w:sz w:val="20"/>
                <w:szCs w:val="20"/>
              </w:rPr>
              <w:t xml:space="preserve">Headcount growth trigger, EEP-01 Phase H</w:t>
            </w:r>
          </w:p>
        </w:tc>
      </w:tr>
      <w:tr>
        <w:tc>
          <w:tcPr>
            <w:tcW w:type="dxa" w:w="2500"/>
            <w:shd w:fill="EDEDED" w:color="auto" w:val="clear"/>
            <w:vAlign w:val="center"/>
          </w:tcPr>
          <w:p>
            <w:r>
              <w:rPr>
                <w:b w:val="false"/>
                <w:bCs w:val="false"/>
                <w:sz w:val="20"/>
                <w:szCs w:val="20"/>
              </w:rPr>
              <w:t xml:space="preserve">Analytics &amp; Reporting Service</w:t>
            </w:r>
          </w:p>
        </w:tc>
        <w:tc>
          <w:tcPr>
            <w:tcW w:type="dxa" w:w="2700"/>
            <w:shd w:fill="EDEDED" w:color="auto" w:val="clear"/>
            <w:vAlign w:val="center"/>
          </w:tcPr>
          <w:p>
            <w:r>
              <w:rPr>
                <w:b w:val="false"/>
                <w:bCs w:val="false"/>
                <w:sz w:val="20"/>
                <w:szCs w:val="20"/>
              </w:rPr>
              <w:t xml:space="preserve">General product/engineering function</w:t>
            </w:r>
          </w:p>
        </w:tc>
        <w:tc>
          <w:tcPr>
            <w:tcW w:type="dxa" w:w="2700"/>
            <w:shd w:fill="EDEDED" w:color="auto" w:val="clear"/>
            <w:vAlign w:val="center"/>
          </w:tcPr>
          <w:p>
            <w:r>
              <w:rPr>
                <w:b w:val="false"/>
                <w:bCs w:val="false"/>
                <w:sz w:val="20"/>
                <w:szCs w:val="20"/>
              </w:rPr>
              <w:t xml:space="preserve">Shared with Governance &amp; Assurance owner</w:t>
            </w:r>
          </w:p>
        </w:tc>
        <w:tc>
          <w:tcPr>
            <w:tcW w:type="dxa" w:w="3600"/>
            <w:shd w:fill="EDEDED" w:color="auto" w:val="clear"/>
            <w:vAlign w:val="center"/>
          </w:tcPr>
          <w:p>
            <w:r>
              <w:rPr>
                <w:b w:val="false"/>
                <w:bCs w:val="false"/>
                <w:sz w:val="20"/>
                <w:szCs w:val="20"/>
              </w:rPr>
              <w:t xml:space="preserve">Cross-service KPI dashboard formally adopted</w:t>
            </w:r>
          </w:p>
        </w:tc>
      </w:tr>
      <w:tr>
        <w:tc>
          <w:tcPr>
            <w:tcW w:type="dxa" w:w="2500"/>
            <w:vAlign w:val="center"/>
          </w:tcPr>
          <w:p>
            <w:r>
              <w:rPr>
                <w:b w:val="false"/>
                <w:bCs w:val="false"/>
                <w:sz w:val="20"/>
                <w:szCs w:val="20"/>
              </w:rPr>
              <w:t xml:space="preserve">Governance &amp; Assurance Service</w:t>
            </w:r>
          </w:p>
        </w:tc>
        <w:tc>
          <w:tcPr>
            <w:tcW w:type="dxa" w:w="2700"/>
            <w:vAlign w:val="center"/>
          </w:tcPr>
          <w:p>
            <w:r>
              <w:rPr>
                <w:b w:val="false"/>
                <w:bCs w:val="false"/>
                <w:sz w:val="20"/>
                <w:szCs w:val="20"/>
              </w:rPr>
              <w:t xml:space="preserve">General product/engineering function</w:t>
            </w:r>
          </w:p>
        </w:tc>
        <w:tc>
          <w:tcPr>
            <w:tcW w:type="dxa" w:w="2700"/>
            <w:vAlign w:val="center"/>
          </w:tcPr>
          <w:p>
            <w:r>
              <w:rPr>
                <w:b w:val="false"/>
                <w:bCs w:val="false"/>
                <w:sz w:val="20"/>
                <w:szCs w:val="20"/>
              </w:rPr>
              <w:t xml:space="preserve">Dedicated governance/quality owner</w:t>
            </w:r>
          </w:p>
        </w:tc>
        <w:tc>
          <w:tcPr>
            <w:tcW w:type="dxa" w:w="3600"/>
            <w:vAlign w:val="center"/>
          </w:tcPr>
          <w:p>
            <w:r>
              <w:rPr>
                <w:b w:val="false"/>
                <w:bCs w:val="false"/>
                <w:sz w:val="20"/>
                <w:szCs w:val="20"/>
              </w:rPr>
              <w:t xml:space="preserve">Headcount growth trigger, EEP-01 Phase H/I</w:t>
            </w:r>
          </w:p>
        </w:tc>
      </w:tr>
    </w:tbl>
    <w:p>
      <w:pPr>
        <w:pStyle w:val="Heading2"/>
        <w:spacing w:after="150" w:before="300"/>
      </w:pPr>
      <w:r>
        <w:t xml:space="preserve">8.1 Knowledge Steward and Governance Owner</w:t>
      </w:r>
    </w:p>
    <w:p>
      <w:pPr>
        <w:spacing w:after="160"/>
      </w:pPr>
      <w:r>
        <w:t xml:space="preserve">No separately evidenced knowledge-steward or governance-owner role exists in the repository today; both responsibilities are currently exercised by the same general engineering function that owns everything else in this table. This is named directly, not obscured, consistent with Phase A Section 12's finding for capability ownership.</w:t>
      </w:r>
    </w:p>
    <w:p>
      <w:pPr>
        <w:pStyle w:val="Heading1"/>
        <w:spacing w:after="200" w:before="400"/>
      </w:pPr>
      <w:r>
        <w:t xml:space="preserve">9. Business Service Maturity</w:t>
      </w:r>
    </w:p>
    <w:p>
      <w:pPr>
        <w:spacing w:after="160"/>
      </w:pPr>
      <w:r>
        <w:t xml:space="preserve">Maturity levels follow the same five-level model used throughout EEP-02: Level 1 Initial, Level 2 Emerging, Level 3 Managed, Level 4 Integrated, Level 5 Optimized. Every assessment below is repeated from, or directly derived from, the maturity evidence already established per-service in Section 5.</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5200"/>
      </w:tblGrid>
      <w:tr>
        <w:trPr>
          <w:tblHeader/>
        </w:trPr>
        <w:tc>
          <w:tcPr>
            <w:tcW w:type="dxa" w:w="3200"/>
            <w:shd w:fill="1F3864" w:color="auto" w:val="clear"/>
            <w:vAlign w:val="center"/>
          </w:tcPr>
          <w:p>
            <w:r>
              <w:rPr>
                <w:b/>
                <w:bCs/>
                <w:color w:val="FFFFFF"/>
                <w:sz w:val="20"/>
                <w:szCs w:val="20"/>
              </w:rPr>
              <w:t xml:space="preserve">Service</w:t>
            </w:r>
          </w:p>
        </w:tc>
        <w:tc>
          <w:tcPr>
            <w:tcW w:type="dxa" w:w="2600"/>
            <w:shd w:fill="1F3864" w:color="auto" w:val="clear"/>
            <w:vAlign w:val="center"/>
          </w:tcPr>
          <w:p>
            <w:r>
              <w:rPr>
                <w:b/>
                <w:bCs/>
                <w:color w:val="FFFFFF"/>
                <w:sz w:val="20"/>
                <w:szCs w:val="20"/>
              </w:rPr>
              <w:t xml:space="preserve">Level</w:t>
            </w:r>
          </w:p>
        </w:tc>
        <w:tc>
          <w:tcPr>
            <w:tcW w:type="dxa" w:w="5200"/>
            <w:shd w:fill="1F3864" w:color="auto" w:val="clear"/>
            <w:vAlign w:val="center"/>
          </w:tcPr>
          <w:p>
            <w:r>
              <w:rPr>
                <w:b/>
                <w:bCs/>
                <w:color w:val="FFFFFF"/>
                <w:sz w:val="20"/>
                <w:szCs w:val="20"/>
              </w:rPr>
              <w:t xml:space="preserve">Evidence</w:t>
            </w:r>
          </w:p>
        </w:tc>
      </w:tr>
      <w:tr>
        <w:tc>
          <w:tcPr>
            <w:tcW w:type="dxa" w:w="3200"/>
            <w:vAlign w:val="center"/>
          </w:tcPr>
          <w:p>
            <w:r>
              <w:rPr>
                <w:b w:val="false"/>
                <w:bCs w:val="false"/>
                <w:sz w:val="20"/>
                <w:szCs w:val="20"/>
              </w:rPr>
              <w:t xml:space="preserve">Student Onboarding Service</w:t>
            </w:r>
          </w:p>
        </w:tc>
        <w:tc>
          <w:tcPr>
            <w:tcW w:type="dxa" w:w="2600"/>
            <w:vAlign w:val="center"/>
          </w:tcPr>
          <w:p>
            <w:r>
              <w:rPr>
                <w:b w:val="false"/>
                <w:bCs w:val="false"/>
                <w:sz w:val="20"/>
                <w:szCs w:val="20"/>
              </w:rPr>
              <w:t xml:space="preserve">4 — Integrated</w:t>
            </w:r>
          </w:p>
        </w:tc>
        <w:tc>
          <w:tcPr>
            <w:tcW w:type="dxa" w:w="5200"/>
            <w:vAlign w:val="center"/>
          </w:tcPr>
          <w:p>
            <w:r>
              <w:rPr>
                <w:b w:val="false"/>
                <w:bCs w:val="false"/>
                <w:sz w:val="20"/>
                <w:szCs w:val="20"/>
              </w:rPr>
              <w:t xml:space="preserve">Backend modules and matching front-end features/hooks both evidenced with a single documented step-ordering source of truth</w:t>
            </w:r>
          </w:p>
        </w:tc>
      </w:tr>
      <w:tr>
        <w:tc>
          <w:tcPr>
            <w:tcW w:type="dxa" w:w="3200"/>
            <w:shd w:fill="EDEDED" w:color="auto" w:val="clear"/>
            <w:vAlign w:val="center"/>
          </w:tcPr>
          <w:p>
            <w:r>
              <w:rPr>
                <w:b w:val="false"/>
                <w:bCs w:val="false"/>
                <w:sz w:val="20"/>
                <w:szCs w:val="20"/>
              </w:rPr>
              <w:t xml:space="preserve">Academic Profile Service</w:t>
            </w:r>
          </w:p>
        </w:tc>
        <w:tc>
          <w:tcPr>
            <w:tcW w:type="dxa" w:w="2600"/>
            <w:shd w:fill="EDEDED" w:color="auto" w:val="clear"/>
            <w:vAlign w:val="center"/>
          </w:tcPr>
          <w:p>
            <w:r>
              <w:rPr>
                <w:b w:val="false"/>
                <w:bCs w:val="false"/>
                <w:sz w:val="20"/>
                <w:szCs w:val="20"/>
              </w:rPr>
              <w:t xml:space="preserve">4 — Integrated</w:t>
            </w:r>
          </w:p>
        </w:tc>
        <w:tc>
          <w:tcPr>
            <w:tcW w:type="dxa" w:w="5200"/>
            <w:shd w:fill="EDEDED" w:color="auto" w:val="clear"/>
            <w:vAlign w:val="center"/>
          </w:tcPr>
          <w:p>
            <w:r>
              <w:rPr>
                <w:b w:val="false"/>
                <w:bCs w:val="false"/>
                <w:sz w:val="20"/>
                <w:szCs w:val="20"/>
              </w:rPr>
              <w:t xml:space="preserve">26-table physical model already authoritative for 9+ downstream systems</w:t>
            </w:r>
          </w:p>
        </w:tc>
      </w:tr>
      <w:tr>
        <w:tc>
          <w:tcPr>
            <w:tcW w:type="dxa" w:w="3200"/>
            <w:vAlign w:val="center"/>
          </w:tcPr>
          <w:p>
            <w:r>
              <w:rPr>
                <w:b w:val="false"/>
                <w:bCs w:val="false"/>
                <w:sz w:val="20"/>
                <w:szCs w:val="20"/>
              </w:rPr>
              <w:t xml:space="preserve">Career Recommendation Service</w:t>
            </w:r>
          </w:p>
        </w:tc>
        <w:tc>
          <w:tcPr>
            <w:tcW w:type="dxa" w:w="2600"/>
            <w:vAlign w:val="center"/>
          </w:tcPr>
          <w:p>
            <w:r>
              <w:rPr>
                <w:b w:val="false"/>
                <w:bCs w:val="false"/>
                <w:sz w:val="20"/>
                <w:szCs w:val="20"/>
              </w:rPr>
              <w:t xml:space="preserve">3 — Managed</w:t>
            </w:r>
          </w:p>
        </w:tc>
        <w:tc>
          <w:tcPr>
            <w:tcW w:type="dxa" w:w="5200"/>
            <w:vAlign w:val="center"/>
          </w:tcPr>
          <w:p>
            <w:r>
              <w:rPr>
                <w:b w:val="false"/>
                <w:bCs w:val="false"/>
                <w:sz w:val="20"/>
                <w:szCs w:val="20"/>
              </w:rPr>
              <w:t xml:space="preserve">Six-agent career-copilot in production; capped by mock market data</w:t>
            </w:r>
          </w:p>
        </w:tc>
      </w:tr>
      <w:tr>
        <w:tc>
          <w:tcPr>
            <w:tcW w:type="dxa" w:w="3200"/>
            <w:shd w:fill="EDEDED" w:color="auto" w:val="clear"/>
            <w:vAlign w:val="center"/>
          </w:tcPr>
          <w:p>
            <w:r>
              <w:rPr>
                <w:b w:val="false"/>
                <w:bCs w:val="false"/>
                <w:sz w:val="20"/>
                <w:szCs w:val="20"/>
              </w:rPr>
              <w:t xml:space="preserve">Career Health Service</w:t>
            </w:r>
          </w:p>
        </w:tc>
        <w:tc>
          <w:tcPr>
            <w:tcW w:type="dxa" w:w="2600"/>
            <w:shd w:fill="EDEDED" w:color="auto" w:val="clear"/>
            <w:vAlign w:val="center"/>
          </w:tcPr>
          <w:p>
            <w:r>
              <w:rPr>
                <w:b w:val="false"/>
                <w:bCs w:val="false"/>
                <w:sz w:val="20"/>
                <w:szCs w:val="20"/>
              </w:rPr>
              <w:t xml:space="preserve">2/3 — Emerging/Managed</w:t>
            </w:r>
          </w:p>
        </w:tc>
        <w:tc>
          <w:tcPr>
            <w:tcW w:type="dxa" w:w="5200"/>
            <w:shd w:fill="EDEDED" w:color="auto" w:val="clear"/>
            <w:vAlign w:val="center"/>
          </w:tcPr>
          <w:p>
            <w:r>
              <w:rPr>
                <w:b w:val="false"/>
                <w:bCs w:val="false"/>
                <w:sz w:val="20"/>
                <w:szCs w:val="20"/>
              </w:rPr>
              <w:t xml:space="preserve">Dual careerHealthIndex/chiV2 implementation, in-flight migration</w:t>
            </w:r>
          </w:p>
        </w:tc>
      </w:tr>
      <w:tr>
        <w:tc>
          <w:tcPr>
            <w:tcW w:type="dxa" w:w="3200"/>
            <w:vAlign w:val="center"/>
          </w:tcPr>
          <w:p>
            <w:r>
              <w:rPr>
                <w:b w:val="false"/>
                <w:bCs w:val="false"/>
                <w:sz w:val="20"/>
                <w:szCs w:val="20"/>
              </w:rPr>
              <w:t xml:space="preserve">Career Planning &amp; Simulation Service</w:t>
            </w:r>
          </w:p>
        </w:tc>
        <w:tc>
          <w:tcPr>
            <w:tcW w:type="dxa" w:w="2600"/>
            <w:vAlign w:val="center"/>
          </w:tcPr>
          <w:p>
            <w:r>
              <w:rPr>
                <w:b w:val="false"/>
                <w:bCs w:val="false"/>
                <w:sz w:val="20"/>
                <w:szCs w:val="20"/>
              </w:rPr>
              <w:t xml:space="preserve">1 — Initial</w:t>
            </w:r>
          </w:p>
        </w:tc>
        <w:tc>
          <w:tcPr>
            <w:tcW w:type="dxa" w:w="5200"/>
            <w:vAlign w:val="center"/>
          </w:tcPr>
          <w:p>
            <w:r>
              <w:rPr>
                <w:b w:val="false"/>
                <w:bCs w:val="false"/>
                <w:sz w:val="20"/>
                <w:szCs w:val="20"/>
              </w:rPr>
              <w:t xml:space="preserve">Module exists as a public interface shell; no populated simulation engine evidenced</w:t>
            </w:r>
          </w:p>
        </w:tc>
      </w:tr>
      <w:tr>
        <w:tc>
          <w:tcPr>
            <w:tcW w:type="dxa" w:w="3200"/>
            <w:shd w:fill="EDEDED" w:color="auto" w:val="clear"/>
            <w:vAlign w:val="center"/>
          </w:tcPr>
          <w:p>
            <w:r>
              <w:rPr>
                <w:b w:val="false"/>
                <w:bCs w:val="false"/>
                <w:sz w:val="20"/>
                <w:szCs w:val="20"/>
              </w:rPr>
              <w:t xml:space="preserve">AI Career Advisory Service</w:t>
            </w:r>
          </w:p>
        </w:tc>
        <w:tc>
          <w:tcPr>
            <w:tcW w:type="dxa" w:w="2600"/>
            <w:shd w:fill="EDEDED" w:color="auto" w:val="clear"/>
            <w:vAlign w:val="center"/>
          </w:tcPr>
          <w:p>
            <w:r>
              <w:rPr>
                <w:b w:val="false"/>
                <w:bCs w:val="false"/>
                <w:sz w:val="20"/>
                <w:szCs w:val="20"/>
              </w:rPr>
              <w:t xml:space="preserve">4 — Integrated</w:t>
            </w:r>
          </w:p>
        </w:tc>
        <w:tc>
          <w:tcPr>
            <w:tcW w:type="dxa" w:w="5200"/>
            <w:shd w:fill="EDEDED" w:color="auto" w:val="clear"/>
            <w:vAlign w:val="center"/>
          </w:tcPr>
          <w:p>
            <w:r>
              <w:rPr>
                <w:b w:val="false"/>
                <w:bCs w:val="false"/>
                <w:sz w:val="20"/>
                <w:szCs w:val="20"/>
              </w:rPr>
              <w:t xml:space="preserve">Five-provider fallback chain already in production; two agents run in parallel</w:t>
            </w:r>
          </w:p>
        </w:tc>
      </w:tr>
      <w:tr>
        <w:tc>
          <w:tcPr>
            <w:tcW w:type="dxa" w:w="3200"/>
            <w:vAlign w:val="center"/>
          </w:tcPr>
          <w:p>
            <w:r>
              <w:rPr>
                <w:b w:val="false"/>
                <w:bCs w:val="false"/>
                <w:sz w:val="20"/>
                <w:szCs w:val="20"/>
              </w:rPr>
              <w:t xml:space="preserve">Resume Intelligence Service</w:t>
            </w:r>
          </w:p>
        </w:tc>
        <w:tc>
          <w:tcPr>
            <w:tcW w:type="dxa" w:w="2600"/>
            <w:vAlign w:val="center"/>
          </w:tcPr>
          <w:p>
            <w:r>
              <w:rPr>
                <w:b w:val="false"/>
                <w:bCs w:val="false"/>
                <w:sz w:val="20"/>
                <w:szCs w:val="20"/>
              </w:rPr>
              <w:t xml:space="preserve">3 — Managed</w:t>
            </w:r>
          </w:p>
        </w:tc>
        <w:tc>
          <w:tcPr>
            <w:tcW w:type="dxa" w:w="5200"/>
            <w:vAlign w:val="center"/>
          </w:tcPr>
          <w:p>
            <w:r>
              <w:rPr>
                <w:b w:val="false"/>
                <w:bCs w:val="false"/>
                <w:sz w:val="20"/>
                <w:szCs w:val="20"/>
              </w:rPr>
              <w:t xml:space="preserve">Dedicated backend and front-end paths both evidenced end to end</w:t>
            </w:r>
          </w:p>
        </w:tc>
      </w:tr>
      <w:tr>
        <w:tc>
          <w:tcPr>
            <w:tcW w:type="dxa" w:w="3200"/>
            <w:shd w:fill="EDEDED" w:color="auto" w:val="clear"/>
            <w:vAlign w:val="center"/>
          </w:tcPr>
          <w:p>
            <w:r>
              <w:rPr>
                <w:b w:val="false"/>
                <w:bCs w:val="false"/>
                <w:sz w:val="20"/>
                <w:szCs w:val="20"/>
              </w:rPr>
              <w:t xml:space="preserve">Job Opportunity Service</w:t>
            </w:r>
          </w:p>
        </w:tc>
        <w:tc>
          <w:tcPr>
            <w:tcW w:type="dxa" w:w="2600"/>
            <w:shd w:fill="EDEDED" w:color="auto" w:val="clear"/>
            <w:vAlign w:val="center"/>
          </w:tcPr>
          <w:p>
            <w:r>
              <w:rPr>
                <w:b w:val="false"/>
                <w:bCs w:val="false"/>
                <w:sz w:val="20"/>
                <w:szCs w:val="20"/>
              </w:rPr>
              <w:t xml:space="preserve">2 — Emerging, structurally capped</w:t>
            </w:r>
          </w:p>
        </w:tc>
        <w:tc>
          <w:tcPr>
            <w:tcW w:type="dxa" w:w="5200"/>
            <w:shd w:fill="EDEDED" w:color="auto" w:val="clear"/>
            <w:vAlign w:val="center"/>
          </w:tcPr>
          <w:p>
            <w:r>
              <w:rPr>
                <w:b w:val="false"/>
                <w:bCs w:val="false"/>
                <w:sz w:val="20"/>
                <w:szCs w:val="20"/>
              </w:rPr>
              <w:t xml:space="preserve">Routed and named; capped by the same mock market-data gap as Knowledge Intelligence Service</w:t>
            </w:r>
          </w:p>
        </w:tc>
      </w:tr>
      <w:tr>
        <w:tc>
          <w:tcPr>
            <w:tcW w:type="dxa" w:w="3200"/>
            <w:vAlign w:val="center"/>
          </w:tcPr>
          <w:p>
            <w:r>
              <w:rPr>
                <w:b w:val="false"/>
                <w:bCs w:val="false"/>
                <w:sz w:val="20"/>
                <w:szCs w:val="20"/>
              </w:rPr>
              <w:t xml:space="preserve">Knowledge Intelligence Service</w:t>
            </w:r>
          </w:p>
        </w:tc>
        <w:tc>
          <w:tcPr>
            <w:tcW w:type="dxa" w:w="2600"/>
            <w:vAlign w:val="center"/>
          </w:tcPr>
          <w:p>
            <w:r>
              <w:rPr>
                <w:b w:val="false"/>
                <w:bCs w:val="false"/>
                <w:sz w:val="20"/>
                <w:szCs w:val="20"/>
              </w:rPr>
              <w:t xml:space="preserve">2/3 — Emerging/Managed</w:t>
            </w:r>
          </w:p>
        </w:tc>
        <w:tc>
          <w:tcPr>
            <w:tcW w:type="dxa" w:w="5200"/>
            <w:vAlign w:val="center"/>
          </w:tcPr>
          <w:p>
            <w:r>
              <w:rPr>
                <w:b w:val="false"/>
                <w:bCs w:val="false"/>
                <w:sz w:val="20"/>
                <w:szCs w:val="20"/>
              </w:rPr>
              <w:t xml:space="preserve">Populated taxonomy and skill graph; mock, not live, market signal</w:t>
            </w:r>
          </w:p>
        </w:tc>
      </w:tr>
      <w:tr>
        <w:tc>
          <w:tcPr>
            <w:tcW w:type="dxa" w:w="3200"/>
            <w:shd w:fill="EDEDED" w:color="auto" w:val="clear"/>
            <w:vAlign w:val="center"/>
          </w:tcPr>
          <w:p>
            <w:r>
              <w:rPr>
                <w:b w:val="false"/>
                <w:bCs w:val="false"/>
                <w:sz w:val="20"/>
                <w:szCs w:val="20"/>
              </w:rPr>
              <w:t xml:space="preserve">Employer Collaboration Service</w:t>
            </w:r>
          </w:p>
        </w:tc>
        <w:tc>
          <w:tcPr>
            <w:tcW w:type="dxa" w:w="2600"/>
            <w:shd w:fill="EDEDED" w:color="auto" w:val="clear"/>
            <w:vAlign w:val="center"/>
          </w:tcPr>
          <w:p>
            <w:r>
              <w:rPr>
                <w:b w:val="false"/>
                <w:bCs w:val="false"/>
                <w:sz w:val="20"/>
                <w:szCs w:val="20"/>
              </w:rPr>
              <w:t xml:space="preserve">1 — Initial</w:t>
            </w:r>
          </w:p>
        </w:tc>
        <w:tc>
          <w:tcPr>
            <w:tcW w:type="dxa" w:w="5200"/>
            <w:shd w:fill="EDEDED" w:color="auto" w:val="clear"/>
            <w:vAlign w:val="center"/>
          </w:tcPr>
          <w:p>
            <w:r>
              <w:rPr>
                <w:b w:val="false"/>
                <w:bCs w:val="false"/>
                <w:sz w:val="20"/>
                <w:szCs w:val="20"/>
              </w:rPr>
              <w:t xml:space="preserve">Routed modules exist; no signed external partner integration evidenced</w:t>
            </w:r>
          </w:p>
        </w:tc>
      </w:tr>
      <w:tr>
        <w:tc>
          <w:tcPr>
            <w:tcW w:type="dxa" w:w="3200"/>
            <w:vAlign w:val="center"/>
          </w:tcPr>
          <w:p>
            <w:r>
              <w:rPr>
                <w:b w:val="false"/>
                <w:bCs w:val="false"/>
                <w:sz w:val="20"/>
                <w:szCs w:val="20"/>
              </w:rPr>
              <w:t xml:space="preserve">Growth &amp; Engagement Service</w:t>
            </w:r>
          </w:p>
        </w:tc>
        <w:tc>
          <w:tcPr>
            <w:tcW w:type="dxa" w:w="2600"/>
            <w:vAlign w:val="center"/>
          </w:tcPr>
          <w:p>
            <w:r>
              <w:rPr>
                <w:b w:val="false"/>
                <w:bCs w:val="false"/>
                <w:sz w:val="20"/>
                <w:szCs w:val="20"/>
              </w:rPr>
              <w:t xml:space="preserve">2 — Emerging</w:t>
            </w:r>
          </w:p>
        </w:tc>
        <w:tc>
          <w:tcPr>
            <w:tcW w:type="dxa" w:w="5200"/>
            <w:vAlign w:val="center"/>
          </w:tcPr>
          <w:p>
            <w:r>
              <w:rPr>
                <w:b w:val="false"/>
                <w:bCs w:val="false"/>
                <w:sz w:val="20"/>
                <w:szCs w:val="20"/>
              </w:rPr>
              <w:t xml:space="preserve">Implemented; outcome impact not yet validated</w:t>
            </w:r>
          </w:p>
        </w:tc>
      </w:tr>
      <w:tr>
        <w:tc>
          <w:tcPr>
            <w:tcW w:type="dxa" w:w="3200"/>
            <w:shd w:fill="EDEDED" w:color="auto" w:val="clear"/>
            <w:vAlign w:val="center"/>
          </w:tcPr>
          <w:p>
            <w:r>
              <w:rPr>
                <w:b w:val="false"/>
                <w:bCs w:val="false"/>
                <w:sz w:val="20"/>
                <w:szCs w:val="20"/>
              </w:rPr>
              <w:t xml:space="preserve">Identity &amp; Access Service</w:t>
            </w:r>
          </w:p>
        </w:tc>
        <w:tc>
          <w:tcPr>
            <w:tcW w:type="dxa" w:w="2600"/>
            <w:shd w:fill="EDEDED" w:color="auto" w:val="clear"/>
            <w:vAlign w:val="center"/>
          </w:tcPr>
          <w:p>
            <w:r>
              <w:rPr>
                <w:b w:val="false"/>
                <w:bCs w:val="false"/>
                <w:sz w:val="20"/>
                <w:szCs w:val="20"/>
              </w:rPr>
              <w:t xml:space="preserve">3 — Managed</w:t>
            </w:r>
          </w:p>
        </w:tc>
        <w:tc>
          <w:tcPr>
            <w:tcW w:type="dxa" w:w="5200"/>
            <w:shd w:fill="EDEDED" w:color="auto" w:val="clear"/>
            <w:vAlign w:val="center"/>
          </w:tcPr>
          <w:p>
            <w:r>
              <w:rPr>
                <w:b w:val="false"/>
                <w:bCs w:val="false"/>
                <w:sz w:val="20"/>
                <w:szCs w:val="20"/>
              </w:rPr>
              <w:t xml:space="preserve">EEP-01 Phase B security architecture complete</w:t>
            </w:r>
          </w:p>
        </w:tc>
      </w:tr>
      <w:tr>
        <w:tc>
          <w:tcPr>
            <w:tcW w:type="dxa" w:w="3200"/>
            <w:vAlign w:val="center"/>
          </w:tcPr>
          <w:p>
            <w:r>
              <w:rPr>
                <w:b w:val="false"/>
                <w:bCs w:val="false"/>
                <w:sz w:val="20"/>
                <w:szCs w:val="20"/>
              </w:rPr>
              <w:t xml:space="preserve">Platform Administration Service</w:t>
            </w:r>
          </w:p>
        </w:tc>
        <w:tc>
          <w:tcPr>
            <w:tcW w:type="dxa" w:w="2600"/>
            <w:vAlign w:val="center"/>
          </w:tcPr>
          <w:p>
            <w:r>
              <w:rPr>
                <w:b w:val="false"/>
                <w:bCs w:val="false"/>
                <w:sz w:val="20"/>
                <w:szCs w:val="20"/>
              </w:rPr>
              <w:t xml:space="preserve">1/2 — Initial/Emerging</w:t>
            </w:r>
          </w:p>
        </w:tc>
        <w:tc>
          <w:tcPr>
            <w:tcW w:type="dxa" w:w="5200"/>
            <w:vAlign w:val="center"/>
          </w:tcPr>
          <w:p>
            <w:r>
              <w:rPr>
                <w:b w:val="false"/>
                <w:bCs w:val="false"/>
                <w:sz w:val="20"/>
                <w:szCs w:val="20"/>
              </w:rPr>
              <w:t xml:space="preserve">Plaintext credential files found stored in the repository during this investigation</w:t>
            </w:r>
          </w:p>
        </w:tc>
      </w:tr>
      <w:tr>
        <w:tc>
          <w:tcPr>
            <w:tcW w:type="dxa" w:w="3200"/>
            <w:shd w:fill="EDEDED" w:color="auto" w:val="clear"/>
            <w:vAlign w:val="center"/>
          </w:tcPr>
          <w:p>
            <w:r>
              <w:rPr>
                <w:b w:val="false"/>
                <w:bCs w:val="false"/>
                <w:sz w:val="20"/>
                <w:szCs w:val="20"/>
              </w:rPr>
              <w:t xml:space="preserve">Analytics &amp; Reporting Service</w:t>
            </w:r>
          </w:p>
        </w:tc>
        <w:tc>
          <w:tcPr>
            <w:tcW w:type="dxa" w:w="2600"/>
            <w:shd w:fill="EDEDED" w:color="auto" w:val="clear"/>
            <w:vAlign w:val="center"/>
          </w:tcPr>
          <w:p>
            <w:r>
              <w:rPr>
                <w:b w:val="false"/>
                <w:bCs w:val="false"/>
                <w:sz w:val="20"/>
                <w:szCs w:val="20"/>
              </w:rPr>
              <w:t xml:space="preserve">2/3 — Emerging/Managed</w:t>
            </w:r>
          </w:p>
        </w:tc>
        <w:tc>
          <w:tcPr>
            <w:tcW w:type="dxa" w:w="5200"/>
            <w:shd w:fill="EDEDED" w:color="auto" w:val="clear"/>
            <w:vAlign w:val="center"/>
          </w:tcPr>
          <w:p>
            <w:r>
              <w:rPr>
                <w:b w:val="false"/>
                <w:bCs w:val="false"/>
                <w:sz w:val="20"/>
                <w:szCs w:val="20"/>
              </w:rPr>
              <w:t xml:space="preserve">Telemetry modules evidenced in front/src/telemetry</w:t>
            </w:r>
          </w:p>
        </w:tc>
      </w:tr>
      <w:tr>
        <w:tc>
          <w:tcPr>
            <w:tcW w:type="dxa" w:w="3200"/>
            <w:vAlign w:val="center"/>
          </w:tcPr>
          <w:p>
            <w:r>
              <w:rPr>
                <w:b w:val="false"/>
                <w:bCs w:val="false"/>
                <w:sz w:val="20"/>
                <w:szCs w:val="20"/>
              </w:rPr>
              <w:t xml:space="preserve">Governance &amp; Assurance Service</w:t>
            </w:r>
          </w:p>
        </w:tc>
        <w:tc>
          <w:tcPr>
            <w:tcW w:type="dxa" w:w="2600"/>
            <w:vAlign w:val="center"/>
          </w:tcPr>
          <w:p>
            <w:r>
              <w:rPr>
                <w:b w:val="false"/>
                <w:bCs w:val="false"/>
                <w:sz w:val="20"/>
                <w:szCs w:val="20"/>
              </w:rPr>
              <w:t xml:space="preserve">2/3 — Emerging/Managed</w:t>
            </w:r>
          </w:p>
        </w:tc>
        <w:tc>
          <w:tcPr>
            <w:tcW w:type="dxa" w:w="5200"/>
            <w:vAlign w:val="center"/>
          </w:tcPr>
          <w:p>
            <w:r>
              <w:rPr>
                <w:b w:val="false"/>
                <w:bCs w:val="false"/>
                <w:sz w:val="20"/>
                <w:szCs w:val="20"/>
              </w:rPr>
              <w:t xml:space="preserve">Tooling exists but has partially drifted from what it claims to enforce (EEP-01 Phase J)</w:t>
            </w:r>
          </w:p>
        </w:tc>
      </w:tr>
    </w:tbl>
    <w:p>
      <w:pPr>
        <w:pStyle w:val="Heading1"/>
        <w:spacing w:after="200" w:before="400"/>
      </w:pPr>
      <w:r>
        <w:t xml:space="preserve">10. Current State vs Target State</w:t>
      </w:r>
    </w:p>
    <w:p>
      <w:pPr>
        <w:pStyle w:val="Heading2"/>
        <w:spacing w:after="150" w:before="300"/>
      </w:pPr>
      <w:r>
        <w:t xml:space="preserve">10.1 Current Services</w:t>
      </w:r>
    </w:p>
    <w:p>
      <w:pPr>
        <w:spacing w:after="160"/>
      </w:pPr>
      <w:r>
        <w:t xml:space="preserve">Fifteen business services operate today at maturity levels ranging from Level 1 (Career Planning &amp; Simulation Service, Employer Collaboration Service) to Level 4 (Student Onboarding, Academic Profile, AI Career Advisory services).</w:t>
      </w:r>
    </w:p>
    <w:p>
      <w:pPr>
        <w:pStyle w:val="Heading2"/>
        <w:spacing w:after="150" w:before="300"/>
      </w:pPr>
      <w:r>
        <w:t xml:space="preserve">10.2 Missing Services</w:t>
      </w:r>
    </w:p>
    <w:p>
      <w:pPr>
        <w:spacing w:after="160"/>
      </w:pPr>
      <w:r>
        <w:t xml:space="preserve">No business service required by a value stream in Phase C is entirely absent from this catalog; the gaps that exist are maturity gaps within named services (Section 9), not missing services.</w:t>
      </w:r>
    </w:p>
    <w:p>
      <w:pPr>
        <w:pStyle w:val="Heading2"/>
        <w:spacing w:after="150" w:before="300"/>
      </w:pPr>
      <w:r>
        <w:t xml:space="preserve">10.3 Future Services</w:t>
      </w:r>
    </w:p>
    <w:p>
      <w:pPr>
        <w:spacing w:after="160"/>
      </w:pPr>
      <w:r>
        <w:t xml:space="preserve">Career Outcome Intelligence Service and Partner &amp; Ecosystem Intelligence Service (Section 5.14) are the only two genuine future candidates, matching Phase C Section 4.3's identical two-item future value stream list — this document does not expand that list beyond what Phase C already evidenced.</w:t>
      </w:r>
    </w:p>
    <w:p>
      <w:pPr>
        <w:pStyle w:val="Heading2"/>
        <w:spacing w:after="150" w:before="300"/>
      </w:pPr>
      <w:r>
        <w:t xml:space="preserve">10.4 Strategic Services</w:t>
      </w:r>
    </w:p>
    <w:p>
      <w:pPr>
        <w:spacing w:after="160"/>
      </w:pPr>
      <w:r>
        <w:t xml:space="preserve">Career Recommendation Service and Employer Collaboration Service are the two services carrying explicit strategic weight: the former as the platform's core current differentiation, the latter as the named path to a two-sided market despite its Level 1 current maturity.</w:t>
      </w:r>
    </w:p>
    <w:p>
      <w:pPr>
        <w:pStyle w:val="Heading2"/>
        <w:spacing w:after="150" w:before="300"/>
      </w:pPr>
      <w:r>
        <w:t xml:space="preserve">10.5 Shared Enterprise Services</w:t>
      </w:r>
    </w:p>
    <w:p>
      <w:pPr>
        <w:spacing w:after="160"/>
      </w:pPr>
      <w:r>
        <w:t xml:space="preserve">Identity &amp; Access Service, Platform Administration Service, Governance &amp; Assurance Service, and Knowledge Intelligence Service are shared/horizontal, consumed by multiple other services rather than serving one stakeholder segment directly.</w:t>
      </w:r>
    </w:p>
    <w:p>
      <w:pPr>
        <w:pStyle w:val="Heading2"/>
        <w:spacing w:after="150" w:before="300"/>
      </w:pPr>
      <w:r>
        <w:t xml:space="preserve">10.6 Evolution Path and Adoption Triggers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200"/>
        <w:gridCol w:w="5000"/>
      </w:tblGrid>
      <w:tr>
        <w:trPr>
          <w:tblHeader/>
        </w:trPr>
        <w:tc>
          <w:tcPr>
            <w:tcW w:type="dxa" w:w="5200"/>
            <w:shd w:fill="1F3864" w:color="auto" w:val="clear"/>
            <w:vAlign w:val="center"/>
          </w:tcPr>
          <w:p>
            <w:r>
              <w:rPr>
                <w:b/>
                <w:bCs/>
                <w:color w:val="FFFFFF"/>
                <w:sz w:val="20"/>
                <w:szCs w:val="20"/>
              </w:rPr>
              <w:t xml:space="preserve">Evolution</w:t>
            </w:r>
          </w:p>
        </w:tc>
        <w:tc>
          <w:tcPr>
            <w:tcW w:type="dxa" w:w="5000"/>
            <w:shd w:fill="1F3864" w:color="auto" w:val="clear"/>
            <w:vAlign w:val="center"/>
          </w:tcPr>
          <w:p>
            <w:r>
              <w:rPr>
                <w:b/>
                <w:bCs/>
                <w:color w:val="FFFFFF"/>
                <w:sz w:val="20"/>
                <w:szCs w:val="20"/>
              </w:rPr>
              <w:t xml:space="preserve">Adoption trigger</w:t>
            </w:r>
          </w:p>
        </w:tc>
      </w:tr>
      <w:tr>
        <w:tc>
          <w:tcPr>
            <w:tcW w:type="dxa" w:w="5200"/>
            <w:vAlign w:val="center"/>
          </w:tcPr>
          <w:p>
            <w:r>
              <w:rPr>
                <w:b w:val="false"/>
                <w:bCs w:val="false"/>
                <w:sz w:val="20"/>
                <w:szCs w:val="20"/>
              </w:rPr>
              <w:t xml:space="preserve">Career Health Service reaches Level 4</w:t>
            </w:r>
          </w:p>
        </w:tc>
        <w:tc>
          <w:tcPr>
            <w:tcW w:type="dxa" w:w="5000"/>
            <w:vAlign w:val="center"/>
          </w:tcPr>
          <w:p>
            <w:r>
              <w:rPr>
                <w:b w:val="false"/>
                <w:bCs w:val="false"/>
                <w:sz w:val="20"/>
                <w:szCs w:val="20"/>
              </w:rPr>
              <w:t xml:space="preserve">chiV2 cutover completed and careerHealthIndex retired</w:t>
            </w:r>
          </w:p>
        </w:tc>
      </w:tr>
      <w:tr>
        <w:tc>
          <w:tcPr>
            <w:tcW w:type="dxa" w:w="5200"/>
            <w:shd w:fill="EDEDED" w:color="auto" w:val="clear"/>
            <w:vAlign w:val="center"/>
          </w:tcPr>
          <w:p>
            <w:r>
              <w:rPr>
                <w:b w:val="false"/>
                <w:bCs w:val="false"/>
                <w:sz w:val="20"/>
                <w:szCs w:val="20"/>
              </w:rPr>
              <w:t xml:space="preserve">Career Recommendation, Knowledge Intelligence, and Job Opportunity services all advance one level</w:t>
            </w:r>
          </w:p>
        </w:tc>
        <w:tc>
          <w:tcPr>
            <w:tcW w:type="dxa" w:w="5000"/>
            <w:shd w:fill="EDEDED" w:color="auto" w:val="clear"/>
            <w:vAlign w:val="center"/>
          </w:tcPr>
          <w:p>
            <w:r>
              <w:rPr>
                <w:b w:val="false"/>
                <w:bCs w:val="false"/>
                <w:sz w:val="20"/>
                <w:szCs w:val="20"/>
              </w:rPr>
              <w:t xml:space="preserve">First live labor-market/partner data feed signed</w:t>
            </w:r>
          </w:p>
        </w:tc>
      </w:tr>
      <w:tr>
        <w:tc>
          <w:tcPr>
            <w:tcW w:type="dxa" w:w="5200"/>
            <w:vAlign w:val="center"/>
          </w:tcPr>
          <w:p>
            <w:r>
              <w:rPr>
                <w:b w:val="false"/>
                <w:bCs w:val="false"/>
                <w:sz w:val="20"/>
                <w:szCs w:val="20"/>
              </w:rPr>
              <w:t xml:space="preserve">Career Planning &amp; Simulation Service reaches Level 3</w:t>
            </w:r>
          </w:p>
        </w:tc>
        <w:tc>
          <w:tcPr>
            <w:tcW w:type="dxa" w:w="5000"/>
            <w:vAlign w:val="center"/>
          </w:tcPr>
          <w:p>
            <w:r>
              <w:rPr>
                <w:b w:val="false"/>
                <w:bCs w:val="false"/>
                <w:sz w:val="20"/>
                <w:szCs w:val="20"/>
              </w:rPr>
              <w:t xml:space="preserve">Simulation engine populated behind its existing module interface</w:t>
            </w:r>
          </w:p>
        </w:tc>
      </w:tr>
      <w:tr>
        <w:tc>
          <w:tcPr>
            <w:tcW w:type="dxa" w:w="5200"/>
            <w:shd w:fill="EDEDED" w:color="auto" w:val="clear"/>
            <w:vAlign w:val="center"/>
          </w:tcPr>
          <w:p>
            <w:r>
              <w:rPr>
                <w:b w:val="false"/>
                <w:bCs w:val="false"/>
                <w:sz w:val="20"/>
                <w:szCs w:val="20"/>
              </w:rPr>
              <w:t xml:space="preserve">Employer Collaboration Service reaches Level 2+</w:t>
            </w:r>
          </w:p>
        </w:tc>
        <w:tc>
          <w:tcPr>
            <w:tcW w:type="dxa" w:w="5000"/>
            <w:shd w:fill="EDEDED" w:color="auto" w:val="clear"/>
            <w:vAlign w:val="center"/>
          </w:tcPr>
          <w:p>
            <w:r>
              <w:rPr>
                <w:b w:val="false"/>
                <w:bCs w:val="false"/>
                <w:sz w:val="20"/>
                <w:szCs w:val="20"/>
              </w:rPr>
              <w:t xml:space="preserve">First signed external employer partner</w:t>
            </w:r>
          </w:p>
        </w:tc>
      </w:tr>
      <w:tr>
        <w:tc>
          <w:tcPr>
            <w:tcW w:type="dxa" w:w="5200"/>
            <w:vAlign w:val="center"/>
          </w:tcPr>
          <w:p>
            <w:r>
              <w:rPr>
                <w:b w:val="false"/>
                <w:bCs w:val="false"/>
                <w:sz w:val="20"/>
                <w:szCs w:val="20"/>
              </w:rPr>
              <w:t xml:space="preserve">Platform Administration Service reaches Level 3</w:t>
            </w:r>
          </w:p>
        </w:tc>
        <w:tc>
          <w:tcPr>
            <w:tcW w:type="dxa" w:w="5000"/>
            <w:vAlign w:val="center"/>
          </w:tcPr>
          <w:p>
            <w:r>
              <w:rPr>
                <w:b w:val="false"/>
                <w:bCs w:val="false"/>
                <w:sz w:val="20"/>
                <w:szCs w:val="20"/>
              </w:rPr>
              <w:t xml:space="preserve">Credential material migrated out of the repository into a managed secrets store</w:t>
            </w:r>
          </w:p>
        </w:tc>
      </w:tr>
      <w:tr>
        <w:tc>
          <w:tcPr>
            <w:tcW w:type="dxa" w:w="5200"/>
            <w:shd w:fill="EDEDED" w:color="auto" w:val="clear"/>
            <w:vAlign w:val="center"/>
          </w:tcPr>
          <w:p>
            <w:r>
              <w:rPr>
                <w:b w:val="false"/>
                <w:bCs w:val="false"/>
                <w:sz w:val="20"/>
                <w:szCs w:val="20"/>
              </w:rPr>
              <w:t xml:space="preserve">Career Outcome Intelligence Service begins (Level 0 → 1)</w:t>
            </w:r>
          </w:p>
        </w:tc>
        <w:tc>
          <w:tcPr>
            <w:tcW w:type="dxa" w:w="5000"/>
            <w:shd w:fill="EDEDED" w:color="auto" w:val="clear"/>
            <w:vAlign w:val="center"/>
          </w:tcPr>
          <w:p>
            <w:r>
              <w:rPr>
                <w:b w:val="false"/>
                <w:bCs w:val="false"/>
                <w:sz w:val="20"/>
                <w:szCs w:val="20"/>
              </w:rPr>
              <w:t xml:space="preserve">First outcome-tracking data source identified and connected</w:t>
            </w:r>
          </w:p>
        </w:tc>
      </w:tr>
      <w:tr>
        <w:tc>
          <w:tcPr>
            <w:tcW w:type="dxa" w:w="5200"/>
            <w:vAlign w:val="center"/>
          </w:tcPr>
          <w:p>
            <w:r>
              <w:rPr>
                <w:b w:val="false"/>
                <w:bCs w:val="false"/>
                <w:sz w:val="20"/>
                <w:szCs w:val="20"/>
              </w:rPr>
              <w:t xml:space="preserve">Partner &amp; Ecosystem Intelligence Service begins (Level 0 → 1)</w:t>
            </w:r>
          </w:p>
        </w:tc>
        <w:tc>
          <w:tcPr>
            <w:tcW w:type="dxa" w:w="5000"/>
            <w:vAlign w:val="center"/>
          </w:tcPr>
          <w:p>
            <w:r>
              <w:rPr>
                <w:b w:val="false"/>
                <w:bCs w:val="false"/>
                <w:sz w:val="20"/>
                <w:szCs w:val="20"/>
              </w:rPr>
              <w:t xml:space="preserve">Employer Collaboration Service's first partner is signed</w:t>
            </w:r>
          </w:p>
        </w:tc>
      </w:tr>
    </w:tbl>
    <w:p>
      <w:pPr>
        <w:pStyle w:val="Heading1"/>
        <w:spacing w:after="200" w:before="400"/>
      </w:pPr>
      <w:r>
        <w:t xml:space="preserve">11. Enterprise Service Heat Map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800"/>
      </w:tblGrid>
      <w:tr>
        <w:trPr>
          <w:tblHeader/>
        </w:trPr>
        <w:tc>
          <w:tcPr>
            <w:tcW w:type="dxa" w:w="2200"/>
            <w:shd w:fill="1F3864" w:color="auto" w:val="clear"/>
            <w:vAlign w:val="center"/>
          </w:tcPr>
          <w:p>
            <w:r>
              <w:rPr>
                <w:b/>
                <w:bCs/>
                <w:color w:val="FFFFFF"/>
                <w:sz w:val="20"/>
                <w:szCs w:val="20"/>
              </w:rPr>
              <w:t xml:space="preserve">Classification</w:t>
            </w:r>
          </w:p>
        </w:tc>
        <w:tc>
          <w:tcPr>
            <w:tcW w:type="dxa" w:w="4200"/>
            <w:shd w:fill="1F3864" w:color="auto" w:val="clear"/>
            <w:vAlign w:val="center"/>
          </w:tcPr>
          <w:p>
            <w:r>
              <w:rPr>
                <w:b/>
                <w:bCs/>
                <w:color w:val="FFFFFF"/>
                <w:sz w:val="20"/>
                <w:szCs w:val="20"/>
              </w:rPr>
              <w:t xml:space="preserve">Services</w:t>
            </w:r>
          </w:p>
        </w:tc>
        <w:tc>
          <w:tcPr>
            <w:tcW w:type="dxa" w:w="3800"/>
            <w:shd w:fill="1F3864" w:color="auto" w:val="clear"/>
            <w:vAlign w:val="center"/>
          </w:tcPr>
          <w:p>
            <w:r>
              <w:rPr>
                <w:b/>
                <w:bCs/>
                <w:color w:val="FFFFFF"/>
                <w:sz w:val="20"/>
                <w:szCs w:val="20"/>
              </w:rPr>
              <w:t xml:space="preserve">Rationale</w:t>
            </w:r>
          </w:p>
        </w:tc>
      </w:tr>
      <w:tr>
        <w:tc>
          <w:tcPr>
            <w:tcW w:type="dxa" w:w="2200"/>
            <w:vAlign w:val="center"/>
          </w:tcPr>
          <w:p>
            <w:r>
              <w:rPr>
                <w:b w:val="false"/>
                <w:bCs w:val="false"/>
                <w:sz w:val="20"/>
                <w:szCs w:val="20"/>
              </w:rPr>
              <w:t xml:space="preserve">Strategic Investment</w:t>
            </w:r>
          </w:p>
        </w:tc>
        <w:tc>
          <w:tcPr>
            <w:tcW w:type="dxa" w:w="4200"/>
            <w:vAlign w:val="center"/>
          </w:tcPr>
          <w:p>
            <w:r>
              <w:rPr>
                <w:b w:val="false"/>
                <w:bCs w:val="false"/>
                <w:sz w:val="20"/>
                <w:szCs w:val="20"/>
              </w:rPr>
              <w:t xml:space="preserve">Career Recommendation Service; Employer Collaboration Service</w:t>
            </w:r>
          </w:p>
        </w:tc>
        <w:tc>
          <w:tcPr>
            <w:tcW w:type="dxa" w:w="3800"/>
            <w:vAlign w:val="center"/>
          </w:tcPr>
          <w:p>
            <w:r>
              <w:rPr>
                <w:b w:val="false"/>
                <w:bCs w:val="false"/>
                <w:sz w:val="20"/>
                <w:szCs w:val="20"/>
              </w:rPr>
              <w:t xml:space="preserve">Core differentiation and the platform's largest, intentional strategic gap</w:t>
            </w:r>
          </w:p>
        </w:tc>
      </w:tr>
      <w:tr>
        <w:tc>
          <w:tcPr>
            <w:tcW w:type="dxa" w:w="2200"/>
            <w:shd w:fill="EDEDED" w:color="auto" w:val="clear"/>
            <w:vAlign w:val="center"/>
          </w:tcPr>
          <w:p>
            <w:r>
              <w:rPr>
                <w:b w:val="false"/>
                <w:bCs w:val="false"/>
                <w:sz w:val="20"/>
                <w:szCs w:val="20"/>
              </w:rPr>
              <w:t xml:space="preserve">Maintain</w:t>
            </w:r>
          </w:p>
        </w:tc>
        <w:tc>
          <w:tcPr>
            <w:tcW w:type="dxa" w:w="4200"/>
            <w:shd w:fill="EDEDED" w:color="auto" w:val="clear"/>
            <w:vAlign w:val="center"/>
          </w:tcPr>
          <w:p>
            <w:r>
              <w:rPr>
                <w:b w:val="false"/>
                <w:bCs w:val="false"/>
                <w:sz w:val="20"/>
                <w:szCs w:val="20"/>
              </w:rPr>
              <w:t xml:space="preserve">Student Onboarding Service; Academic Profile Service; AI Career Advisory Service; Identity &amp; Access Service</w:t>
            </w:r>
          </w:p>
        </w:tc>
        <w:tc>
          <w:tcPr>
            <w:tcW w:type="dxa" w:w="3800"/>
            <w:shd w:fill="EDEDED" w:color="auto" w:val="clear"/>
            <w:vAlign w:val="center"/>
          </w:tcPr>
          <w:p>
            <w:r>
              <w:rPr>
                <w:b w:val="false"/>
                <w:bCs w:val="false"/>
                <w:sz w:val="20"/>
                <w:szCs w:val="20"/>
              </w:rPr>
              <w:t xml:space="preserve">Already at Level 3-4; further investment has diminishing near-term return</w:t>
            </w:r>
          </w:p>
        </w:tc>
      </w:tr>
      <w:tr>
        <w:tc>
          <w:tcPr>
            <w:tcW w:type="dxa" w:w="2200"/>
            <w:vAlign w:val="center"/>
          </w:tcPr>
          <w:p>
            <w:r>
              <w:rPr>
                <w:b w:val="false"/>
                <w:bCs w:val="false"/>
                <w:sz w:val="20"/>
                <w:szCs w:val="20"/>
              </w:rPr>
              <w:t xml:space="preserve">Improve</w:t>
            </w:r>
          </w:p>
        </w:tc>
        <w:tc>
          <w:tcPr>
            <w:tcW w:type="dxa" w:w="4200"/>
            <w:vAlign w:val="center"/>
          </w:tcPr>
          <w:p>
            <w:r>
              <w:rPr>
                <w:b w:val="false"/>
                <w:bCs w:val="false"/>
                <w:sz w:val="20"/>
                <w:szCs w:val="20"/>
              </w:rPr>
              <w:t xml:space="preserve">Career Health Service; Knowledge Intelligence Service; Job Opportunity Service; Platform Administration Service; Governance &amp; Assurance Service</w:t>
            </w:r>
          </w:p>
        </w:tc>
        <w:tc>
          <w:tcPr>
            <w:tcW w:type="dxa" w:w="3800"/>
            <w:vAlign w:val="center"/>
          </w:tcPr>
          <w:p>
            <w:r>
              <w:rPr>
                <w:b w:val="false"/>
                <w:bCs w:val="false"/>
                <w:sz w:val="20"/>
                <w:szCs w:val="20"/>
              </w:rPr>
              <w:t xml:space="preserve">Real, named gaps (dual implementation, mock data, plaintext credentials, tooling drift) with clear closure paths</w:t>
            </w:r>
          </w:p>
        </w:tc>
      </w:tr>
      <w:tr>
        <w:tc>
          <w:tcPr>
            <w:tcW w:type="dxa" w:w="2200"/>
            <w:shd w:fill="EDEDED" w:color="auto" w:val="clear"/>
            <w:vAlign w:val="center"/>
          </w:tcPr>
          <w:p>
            <w:r>
              <w:rPr>
                <w:b w:val="false"/>
                <w:bCs w:val="false"/>
                <w:sz w:val="20"/>
                <w:szCs w:val="20"/>
              </w:rPr>
              <w:t xml:space="preserve">Emerging</w:t>
            </w:r>
          </w:p>
        </w:tc>
        <w:tc>
          <w:tcPr>
            <w:tcW w:type="dxa" w:w="4200"/>
            <w:shd w:fill="EDEDED" w:color="auto" w:val="clear"/>
            <w:vAlign w:val="center"/>
          </w:tcPr>
          <w:p>
            <w:r>
              <w:rPr>
                <w:b w:val="false"/>
                <w:bCs w:val="false"/>
                <w:sz w:val="20"/>
                <w:szCs w:val="20"/>
              </w:rPr>
              <w:t xml:space="preserve">Resume Intelligence Service; Growth &amp; Engagement Service; Analytics &amp; Reporting Service</w:t>
            </w:r>
          </w:p>
        </w:tc>
        <w:tc>
          <w:tcPr>
            <w:tcW w:type="dxa" w:w="3800"/>
            <w:shd w:fill="EDEDED" w:color="auto" w:val="clear"/>
            <w:vAlign w:val="center"/>
          </w:tcPr>
          <w:p>
            <w:r>
              <w:rPr>
                <w:b w:val="false"/>
                <w:bCs w:val="false"/>
                <w:sz w:val="20"/>
                <w:szCs w:val="20"/>
              </w:rPr>
              <w:t xml:space="preserve">Functionally evidenced, not yet fully instrumented against business outcome</w:t>
            </w:r>
          </w:p>
        </w:tc>
      </w:tr>
      <w:tr>
        <w:tc>
          <w:tcPr>
            <w:tcW w:type="dxa" w:w="2200"/>
            <w:vAlign w:val="center"/>
          </w:tcPr>
          <w:p>
            <w:r>
              <w:rPr>
                <w:b w:val="false"/>
                <w:bCs w:val="false"/>
                <w:sz w:val="20"/>
                <w:szCs w:val="20"/>
              </w:rPr>
              <w:t xml:space="preserve">Experimental</w:t>
            </w:r>
          </w:p>
        </w:tc>
        <w:tc>
          <w:tcPr>
            <w:tcW w:type="dxa" w:w="4200"/>
            <w:vAlign w:val="center"/>
          </w:tcPr>
          <w:p>
            <w:r>
              <w:rPr>
                <w:b w:val="false"/>
                <w:bCs w:val="false"/>
                <w:sz w:val="20"/>
                <w:szCs w:val="20"/>
              </w:rPr>
              <w:t xml:space="preserve">Career Planning &amp; Simulation Service</w:t>
            </w:r>
          </w:p>
        </w:tc>
        <w:tc>
          <w:tcPr>
            <w:tcW w:type="dxa" w:w="3800"/>
            <w:vAlign w:val="center"/>
          </w:tcPr>
          <w:p>
            <w:r>
              <w:rPr>
                <w:b w:val="false"/>
                <w:bCs w:val="false"/>
                <w:sz w:val="20"/>
                <w:szCs w:val="20"/>
              </w:rPr>
              <w:t xml:space="preserve">Interface exists; no populated engine behind it yet</w:t>
            </w:r>
          </w:p>
        </w:tc>
      </w:tr>
      <w:tr>
        <w:tc>
          <w:tcPr>
            <w:tcW w:type="dxa" w:w="2200"/>
            <w:shd w:fill="EDEDED" w:color="auto" w:val="clear"/>
            <w:vAlign w:val="center"/>
          </w:tcPr>
          <w:p>
            <w:r>
              <w:rPr>
                <w:b w:val="false"/>
                <w:bCs w:val="false"/>
                <w:sz w:val="20"/>
                <w:szCs w:val="20"/>
              </w:rPr>
              <w:t xml:space="preserve">Future</w:t>
            </w:r>
          </w:p>
        </w:tc>
        <w:tc>
          <w:tcPr>
            <w:tcW w:type="dxa" w:w="4200"/>
            <w:shd w:fill="EDEDED" w:color="auto" w:val="clear"/>
            <w:vAlign w:val="center"/>
          </w:tcPr>
          <w:p>
            <w:r>
              <w:rPr>
                <w:b w:val="false"/>
                <w:bCs w:val="false"/>
                <w:sz w:val="20"/>
                <w:szCs w:val="20"/>
              </w:rPr>
              <w:t xml:space="preserve">Career Outcome Intelligence Service; Partner &amp; Ecosystem Intelligence Service</w:t>
            </w:r>
          </w:p>
        </w:tc>
        <w:tc>
          <w:tcPr>
            <w:tcW w:type="dxa" w:w="3800"/>
            <w:shd w:fill="EDEDED" w:color="auto" w:val="clear"/>
            <w:vAlign w:val="center"/>
          </w:tcPr>
          <w:p>
            <w:r>
              <w:rPr>
                <w:b w:val="false"/>
                <w:bCs w:val="false"/>
                <w:sz w:val="20"/>
                <w:szCs w:val="20"/>
              </w:rPr>
              <w:t xml:space="preserve">Level 0, not yet started, evidenced only as genuine candidates</w:t>
            </w:r>
          </w:p>
        </w:tc>
      </w:tr>
      <w:tr>
        <w:tc>
          <w:tcPr>
            <w:tcW w:type="dxa" w:w="2200"/>
            <w:vAlign w:val="center"/>
          </w:tcPr>
          <w:p>
            <w:r>
              <w:rPr>
                <w:b w:val="false"/>
                <w:bCs w:val="false"/>
                <w:sz w:val="20"/>
                <w:szCs w:val="20"/>
              </w:rPr>
              <w:t xml:space="preserve">Legacy</w:t>
            </w:r>
          </w:p>
        </w:tc>
        <w:tc>
          <w:tcPr>
            <w:tcW w:type="dxa" w:w="4200"/>
            <w:vAlign w:val="center"/>
          </w:tcPr>
          <w:p>
            <w:r>
              <w:rPr>
                <w:b w:val="false"/>
                <w:bCs w:val="false"/>
                <w:sz w:val="20"/>
                <w:szCs w:val="20"/>
              </w:rPr>
              <w:t xml:space="preserve">None</w:t>
            </w:r>
          </w:p>
        </w:tc>
        <w:tc>
          <w:tcPr>
            <w:tcW w:type="dxa" w:w="3800"/>
            <w:vAlign w:val="center"/>
          </w:tcPr>
          <w:p>
            <w:r>
              <w:rPr>
                <w:b w:val="false"/>
                <w:bCs w:val="false"/>
                <w:sz w:val="20"/>
                <w:szCs w:val="20"/>
              </w:rPr>
              <w:t xml:space="preserve">No service in this portfolio carries evidence of deprecation or retirement</w:t>
            </w:r>
          </w:p>
        </w:tc>
      </w:tr>
    </w:tbl>
    <w:p>
      <w:pPr>
        <w:pStyle w:val="Heading1"/>
        <w:spacing w:after="200" w:before="400"/>
      </w:pPr>
      <w:r>
        <w:t xml:space="preserve">12. Enterprise Business Service Roadmap</w:t>
      </w:r>
    </w:p>
    <w:p>
      <w:pPr>
        <w:pStyle w:val="Heading2"/>
        <w:spacing w:after="150" w:before="300"/>
      </w:pPr>
      <w:r>
        <w:t xml:space="preserve">12.1 Short-Term</w:t>
      </w:r>
    </w:p>
    <w:p>
      <w:pPr>
        <w:pStyle w:val="ListParagraph"/>
        <w:numPr>
          <w:ilvl w:val="0"/>
          <w:numId w:val="1"/>
        </w:numPr>
        <w:spacing w:after="80"/>
      </w:pPr>
      <w:r>
        <w:t xml:space="preserve">Make data provenance (mock vs. live labor-market data) visible wherever Career Recommendation, Knowledge Intelligence, or Job Opportunity service output reaches a student. Trigger: none required — immediate, low-cost mitigation.</w:t>
      </w:r>
    </w:p>
    <w:p>
      <w:pPr>
        <w:pStyle w:val="ListParagraph"/>
        <w:numPr>
          <w:ilvl w:val="0"/>
          <w:numId w:val="1"/>
        </w:numPr>
        <w:spacing w:after="80"/>
      </w:pPr>
      <w:r>
        <w:t xml:space="preserve">Name chiV2 cutover as an owned, dated item for Career Health Service rather than an implicit background migration. Trigger: none required — closes an open capability-risk window.</w:t>
      </w:r>
    </w:p>
    <w:p>
      <w:pPr>
        <w:pStyle w:val="ListParagraph"/>
        <w:numPr>
          <w:ilvl w:val="0"/>
          <w:numId w:val="1"/>
        </w:numPr>
        <w:spacing w:after="80"/>
      </w:pPr>
      <w:r>
        <w:t xml:space="preserve">Rotate and relocate plaintext credential material found during this investigation to a managed secrets store for Platform Administration Service. Trigger: none required — immediate remediation, independent of roadmap timing.</w:t>
      </w:r>
    </w:p>
    <w:p>
      <w:pPr>
        <w:pStyle w:val="ListParagraph"/>
        <w:numPr>
          <w:ilvl w:val="0"/>
          <w:numId w:val="1"/>
        </w:numPr>
        <w:spacing w:after="80"/>
      </w:pPr>
      <w:r>
        <w:t xml:space="preserve">Instrument recommendation acceptance as a first-class KPI for Career Recommendation Service. Trigger: none required.</w:t>
      </w:r>
    </w:p>
    <w:p>
      <w:pPr>
        <w:pStyle w:val="Heading2"/>
        <w:spacing w:after="150" w:before="300"/>
      </w:pPr>
      <w:r>
        <w:t xml:space="preserve">12.2 Medium-Term</w:t>
      </w:r>
    </w:p>
    <w:p>
      <w:pPr>
        <w:pStyle w:val="ListParagraph"/>
        <w:numPr>
          <w:ilvl w:val="0"/>
          <w:numId w:val="1"/>
        </w:numPr>
        <w:spacing w:after="80"/>
      </w:pPr>
      <w:r>
        <w:t xml:space="preserve">Secure and connect the first live labor-market/partner data feed. Trigger: first signed data or partner agreement. Advances Career Recommendation, Knowledge Intelligence, and Job Opportunity services simultaneously.</w:t>
      </w:r>
    </w:p>
    <w:p>
      <w:pPr>
        <w:pStyle w:val="ListParagraph"/>
        <w:numPr>
          <w:ilvl w:val="0"/>
          <w:numId w:val="1"/>
        </w:numPr>
        <w:spacing w:after="80"/>
      </w:pPr>
      <w:r>
        <w:t xml:space="preserve">Pursue the first Employer Collaboration Service partner conversation. Trigger: none required to begin; service-level maturity advance triggers on signature.</w:t>
      </w:r>
    </w:p>
    <w:p>
      <w:pPr>
        <w:pStyle w:val="ListParagraph"/>
        <w:numPr>
          <w:ilvl w:val="0"/>
          <w:numId w:val="1"/>
        </w:numPr>
        <w:spacing w:after="80"/>
      </w:pPr>
      <w:r>
        <w:t xml:space="preserve">Populate the Career Planning &amp; Simulation Service module behind its existing interface. Trigger: Academic Profile Service data completeness sufficient for a first simulation model.</w:t>
      </w:r>
    </w:p>
    <w:p>
      <w:pPr>
        <w:pStyle w:val="ListParagraph"/>
        <w:numPr>
          <w:ilvl w:val="0"/>
          <w:numId w:val="1"/>
        </w:numPr>
        <w:spacing w:after="80"/>
      </w:pPr>
      <w:r>
        <w:t xml:space="preserve">Formalize multi-agent supervision (shared memory, agent-to-agent handoff) for AI Career Advisory Service. Trigger: EEP-01 Phase F Part 8's stated trigger — more than 10 distinct multi-step AI workflows.</w:t>
      </w:r>
    </w:p>
    <w:p>
      <w:pPr>
        <w:pStyle w:val="Heading2"/>
        <w:spacing w:after="150" w:before="300"/>
      </w:pPr>
      <w:r>
        <w:t xml:space="preserve">12.3 Long-Term</w:t>
      </w:r>
    </w:p>
    <w:p>
      <w:pPr>
        <w:pStyle w:val="ListParagraph"/>
        <w:numPr>
          <w:ilvl w:val="0"/>
          <w:numId w:val="1"/>
        </w:numPr>
        <w:spacing w:after="80"/>
      </w:pPr>
      <w:r>
        <w:t xml:space="preserve">Begin Career Outcome Intelligence Service. Trigger: first outcome-tracking data source identified.</w:t>
      </w:r>
    </w:p>
    <w:p>
      <w:pPr>
        <w:pStyle w:val="ListParagraph"/>
        <w:numPr>
          <w:ilvl w:val="0"/>
          <w:numId w:val="1"/>
        </w:numPr>
        <w:spacing w:after="80"/>
      </w:pPr>
      <w:r>
        <w:t xml:space="preserve">Begin Partner &amp; Ecosystem Intelligence Service. Trigger: Employer Collaboration Service's first partner signed, then extended to schools/universities and other data providers.</w:t>
      </w:r>
    </w:p>
    <w:p>
      <w:pPr>
        <w:pStyle w:val="ListParagraph"/>
        <w:numPr>
          <w:ilvl w:val="0"/>
          <w:numId w:val="1"/>
        </w:numPr>
        <w:spacing w:after="80"/>
      </w:pPr>
      <w:r>
        <w:t xml:space="preserve">Introduce formal, versioned business-service contracts (SLAs) between services, closing the governance gap named in Section 6.5. Trigger: three or more services with independently changing release cadences.</w:t>
      </w:r>
    </w:p>
    <w:p>
      <w:pPr>
        <w:pStyle w:val="Heading2"/>
        <w:spacing w:after="150" w:before="300"/>
      </w:pPr>
      <w:r>
        <w:t xml:space="preserve">12.4 Enterprise Evolution</w:t>
      </w:r>
    </w:p>
    <w:p>
      <w:pPr>
        <w:spacing w:after="160"/>
      </w:pPr>
      <w:r>
        <w:t xml:space="preserve">The roadmap is sequenced so that a single medium-term action — the first live labor-market data feed — is the highest-leverage item in the entire program: it is the sole blocking dependency for three separate business services advancing a maturity level simultaneously (Section 10.6), the same finding Phase A and Phase C each surfaced independently at the capability and value-stream layers.</w:t>
      </w:r>
    </w:p>
    <w:p>
      <w:pPr>
        <w:pStyle w:val="Heading1"/>
        <w:spacing w:after="200" w:before="400"/>
      </w:pPr>
      <w:r>
        <w:t xml:space="preserve">13. Traceability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1800"/>
        <w:gridCol w:w="1600"/>
      </w:tblGrid>
      <w:tr>
        <w:trPr>
          <w:tblHeader/>
        </w:trPr>
        <w:tc>
          <w:tcPr>
            <w:tcW w:type="dxa" w:w="2400"/>
            <w:shd w:fill="1F3864" w:color="auto" w:val="clear"/>
            <w:vAlign w:val="center"/>
          </w:tcPr>
          <w:p>
            <w:r>
              <w:rPr>
                <w:b/>
                <w:bCs/>
                <w:color w:val="FFFFFF"/>
                <w:sz w:val="20"/>
                <w:szCs w:val="20"/>
              </w:rPr>
              <w:t xml:space="preserve">Business service</w:t>
            </w:r>
          </w:p>
        </w:tc>
        <w:tc>
          <w:tcPr>
            <w:tcW w:type="dxa" w:w="2400"/>
            <w:shd w:fill="1F3864" w:color="auto" w:val="clear"/>
            <w:vAlign w:val="center"/>
          </w:tcPr>
          <w:p>
            <w:r>
              <w:rPr>
                <w:b/>
                <w:bCs/>
                <w:color w:val="FFFFFF"/>
                <w:sz w:val="20"/>
                <w:szCs w:val="20"/>
              </w:rPr>
              <w:t xml:space="preserve">Phase A capabilities</w:t>
            </w:r>
          </w:p>
        </w:tc>
        <w:tc>
          <w:tcPr>
            <w:tcW w:type="dxa" w:w="1800"/>
            <w:shd w:fill="1F3864" w:color="auto" w:val="clear"/>
            <w:vAlign w:val="center"/>
          </w:tcPr>
          <w:p>
            <w:r>
              <w:rPr>
                <w:b/>
                <w:bCs/>
                <w:color w:val="FFFFFF"/>
                <w:sz w:val="20"/>
                <w:szCs w:val="20"/>
              </w:rPr>
              <w:t xml:space="preserve">Phase B domain</w:t>
            </w:r>
          </w:p>
        </w:tc>
        <w:tc>
          <w:tcPr>
            <w:tcW w:type="dxa" w:w="1800"/>
            <w:shd w:fill="1F3864" w:color="auto" w:val="clear"/>
            <w:vAlign w:val="center"/>
          </w:tcPr>
          <w:p>
            <w:r>
              <w:rPr>
                <w:b/>
                <w:bCs/>
                <w:color w:val="FFFFFF"/>
                <w:sz w:val="20"/>
                <w:szCs w:val="20"/>
              </w:rPr>
              <w:t xml:space="preserve">Phase C value stream(s)</w:t>
            </w:r>
          </w:p>
        </w:tc>
        <w:tc>
          <w:tcPr>
            <w:tcW w:type="dxa" w:w="1600"/>
            <w:shd w:fill="1F3864" w:color="auto" w:val="clear"/>
            <w:vAlign w:val="center"/>
          </w:tcPr>
          <w:p>
            <w:r>
              <w:rPr>
                <w:b/>
                <w:bCs/>
                <w:color w:val="FFFFFF"/>
                <w:sz w:val="20"/>
                <w:szCs w:val="20"/>
              </w:rPr>
              <w:t xml:space="preserve">EEP-01 architecture</w:t>
            </w:r>
          </w:p>
        </w:tc>
      </w:tr>
      <w:tr>
        <w:tc>
          <w:tcPr>
            <w:tcW w:type="dxa" w:w="2400"/>
            <w:vAlign w:val="center"/>
          </w:tcPr>
          <w:p>
            <w:r>
              <w:rPr>
                <w:b w:val="false"/>
                <w:bCs w:val="false"/>
                <w:sz w:val="20"/>
                <w:szCs w:val="20"/>
              </w:rPr>
              <w:t xml:space="preserve">Student Onboarding Service</w:t>
            </w:r>
          </w:p>
        </w:tc>
        <w:tc>
          <w:tcPr>
            <w:tcW w:type="dxa" w:w="2400"/>
            <w:vAlign w:val="center"/>
          </w:tcPr>
          <w:p>
            <w:r>
              <w:rPr>
                <w:b w:val="false"/>
                <w:bCs w:val="false"/>
                <w:sz w:val="20"/>
                <w:szCs w:val="20"/>
              </w:rPr>
              <w:t xml:space="preserve">Student Onboarding &amp; Qualification Capture</w:t>
            </w:r>
          </w:p>
        </w:tc>
        <w:tc>
          <w:tcPr>
            <w:tcW w:type="dxa" w:w="1800"/>
            <w:vAlign w:val="center"/>
          </w:tcPr>
          <w:p>
            <w:r>
              <w:rPr>
                <w:b w:val="false"/>
                <w:bCs w:val="false"/>
                <w:sz w:val="20"/>
                <w:szCs w:val="20"/>
              </w:rPr>
              <w:t xml:space="preserve">Academic Intelligence Domain</w:t>
            </w:r>
          </w:p>
        </w:tc>
        <w:tc>
          <w:tcPr>
            <w:tcW w:type="dxa" w:w="1800"/>
            <w:vAlign w:val="center"/>
          </w:tcPr>
          <w:p>
            <w:r>
              <w:rPr>
                <w:b w:val="false"/>
                <w:bCs w:val="false"/>
                <w:sz w:val="20"/>
                <w:szCs w:val="20"/>
              </w:rPr>
              <w:t xml:space="preserve">Student Onboarding &amp; Academic Foundation (L4)</w:t>
            </w:r>
          </w:p>
        </w:tc>
        <w:tc>
          <w:tcPr>
            <w:tcW w:type="dxa" w:w="1600"/>
            <w:vAlign w:val="center"/>
          </w:tcPr>
          <w:p>
            <w:r>
              <w:rPr>
                <w:b w:val="false"/>
                <w:bCs w:val="false"/>
                <w:sz w:val="20"/>
                <w:szCs w:val="20"/>
              </w:rPr>
              <w:t xml:space="preserve">Phase B (Security)</w:t>
            </w:r>
          </w:p>
        </w:tc>
      </w:tr>
      <w:tr>
        <w:tc>
          <w:tcPr>
            <w:tcW w:type="dxa" w:w="2400"/>
            <w:shd w:fill="EDEDED" w:color="auto" w:val="clear"/>
            <w:vAlign w:val="center"/>
          </w:tcPr>
          <w:p>
            <w:r>
              <w:rPr>
                <w:b w:val="false"/>
                <w:bCs w:val="false"/>
                <w:sz w:val="20"/>
                <w:szCs w:val="20"/>
              </w:rPr>
              <w:t xml:space="preserve">Academic Profile Service</w:t>
            </w:r>
          </w:p>
        </w:tc>
        <w:tc>
          <w:tcPr>
            <w:tcW w:type="dxa" w:w="2400"/>
            <w:shd w:fill="EDEDED" w:color="auto" w:val="clear"/>
            <w:vAlign w:val="center"/>
          </w:tcPr>
          <w:p>
            <w:r>
              <w:rPr>
                <w:b w:val="false"/>
                <w:bCs w:val="false"/>
                <w:sz w:val="20"/>
                <w:szCs w:val="20"/>
              </w:rPr>
              <w:t xml:space="preserve">Academic Profile &amp; Context Intelligence</w:t>
            </w:r>
          </w:p>
        </w:tc>
        <w:tc>
          <w:tcPr>
            <w:tcW w:type="dxa" w:w="1800"/>
            <w:shd w:fill="EDEDED" w:color="auto" w:val="clear"/>
            <w:vAlign w:val="center"/>
          </w:tcPr>
          <w:p>
            <w:r>
              <w:rPr>
                <w:b w:val="false"/>
                <w:bCs w:val="false"/>
                <w:sz w:val="20"/>
                <w:szCs w:val="20"/>
              </w:rPr>
              <w:t xml:space="preserve">Academic Intelligence Domain</w:t>
            </w:r>
          </w:p>
        </w:tc>
        <w:tc>
          <w:tcPr>
            <w:tcW w:type="dxa" w:w="1800"/>
            <w:shd w:fill="EDEDED" w:color="auto" w:val="clear"/>
            <w:vAlign w:val="center"/>
          </w:tcPr>
          <w:p>
            <w:r>
              <w:rPr>
                <w:b w:val="false"/>
                <w:bCs w:val="false"/>
                <w:sz w:val="20"/>
                <w:szCs w:val="20"/>
              </w:rPr>
              <w:t xml:space="preserve">Student Onboarding &amp; Academic Foundation (L4)</w:t>
            </w:r>
          </w:p>
        </w:tc>
        <w:tc>
          <w:tcPr>
            <w:tcW w:type="dxa" w:w="1600"/>
            <w:shd w:fill="EDEDED" w:color="auto" w:val="clear"/>
            <w:vAlign w:val="center"/>
          </w:tcPr>
          <w:p>
            <w:r>
              <w:rPr>
                <w:b w:val="false"/>
                <w:bCs w:val="false"/>
                <w:sz w:val="20"/>
                <w:szCs w:val="20"/>
              </w:rPr>
              <w:t xml:space="preserve">Phase A (Physical Data Model); Phase B (Security)</w:t>
            </w:r>
          </w:p>
        </w:tc>
      </w:tr>
      <w:tr>
        <w:tc>
          <w:tcPr>
            <w:tcW w:type="dxa" w:w="2400"/>
            <w:vAlign w:val="center"/>
          </w:tcPr>
          <w:p>
            <w:r>
              <w:rPr>
                <w:b w:val="false"/>
                <w:bCs w:val="false"/>
                <w:sz w:val="20"/>
                <w:szCs w:val="20"/>
              </w:rPr>
              <w:t xml:space="preserve">Career Recommendation Service</w:t>
            </w:r>
          </w:p>
        </w:tc>
        <w:tc>
          <w:tcPr>
            <w:tcW w:type="dxa" w:w="2400"/>
            <w:vAlign w:val="center"/>
          </w:tcPr>
          <w:p>
            <w:r>
              <w:rPr>
                <w:b w:val="false"/>
                <w:bCs w:val="false"/>
                <w:sz w:val="20"/>
                <w:szCs w:val="20"/>
              </w:rPr>
              <w:t xml:space="preserve">Career Path Intelligence &amp; Recommendation; Career Opportunity Radar</w:t>
            </w:r>
          </w:p>
        </w:tc>
        <w:tc>
          <w:tcPr>
            <w:tcW w:type="dxa" w:w="1800"/>
            <w:vAlign w:val="center"/>
          </w:tcPr>
          <w:p>
            <w:r>
              <w:rPr>
                <w:b w:val="false"/>
                <w:bCs w:val="false"/>
                <w:sz w:val="20"/>
                <w:szCs w:val="20"/>
              </w:rPr>
              <w:t xml:space="preserve">Career Intelligence Domain</w:t>
            </w:r>
          </w:p>
        </w:tc>
        <w:tc>
          <w:tcPr>
            <w:tcW w:type="dxa" w:w="1800"/>
            <w:vAlign w:val="center"/>
          </w:tcPr>
          <w:p>
            <w:r>
              <w:rPr>
                <w:b w:val="false"/>
                <w:bCs w:val="false"/>
                <w:sz w:val="20"/>
                <w:szCs w:val="20"/>
              </w:rPr>
              <w:t xml:space="preserve">Career Discovery &amp; Recommendation (L3)</w:t>
            </w:r>
          </w:p>
        </w:tc>
        <w:tc>
          <w:tcPr>
            <w:tcW w:type="dxa" w:w="1600"/>
            <w:vAlign w:val="center"/>
          </w:tcPr>
          <w:p>
            <w:r>
              <w:rPr>
                <w:b w:val="false"/>
                <w:bCs w:val="false"/>
                <w:sz w:val="20"/>
                <w:szCs w:val="20"/>
              </w:rPr>
              <w:t xml:space="preserve">Phase F (AI); Phase A (Data Model); Phase E (Integration)</w:t>
            </w:r>
          </w:p>
        </w:tc>
      </w:tr>
      <w:tr>
        <w:tc>
          <w:tcPr>
            <w:tcW w:type="dxa" w:w="2400"/>
            <w:shd w:fill="EDEDED" w:color="auto" w:val="clear"/>
            <w:vAlign w:val="center"/>
          </w:tcPr>
          <w:p>
            <w:r>
              <w:rPr>
                <w:b w:val="false"/>
                <w:bCs w:val="false"/>
                <w:sz w:val="20"/>
                <w:szCs w:val="20"/>
              </w:rPr>
              <w:t xml:space="preserve">Career Health Service</w:t>
            </w:r>
          </w:p>
        </w:tc>
        <w:tc>
          <w:tcPr>
            <w:tcW w:type="dxa" w:w="2400"/>
            <w:shd w:fill="EDEDED" w:color="auto" w:val="clear"/>
            <w:vAlign w:val="center"/>
          </w:tcPr>
          <w:p>
            <w:r>
              <w:rPr>
                <w:b w:val="false"/>
                <w:bCs w:val="false"/>
                <w:sz w:val="20"/>
                <w:szCs w:val="20"/>
              </w:rPr>
              <w:t xml:space="preserve">Career Health Assessment</w:t>
            </w:r>
          </w:p>
        </w:tc>
        <w:tc>
          <w:tcPr>
            <w:tcW w:type="dxa" w:w="1800"/>
            <w:shd w:fill="EDEDED" w:color="auto" w:val="clear"/>
            <w:vAlign w:val="center"/>
          </w:tcPr>
          <w:p>
            <w:r>
              <w:rPr>
                <w:b w:val="false"/>
                <w:bCs w:val="false"/>
                <w:sz w:val="20"/>
                <w:szCs w:val="20"/>
              </w:rPr>
              <w:t xml:space="preserve">Career Intelligence Domain</w:t>
            </w:r>
          </w:p>
        </w:tc>
        <w:tc>
          <w:tcPr>
            <w:tcW w:type="dxa" w:w="1800"/>
            <w:shd w:fill="EDEDED" w:color="auto" w:val="clear"/>
            <w:vAlign w:val="center"/>
          </w:tcPr>
          <w:p>
            <w:r>
              <w:rPr>
                <w:b w:val="false"/>
                <w:bCs w:val="false"/>
                <w:sz w:val="20"/>
                <w:szCs w:val="20"/>
              </w:rPr>
              <w:t xml:space="preserve">Career Health &amp; Continuous Monitoring (L2/3)</w:t>
            </w:r>
          </w:p>
        </w:tc>
        <w:tc>
          <w:tcPr>
            <w:tcW w:type="dxa" w:w="1600"/>
            <w:shd w:fill="EDEDED" w:color="auto" w:val="clear"/>
            <w:vAlign w:val="center"/>
          </w:tcPr>
          <w:p>
            <w:r>
              <w:rPr>
                <w:b w:val="false"/>
                <w:bCs w:val="false"/>
                <w:sz w:val="20"/>
                <w:szCs w:val="20"/>
              </w:rPr>
              <w:t xml:space="preserve">Phase F (AI governance)</w:t>
            </w:r>
          </w:p>
        </w:tc>
      </w:tr>
      <w:tr>
        <w:tc>
          <w:tcPr>
            <w:tcW w:type="dxa" w:w="2400"/>
            <w:vAlign w:val="center"/>
          </w:tcPr>
          <w:p>
            <w:r>
              <w:rPr>
                <w:b w:val="false"/>
                <w:bCs w:val="false"/>
                <w:sz w:val="20"/>
                <w:szCs w:val="20"/>
              </w:rPr>
              <w:t xml:space="preserve">Career Planning &amp; Simulation Service</w:t>
            </w:r>
          </w:p>
        </w:tc>
        <w:tc>
          <w:tcPr>
            <w:tcW w:type="dxa" w:w="2400"/>
            <w:vAlign w:val="center"/>
          </w:tcPr>
          <w:p>
            <w:r>
              <w:rPr>
                <w:b w:val="false"/>
                <w:bCs w:val="false"/>
                <w:sz w:val="20"/>
                <w:szCs w:val="20"/>
              </w:rPr>
              <w:t xml:space="preserve">Career Digital Twin &amp; Simulation</w:t>
            </w:r>
          </w:p>
        </w:tc>
        <w:tc>
          <w:tcPr>
            <w:tcW w:type="dxa" w:w="1800"/>
            <w:vAlign w:val="center"/>
          </w:tcPr>
          <w:p>
            <w:r>
              <w:rPr>
                <w:b w:val="false"/>
                <w:bCs w:val="false"/>
                <w:sz w:val="20"/>
                <w:szCs w:val="20"/>
              </w:rPr>
              <w:t xml:space="preserve">Career Intelligence Domain</w:t>
            </w:r>
          </w:p>
        </w:tc>
        <w:tc>
          <w:tcPr>
            <w:tcW w:type="dxa" w:w="1800"/>
            <w:vAlign w:val="center"/>
          </w:tcPr>
          <w:p>
            <w:r>
              <w:rPr>
                <w:b w:val="false"/>
                <w:bCs w:val="false"/>
                <w:sz w:val="20"/>
                <w:szCs w:val="20"/>
              </w:rPr>
              <w:t xml:space="preserve">Career Planning &amp; Simulation (L1)</w:t>
            </w:r>
          </w:p>
        </w:tc>
        <w:tc>
          <w:tcPr>
            <w:tcW w:type="dxa" w:w="1600"/>
            <w:vAlign w:val="center"/>
          </w:tcPr>
          <w:p>
            <w:r>
              <w:rPr>
                <w:b w:val="false"/>
                <w:bCs w:val="false"/>
                <w:sz w:val="20"/>
                <w:szCs w:val="20"/>
              </w:rPr>
              <w:t xml:space="preserve">Phase A (append-only academic history)</w:t>
            </w:r>
          </w:p>
        </w:tc>
      </w:tr>
      <w:tr>
        <w:tc>
          <w:tcPr>
            <w:tcW w:type="dxa" w:w="2400"/>
            <w:shd w:fill="EDEDED" w:color="auto" w:val="clear"/>
            <w:vAlign w:val="center"/>
          </w:tcPr>
          <w:p>
            <w:r>
              <w:rPr>
                <w:b w:val="false"/>
                <w:bCs w:val="false"/>
                <w:sz w:val="20"/>
                <w:szCs w:val="20"/>
              </w:rPr>
              <w:t xml:space="preserve">AI Career Advisory Service</w:t>
            </w:r>
          </w:p>
        </w:tc>
        <w:tc>
          <w:tcPr>
            <w:tcW w:type="dxa" w:w="2400"/>
            <w:shd w:fill="EDEDED" w:color="auto" w:val="clear"/>
            <w:vAlign w:val="center"/>
          </w:tcPr>
          <w:p>
            <w:r>
              <w:rPr>
                <w:b w:val="false"/>
                <w:bCs w:val="false"/>
                <w:sz w:val="20"/>
                <w:szCs w:val="20"/>
              </w:rPr>
              <w:t xml:space="preserve">AI Career Advisory &amp; Agentic Orchestration; AI Personalization &amp; Adaptive Weighting</w:t>
            </w:r>
          </w:p>
        </w:tc>
        <w:tc>
          <w:tcPr>
            <w:tcW w:type="dxa" w:w="1800"/>
            <w:shd w:fill="EDEDED" w:color="auto" w:val="clear"/>
            <w:vAlign w:val="center"/>
          </w:tcPr>
          <w:p>
            <w:r>
              <w:rPr>
                <w:b w:val="false"/>
                <w:bCs w:val="false"/>
                <w:sz w:val="20"/>
                <w:szCs w:val="20"/>
              </w:rPr>
              <w:t xml:space="preserve">AI Intelligence Domain</w:t>
            </w:r>
          </w:p>
        </w:tc>
        <w:tc>
          <w:tcPr>
            <w:tcW w:type="dxa" w:w="1800"/>
            <w:shd w:fill="EDEDED" w:color="auto" w:val="clear"/>
            <w:vAlign w:val="center"/>
          </w:tcPr>
          <w:p>
            <w:r>
              <w:rPr>
                <w:b w:val="false"/>
                <w:bCs w:val="false"/>
                <w:sz w:val="20"/>
                <w:szCs w:val="20"/>
              </w:rPr>
              <w:t xml:space="preserve">AI Advisory &amp; Conversational Guidance (L4)</w:t>
            </w:r>
          </w:p>
        </w:tc>
        <w:tc>
          <w:tcPr>
            <w:tcW w:type="dxa" w:w="1600"/>
            <w:shd w:fill="EDEDED" w:color="auto" w:val="clear"/>
            <w:vAlign w:val="center"/>
          </w:tcPr>
          <w:p>
            <w:r>
              <w:rPr>
                <w:b w:val="false"/>
                <w:bCs w:val="false"/>
                <w:sz w:val="20"/>
                <w:szCs w:val="20"/>
              </w:rPr>
              <w:t xml:space="preserve">Phase F (AI &amp; Agentic Architecture)</w:t>
            </w:r>
          </w:p>
        </w:tc>
      </w:tr>
      <w:tr>
        <w:tc>
          <w:tcPr>
            <w:tcW w:type="dxa" w:w="2400"/>
            <w:vAlign w:val="center"/>
          </w:tcPr>
          <w:p>
            <w:r>
              <w:rPr>
                <w:b w:val="false"/>
                <w:bCs w:val="false"/>
                <w:sz w:val="20"/>
                <w:szCs w:val="20"/>
              </w:rPr>
              <w:t xml:space="preserve">Resume Intelligence Service</w:t>
            </w:r>
          </w:p>
        </w:tc>
        <w:tc>
          <w:tcPr>
            <w:tcW w:type="dxa" w:w="2400"/>
            <w:vAlign w:val="center"/>
          </w:tcPr>
          <w:p>
            <w:r>
              <w:rPr>
                <w:b w:val="false"/>
                <w:bCs w:val="false"/>
                <w:sz w:val="20"/>
                <w:szCs w:val="20"/>
              </w:rPr>
              <w:t xml:space="preserve">Candidate Document Generation</w:t>
            </w:r>
          </w:p>
        </w:tc>
        <w:tc>
          <w:tcPr>
            <w:tcW w:type="dxa" w:w="1800"/>
            <w:vAlign w:val="center"/>
          </w:tcPr>
          <w:p>
            <w:r>
              <w:rPr>
                <w:b w:val="false"/>
                <w:bCs w:val="false"/>
                <w:sz w:val="20"/>
                <w:szCs w:val="20"/>
              </w:rPr>
              <w:t xml:space="preserve">Candidate Experience &amp; Growth Domain</w:t>
            </w:r>
          </w:p>
        </w:tc>
        <w:tc>
          <w:tcPr>
            <w:tcW w:type="dxa" w:w="1800"/>
            <w:vAlign w:val="center"/>
          </w:tcPr>
          <w:p>
            <w:r>
              <w:rPr>
                <w:b w:val="false"/>
                <w:bCs w:val="false"/>
                <w:sz w:val="20"/>
                <w:szCs w:val="20"/>
              </w:rPr>
              <w:t xml:space="preserve">Resume &amp; Application Readiness (L3)</w:t>
            </w:r>
          </w:p>
        </w:tc>
        <w:tc>
          <w:tcPr>
            <w:tcW w:type="dxa" w:w="1600"/>
            <w:vAlign w:val="center"/>
          </w:tcPr>
          <w:p>
            <w:r>
              <w:rPr>
                <w:b w:val="false"/>
                <w:bCs w:val="false"/>
                <w:sz w:val="20"/>
                <w:szCs w:val="20"/>
              </w:rPr>
              <w:t xml:space="preserve">Phase E (Integration)</w:t>
            </w:r>
          </w:p>
        </w:tc>
      </w:tr>
      <w:tr>
        <w:tc>
          <w:tcPr>
            <w:tcW w:type="dxa" w:w="2400"/>
            <w:shd w:fill="EDEDED" w:color="auto" w:val="clear"/>
            <w:vAlign w:val="center"/>
          </w:tcPr>
          <w:p>
            <w:r>
              <w:rPr>
                <w:b w:val="false"/>
                <w:bCs w:val="false"/>
                <w:sz w:val="20"/>
                <w:szCs w:val="20"/>
              </w:rPr>
              <w:t xml:space="preserve">Job Opportunity Service</w:t>
            </w:r>
          </w:p>
        </w:tc>
        <w:tc>
          <w:tcPr>
            <w:tcW w:type="dxa" w:w="2400"/>
            <w:shd w:fill="EDEDED" w:color="auto" w:val="clear"/>
            <w:vAlign w:val="center"/>
          </w:tcPr>
          <w:p>
            <w:r>
              <w:rPr>
                <w:b w:val="false"/>
                <w:bCs w:val="false"/>
                <w:sz w:val="20"/>
                <w:szCs w:val="20"/>
              </w:rPr>
              <w:t xml:space="preserve">Career Opportunity Radar</w:t>
            </w:r>
          </w:p>
        </w:tc>
        <w:tc>
          <w:tcPr>
            <w:tcW w:type="dxa" w:w="1800"/>
            <w:shd w:fill="EDEDED" w:color="auto" w:val="clear"/>
            <w:vAlign w:val="center"/>
          </w:tcPr>
          <w:p>
            <w:r>
              <w:rPr>
                <w:b w:val="false"/>
                <w:bCs w:val="false"/>
                <w:sz w:val="20"/>
                <w:szCs w:val="20"/>
              </w:rPr>
              <w:t xml:space="preserve">Career Intelligence Domain</w:t>
            </w:r>
          </w:p>
        </w:tc>
        <w:tc>
          <w:tcPr>
            <w:tcW w:type="dxa" w:w="1800"/>
            <w:shd w:fill="EDEDED" w:color="auto" w:val="clear"/>
            <w:vAlign w:val="center"/>
          </w:tcPr>
          <w:p>
            <w:r>
              <w:rPr>
                <w:b w:val="false"/>
                <w:bCs w:val="false"/>
                <w:sz w:val="20"/>
                <w:szCs w:val="20"/>
              </w:rPr>
              <w:t xml:space="preserve">Job Opportunity Discovery (L2)</w:t>
            </w:r>
          </w:p>
        </w:tc>
        <w:tc>
          <w:tcPr>
            <w:tcW w:type="dxa" w:w="1600"/>
            <w:shd w:fill="EDEDED" w:color="auto" w:val="clear"/>
            <w:vAlign w:val="center"/>
          </w:tcPr>
          <w:p>
            <w:r>
              <w:rPr>
                <w:b w:val="false"/>
                <w:bCs w:val="false"/>
                <w:sz w:val="20"/>
                <w:szCs w:val="20"/>
              </w:rPr>
              <w:t xml:space="preserve">Phase E (Integration, mock data)</w:t>
            </w:r>
          </w:p>
        </w:tc>
      </w:tr>
      <w:tr>
        <w:tc>
          <w:tcPr>
            <w:tcW w:type="dxa" w:w="2400"/>
            <w:vAlign w:val="center"/>
          </w:tcPr>
          <w:p>
            <w:r>
              <w:rPr>
                <w:b w:val="false"/>
                <w:bCs w:val="false"/>
                <w:sz w:val="20"/>
                <w:szCs w:val="20"/>
              </w:rPr>
              <w:t xml:space="preserve">Knowledge Intelligence Service</w:t>
            </w:r>
          </w:p>
        </w:tc>
        <w:tc>
          <w:tcPr>
            <w:tcW w:type="dxa" w:w="2400"/>
            <w:vAlign w:val="center"/>
          </w:tcPr>
          <w:p>
            <w:r>
              <w:rPr>
                <w:b w:val="false"/>
                <w:bCs w:val="false"/>
                <w:sz w:val="20"/>
                <w:szCs w:val="20"/>
              </w:rPr>
              <w:t xml:space="preserve">Skill &amp; Knowledge Graph Management; Knowledge Runtime &amp; Context Assembly; Labor Market &amp; Salary Intelligence; Source &amp; Market Intelligence Curation</w:t>
            </w:r>
          </w:p>
        </w:tc>
        <w:tc>
          <w:tcPr>
            <w:tcW w:type="dxa" w:w="1800"/>
            <w:vAlign w:val="center"/>
          </w:tcPr>
          <w:p>
            <w:r>
              <w:rPr>
                <w:b w:val="false"/>
                <w:bCs w:val="false"/>
                <w:sz w:val="20"/>
                <w:szCs w:val="20"/>
              </w:rPr>
              <w:t xml:space="preserve">Knowledge &amp; Market Intelligence Domain</w:t>
            </w:r>
          </w:p>
        </w:tc>
        <w:tc>
          <w:tcPr>
            <w:tcW w:type="dxa" w:w="1800"/>
            <w:vAlign w:val="center"/>
          </w:tcPr>
          <w:p>
            <w:r>
              <w:rPr>
                <w:b w:val="false"/>
                <w:bCs w:val="false"/>
                <w:sz w:val="20"/>
                <w:szCs w:val="20"/>
              </w:rPr>
              <w:t xml:space="preserve">Knowledge Evolution (L2/3)</w:t>
            </w:r>
          </w:p>
        </w:tc>
        <w:tc>
          <w:tcPr>
            <w:tcW w:type="dxa" w:w="1600"/>
            <w:vAlign w:val="center"/>
          </w:tcPr>
          <w:p>
            <w:r>
              <w:rPr>
                <w:b w:val="false"/>
                <w:bCs w:val="false"/>
                <w:sz w:val="20"/>
                <w:szCs w:val="20"/>
              </w:rPr>
              <w:t xml:space="preserve">Phase E (Integration); Phase F (AI context)</w:t>
            </w:r>
          </w:p>
        </w:tc>
      </w:tr>
      <w:tr>
        <w:tc>
          <w:tcPr>
            <w:tcW w:type="dxa" w:w="2400"/>
            <w:shd w:fill="EDEDED" w:color="auto" w:val="clear"/>
            <w:vAlign w:val="center"/>
          </w:tcPr>
          <w:p>
            <w:r>
              <w:rPr>
                <w:b w:val="false"/>
                <w:bCs w:val="false"/>
                <w:sz w:val="20"/>
                <w:szCs w:val="20"/>
              </w:rPr>
              <w:t xml:space="preserve">Employer Collaboration Service</w:t>
            </w:r>
          </w:p>
        </w:tc>
        <w:tc>
          <w:tcPr>
            <w:tcW w:type="dxa" w:w="2400"/>
            <w:shd w:fill="EDEDED" w:color="auto" w:val="clear"/>
            <w:vAlign w:val="center"/>
          </w:tcPr>
          <w:p>
            <w:r>
              <w:rPr>
                <w:b w:val="false"/>
                <w:bCs w:val="false"/>
                <w:sz w:val="20"/>
                <w:szCs w:val="20"/>
              </w:rPr>
              <w:t xml:space="preserve">Employer Integration &amp; Opportunity Ingestion</w:t>
            </w:r>
          </w:p>
        </w:tc>
        <w:tc>
          <w:tcPr>
            <w:tcW w:type="dxa" w:w="1800"/>
            <w:shd w:fill="EDEDED" w:color="auto" w:val="clear"/>
            <w:vAlign w:val="center"/>
          </w:tcPr>
          <w:p>
            <w:r>
              <w:rPr>
                <w:b w:val="false"/>
                <w:bCs w:val="false"/>
                <w:sz w:val="20"/>
                <w:szCs w:val="20"/>
              </w:rPr>
              <w:t xml:space="preserve">Employer Domain</w:t>
            </w:r>
          </w:p>
        </w:tc>
        <w:tc>
          <w:tcPr>
            <w:tcW w:type="dxa" w:w="1800"/>
            <w:shd w:fill="EDEDED" w:color="auto" w:val="clear"/>
            <w:vAlign w:val="center"/>
          </w:tcPr>
          <w:p>
            <w:r>
              <w:rPr>
                <w:b w:val="false"/>
                <w:bCs w:val="false"/>
                <w:sz w:val="20"/>
                <w:szCs w:val="20"/>
              </w:rPr>
              <w:t xml:space="preserve">Employer Collaboration (L1)</w:t>
            </w:r>
          </w:p>
        </w:tc>
        <w:tc>
          <w:tcPr>
            <w:tcW w:type="dxa" w:w="1600"/>
            <w:shd w:fill="EDEDED" w:color="auto" w:val="clear"/>
            <w:vAlign w:val="center"/>
          </w:tcPr>
          <w:p>
            <w:r>
              <w:rPr>
                <w:b w:val="false"/>
                <w:bCs w:val="false"/>
                <w:sz w:val="20"/>
                <w:szCs w:val="20"/>
              </w:rPr>
              <w:t xml:space="preserve">Phase E Part 0 (no partner platform yet)</w:t>
            </w:r>
          </w:p>
        </w:tc>
      </w:tr>
      <w:tr>
        <w:tc>
          <w:tcPr>
            <w:tcW w:type="dxa" w:w="2400"/>
            <w:vAlign w:val="center"/>
          </w:tcPr>
          <w:p>
            <w:r>
              <w:rPr>
                <w:b w:val="false"/>
                <w:bCs w:val="false"/>
                <w:sz w:val="20"/>
                <w:szCs w:val="20"/>
              </w:rPr>
              <w:t xml:space="preserve">Growth &amp; Engagement Service</w:t>
            </w:r>
          </w:p>
        </w:tc>
        <w:tc>
          <w:tcPr>
            <w:tcW w:type="dxa" w:w="2400"/>
            <w:vAlign w:val="center"/>
          </w:tcPr>
          <w:p>
            <w:r>
              <w:rPr>
                <w:b w:val="false"/>
                <w:bCs w:val="false"/>
                <w:sz w:val="20"/>
                <w:szCs w:val="20"/>
              </w:rPr>
              <w:t xml:space="preserve">Growth &amp; Progress Tracking; Daily Engagement &amp; Conversion</w:t>
            </w:r>
          </w:p>
        </w:tc>
        <w:tc>
          <w:tcPr>
            <w:tcW w:type="dxa" w:w="1800"/>
            <w:vAlign w:val="center"/>
          </w:tcPr>
          <w:p>
            <w:r>
              <w:rPr>
                <w:b w:val="false"/>
                <w:bCs w:val="false"/>
                <w:sz w:val="20"/>
                <w:szCs w:val="20"/>
              </w:rPr>
              <w:t xml:space="preserve">Candidate Experience &amp; Growth Domain</w:t>
            </w:r>
          </w:p>
        </w:tc>
        <w:tc>
          <w:tcPr>
            <w:tcW w:type="dxa" w:w="1800"/>
            <w:vAlign w:val="center"/>
          </w:tcPr>
          <w:p>
            <w:r>
              <w:rPr>
                <w:b w:val="false"/>
                <w:bCs w:val="false"/>
                <w:sz w:val="20"/>
                <w:szCs w:val="20"/>
              </w:rPr>
              <w:t xml:space="preserve">Daily Engagement &amp; Growth (L2)</w:t>
            </w:r>
          </w:p>
        </w:tc>
        <w:tc>
          <w:tcPr>
            <w:tcW w:type="dxa" w:w="1600"/>
            <w:vAlign w:val="center"/>
          </w:tcPr>
          <w:p>
            <w:r>
              <w:rPr>
                <w:b w:val="false"/>
                <w:bCs w:val="false"/>
                <w:sz w:val="20"/>
                <w:szCs w:val="20"/>
              </w:rPr>
              <w:t xml:space="preserve">Phase C (Event Architecture)</w:t>
            </w:r>
          </w:p>
        </w:tc>
      </w:tr>
      <w:tr>
        <w:tc>
          <w:tcPr>
            <w:tcW w:type="dxa" w:w="2400"/>
            <w:shd w:fill="EDEDED" w:color="auto" w:val="clear"/>
            <w:vAlign w:val="center"/>
          </w:tcPr>
          <w:p>
            <w:r>
              <w:rPr>
                <w:b w:val="false"/>
                <w:bCs w:val="false"/>
                <w:sz w:val="20"/>
                <w:szCs w:val="20"/>
              </w:rPr>
              <w:t xml:space="preserve">Identity &amp; Access Service</w:t>
            </w:r>
          </w:p>
        </w:tc>
        <w:tc>
          <w:tcPr>
            <w:tcW w:type="dxa" w:w="2400"/>
            <w:shd w:fill="EDEDED" w:color="auto" w:val="clear"/>
            <w:vAlign w:val="center"/>
          </w:tcPr>
          <w:p>
            <w:r>
              <w:rPr>
                <w:b w:val="false"/>
                <w:bCs w:val="false"/>
                <w:sz w:val="20"/>
                <w:szCs w:val="20"/>
              </w:rPr>
              <w:t xml:space="preserve">Identity, Roles &amp; Access Administration</w:t>
            </w:r>
          </w:p>
        </w:tc>
        <w:tc>
          <w:tcPr>
            <w:tcW w:type="dxa" w:w="1800"/>
            <w:shd w:fill="EDEDED" w:color="auto" w:val="clear"/>
            <w:vAlign w:val="center"/>
          </w:tcPr>
          <w:p>
            <w:r>
              <w:rPr>
                <w:b w:val="false"/>
                <w:bCs w:val="false"/>
                <w:sz w:val="20"/>
                <w:szCs w:val="20"/>
              </w:rPr>
              <w:t xml:space="preserve">Platform Shared Services Domain</w:t>
            </w:r>
          </w:p>
        </w:tc>
        <w:tc>
          <w:tcPr>
            <w:tcW w:type="dxa" w:w="1800"/>
            <w:shd w:fill="EDEDED" w:color="auto" w:val="clear"/>
            <w:vAlign w:val="center"/>
          </w:tcPr>
          <w:p>
            <w:r>
              <w:rPr>
                <w:b w:val="false"/>
                <w:bCs w:val="false"/>
                <w:sz w:val="20"/>
                <w:szCs w:val="20"/>
              </w:rPr>
              <w:t xml:space="preserve">Platform Trust, Identity &amp; Governance (L3)</w:t>
            </w:r>
          </w:p>
        </w:tc>
        <w:tc>
          <w:tcPr>
            <w:tcW w:type="dxa" w:w="1600"/>
            <w:shd w:fill="EDEDED" w:color="auto" w:val="clear"/>
            <w:vAlign w:val="center"/>
          </w:tcPr>
          <w:p>
            <w:r>
              <w:rPr>
                <w:b w:val="false"/>
                <w:bCs w:val="false"/>
                <w:sz w:val="20"/>
                <w:szCs w:val="20"/>
              </w:rPr>
              <w:t xml:space="preserve">Phase B (Security Architecture)</w:t>
            </w:r>
          </w:p>
        </w:tc>
      </w:tr>
      <w:tr>
        <w:tc>
          <w:tcPr>
            <w:tcW w:type="dxa" w:w="2400"/>
            <w:vAlign w:val="center"/>
          </w:tcPr>
          <w:p>
            <w:r>
              <w:rPr>
                <w:b w:val="false"/>
                <w:bCs w:val="false"/>
                <w:sz w:val="20"/>
                <w:szCs w:val="20"/>
              </w:rPr>
              <w:t xml:space="preserve">Platform Administration Service</w:t>
            </w:r>
          </w:p>
        </w:tc>
        <w:tc>
          <w:tcPr>
            <w:tcW w:type="dxa" w:w="2400"/>
            <w:vAlign w:val="center"/>
          </w:tcPr>
          <w:p>
            <w:r>
              <w:rPr>
                <w:b w:val="false"/>
                <w:bCs w:val="false"/>
                <w:sz w:val="20"/>
                <w:szCs w:val="20"/>
              </w:rPr>
              <w:t xml:space="preserve">Platform Configuration &amp; Secrets Stewardship</w:t>
            </w:r>
          </w:p>
        </w:tc>
        <w:tc>
          <w:tcPr>
            <w:tcW w:type="dxa" w:w="1800"/>
            <w:vAlign w:val="center"/>
          </w:tcPr>
          <w:p>
            <w:r>
              <w:rPr>
                <w:b w:val="false"/>
                <w:bCs w:val="false"/>
                <w:sz w:val="20"/>
                <w:szCs w:val="20"/>
              </w:rPr>
              <w:t xml:space="preserve">Platform Shared Services Domain</w:t>
            </w:r>
          </w:p>
        </w:tc>
        <w:tc>
          <w:tcPr>
            <w:tcW w:type="dxa" w:w="1800"/>
            <w:vAlign w:val="center"/>
          </w:tcPr>
          <w:p>
            <w:r>
              <w:rPr>
                <w:b w:val="false"/>
                <w:bCs w:val="false"/>
                <w:sz w:val="20"/>
                <w:szCs w:val="20"/>
              </w:rPr>
              <w:t xml:space="preserve">Platform Trust, Identity &amp; Governance</w:t>
            </w:r>
          </w:p>
        </w:tc>
        <w:tc>
          <w:tcPr>
            <w:tcW w:type="dxa" w:w="1600"/>
            <w:vAlign w:val="center"/>
          </w:tcPr>
          <w:p>
            <w:r>
              <w:rPr>
                <w:b w:val="false"/>
                <w:bCs w:val="false"/>
                <w:sz w:val="20"/>
                <w:szCs w:val="20"/>
              </w:rPr>
              <w:t xml:space="preserve">Phase G (Platform &amp; Runtime); Phase H (Operations)</w:t>
            </w:r>
          </w:p>
        </w:tc>
      </w:tr>
      <w:tr>
        <w:tc>
          <w:tcPr>
            <w:tcW w:type="dxa" w:w="2400"/>
            <w:shd w:fill="EDEDED" w:color="auto" w:val="clear"/>
            <w:vAlign w:val="center"/>
          </w:tcPr>
          <w:p>
            <w:r>
              <w:rPr>
                <w:b w:val="false"/>
                <w:bCs w:val="false"/>
                <w:sz w:val="20"/>
                <w:szCs w:val="20"/>
              </w:rPr>
              <w:t xml:space="preserve">Analytics &amp; Reporting Service</w:t>
            </w:r>
          </w:p>
        </w:tc>
        <w:tc>
          <w:tcPr>
            <w:tcW w:type="dxa" w:w="2400"/>
            <w:shd w:fill="EDEDED" w:color="auto" w:val="clear"/>
            <w:vAlign w:val="center"/>
          </w:tcPr>
          <w:p>
            <w:r>
              <w:rPr>
                <w:b w:val="false"/>
                <w:bCs w:val="false"/>
                <w:sz w:val="20"/>
                <w:szCs w:val="20"/>
              </w:rPr>
              <w:t xml:space="preserve">User Activity &amp; Behavioral Analytics</w:t>
            </w:r>
          </w:p>
        </w:tc>
        <w:tc>
          <w:tcPr>
            <w:tcW w:type="dxa" w:w="1800"/>
            <w:shd w:fill="EDEDED" w:color="auto" w:val="clear"/>
            <w:vAlign w:val="center"/>
          </w:tcPr>
          <w:p>
            <w:r>
              <w:rPr>
                <w:b w:val="false"/>
                <w:bCs w:val="false"/>
                <w:sz w:val="20"/>
                <w:szCs w:val="20"/>
              </w:rPr>
              <w:t xml:space="preserve">Platform Shared Services Domain</w:t>
            </w:r>
          </w:p>
        </w:tc>
        <w:tc>
          <w:tcPr>
            <w:tcW w:type="dxa" w:w="1800"/>
            <w:shd w:fill="EDEDED" w:color="auto" w:val="clear"/>
            <w:vAlign w:val="center"/>
          </w:tcPr>
          <w:p>
            <w:r>
              <w:rPr>
                <w:b w:val="false"/>
                <w:bCs w:val="false"/>
                <w:sz w:val="20"/>
                <w:szCs w:val="20"/>
              </w:rPr>
              <w:t xml:space="preserve">Daily Engagement &amp; Growth (cross-cutting)</w:t>
            </w:r>
          </w:p>
        </w:tc>
        <w:tc>
          <w:tcPr>
            <w:tcW w:type="dxa" w:w="1600"/>
            <w:shd w:fill="EDEDED" w:color="auto" w:val="clear"/>
            <w:vAlign w:val="center"/>
          </w:tcPr>
          <w:p>
            <w:r>
              <w:rPr>
                <w:b w:val="false"/>
                <w:bCs w:val="false"/>
                <w:sz w:val="20"/>
                <w:szCs w:val="20"/>
              </w:rPr>
              <w:t xml:space="preserve">Phase C (Event Architecture); Phase D (Messaging)</w:t>
            </w:r>
          </w:p>
        </w:tc>
      </w:tr>
      <w:tr>
        <w:tc>
          <w:tcPr>
            <w:tcW w:type="dxa" w:w="2400"/>
            <w:vAlign w:val="center"/>
          </w:tcPr>
          <w:p>
            <w:r>
              <w:rPr>
                <w:b w:val="false"/>
                <w:bCs w:val="false"/>
                <w:sz w:val="20"/>
                <w:szCs w:val="20"/>
              </w:rPr>
              <w:t xml:space="preserve">Governance &amp; Assurance Service</w:t>
            </w:r>
          </w:p>
        </w:tc>
        <w:tc>
          <w:tcPr>
            <w:tcW w:type="dxa" w:w="2400"/>
            <w:vAlign w:val="center"/>
          </w:tcPr>
          <w:p>
            <w:r>
              <w:rPr>
                <w:b w:val="false"/>
                <w:bCs w:val="false"/>
                <w:sz w:val="20"/>
                <w:szCs w:val="20"/>
              </w:rPr>
              <w:t xml:space="preserve">Architecture &amp; Engineering Standards Conformance; Intelligence Quality &amp; Drift Monitoring; AI Quality &amp; Confidence Governance</w:t>
            </w:r>
          </w:p>
        </w:tc>
        <w:tc>
          <w:tcPr>
            <w:tcW w:type="dxa" w:w="1800"/>
            <w:vAlign w:val="center"/>
          </w:tcPr>
          <w:p>
            <w:r>
              <w:rPr>
                <w:b w:val="false"/>
                <w:bCs w:val="false"/>
                <w:sz w:val="20"/>
                <w:szCs w:val="20"/>
              </w:rPr>
              <w:t xml:space="preserve">Governance Domain</w:t>
            </w:r>
          </w:p>
        </w:tc>
        <w:tc>
          <w:tcPr>
            <w:tcW w:type="dxa" w:w="1800"/>
            <w:vAlign w:val="center"/>
          </w:tcPr>
          <w:p>
            <w:r>
              <w:rPr>
                <w:b w:val="false"/>
                <w:bCs w:val="false"/>
                <w:sz w:val="20"/>
                <w:szCs w:val="20"/>
              </w:rPr>
              <w:t xml:space="preserve">Platform Trust, Identity &amp; Governance (L3)</w:t>
            </w:r>
          </w:p>
        </w:tc>
        <w:tc>
          <w:tcPr>
            <w:tcW w:type="dxa" w:w="1600"/>
            <w:vAlign w:val="center"/>
          </w:tcPr>
          <w:p>
            <w:r>
              <w:rPr>
                <w:b w:val="false"/>
                <w:bCs w:val="false"/>
                <w:sz w:val="20"/>
                <w:szCs w:val="20"/>
              </w:rPr>
              <w:t xml:space="preserve">Phase I (Verification); Phase J (Quality &amp; Conformance)</w:t>
            </w:r>
          </w:p>
        </w:tc>
      </w:tr>
    </w:tbl>
    <w:p>
      <w:pPr>
        <w:pStyle w:val="Heading1"/>
        <w:spacing w:after="200" w:before="400"/>
      </w:pPr>
      <w:r>
        <w:t xml:space="preserve">14. Architecture Decisions</w:t>
      </w:r>
    </w:p>
    <w:p>
      <w:pPr>
        <w:pStyle w:val="Heading2"/>
        <w:spacing w:after="150" w:before="300"/>
      </w:pPr>
      <w:r>
        <w:t xml:space="preserve">ADR-BSV-01: Business services are defined at capability-grouping granularity, not one-per-capability</w:t>
      </w:r>
    </w:p>
    <w:p>
      <w:pPr>
        <w:spacing w:after="120"/>
      </w:pPr>
      <w:r>
        <w:rPr>
          <w:b/>
          <w:bCs/>
        </w:rPr>
        <w:t xml:space="preserve">Context: </w:t>
      </w:r>
      <w:r>
        <w:t xml:space="preserve">Phase A catalogued 20+ individual capabilities; a strict one-service-per-capability mapping would produce an unwieldy, low-value catalog.</w:t>
      </w:r>
    </w:p>
    <w:p>
      <w:pPr>
        <w:spacing w:after="120"/>
      </w:pPr>
      <w:r>
        <w:rPr>
          <w:b/>
          <w:bCs/>
        </w:rPr>
        <w:t xml:space="preserve">Alternatives: </w:t>
      </w:r>
      <w:r>
        <w:t xml:space="preserve">(a) One business service per Phase A capability; (b) one business service per Phase B domain (eight total); (c) capability-grouping granularity, the option chosen.</w:t>
      </w:r>
    </w:p>
    <w:p>
      <w:pPr>
        <w:spacing w:after="120"/>
      </w:pPr>
      <w:r>
        <w:rPr>
          <w:b/>
          <w:bCs/>
        </w:rPr>
        <w:t xml:space="preserve">Trade-offs: </w:t>
      </w:r>
      <w:r>
        <w:t xml:space="preserve">Option (a) is more granular but duplicates Phase A with extra ceremony; option (b) is too coarse to be useful for stakeholder-facing service definition; option (c) balances usability against redundancy.</w:t>
      </w:r>
    </w:p>
    <w:p>
      <w:pPr>
        <w:spacing w:after="120"/>
      </w:pPr>
      <w:r>
        <w:rPr>
          <w:b/>
          <w:bCs/>
        </w:rPr>
        <w:t xml:space="preserve">Rationale: </w:t>
      </w:r>
      <w:r>
        <w:t xml:space="preserve">Groupings were formed only where capabilities already share a stakeholder, a value stream, and a natural unit of consumption (e.g., Growth &amp; Progress Tracking and Daily Engagement &amp; Conversion, which share one value stream in Phase C).</w:t>
      </w:r>
    </w:p>
    <w:p>
      <w:pPr>
        <w:pStyle w:val="Heading2"/>
        <w:spacing w:after="150" w:before="300"/>
      </w:pPr>
      <w:r>
        <w:t xml:space="preserve">ADR-BSV-02: No standalone Skill Intelligence Service</w:t>
      </w:r>
    </w:p>
    <w:p>
      <w:pPr>
        <w:spacing w:after="120"/>
      </w:pPr>
      <w:r>
        <w:rPr>
          <w:b/>
          <w:bCs/>
        </w:rPr>
        <w:t xml:space="preserve">Context: </w:t>
      </w:r>
      <w:r>
        <w:t xml:space="preserve">The program's Special Focus Areas list names Skill Intelligence Services as a distinct area to validate.</w:t>
      </w:r>
    </w:p>
    <w:p>
      <w:pPr>
        <w:spacing w:after="120"/>
      </w:pPr>
      <w:r>
        <w:rPr>
          <w:b/>
          <w:bCs/>
        </w:rPr>
        <w:t xml:space="preserve">Alternatives: </w:t>
      </w:r>
      <w:r>
        <w:t xml:space="preserve">(a) Catalog a standalone Skill Intelligence Service; (b) fold skill intelligence into Knowledge Intelligence Service, the option chosen.</w:t>
      </w:r>
    </w:p>
    <w:p>
      <w:pPr>
        <w:spacing w:after="120"/>
      </w:pPr>
      <w:r>
        <w:rPr>
          <w:b/>
          <w:bCs/>
        </w:rPr>
        <w:t xml:space="preserve">Trade-offs: </w:t>
      </w:r>
      <w:r>
        <w:t xml:space="preserve">Option (a) matches the focus-area list exactly but is unsupported by repository evidence of a separately owned or separately consumed skill-intelligence unit of value; option (b) is evidence-accurate but requires explaining the gap (done in Section 2.3).</w:t>
      </w:r>
    </w:p>
    <w:p>
      <w:pPr>
        <w:spacing w:after="120"/>
      </w:pPr>
      <w:r>
        <w:rPr>
          <w:b/>
          <w:bCs/>
        </w:rPr>
        <w:t xml:space="preserve">Rationale: </w:t>
      </w:r>
      <w:r>
        <w:t xml:space="preserve">Skill &amp; Knowledge Graph Management is one of four capabilities inside the single Knowledge Intelligence Service, consumed identically to the other three — no repository evidence separates it into its own consumption pattern.</w:t>
      </w:r>
    </w:p>
    <w:p>
      <w:pPr>
        <w:pStyle w:val="Heading2"/>
        <w:spacing w:after="150" w:before="300"/>
      </w:pPr>
      <w:r>
        <w:t xml:space="preserve">ADR-BSV-03: Career Health Service is catalogued as one service despite two parallel implementations</w:t>
      </w:r>
    </w:p>
    <w:p>
      <w:pPr>
        <w:spacing w:after="120"/>
      </w:pPr>
      <w:r>
        <w:rPr>
          <w:b/>
          <w:bCs/>
        </w:rPr>
        <w:t xml:space="preserve">Context: </w:t>
      </w:r>
      <w:r>
        <w:t xml:space="preserve">careerHealthIndex and chiV2 both exist in the repository simultaneously.</w:t>
      </w:r>
    </w:p>
    <w:p>
      <w:pPr>
        <w:spacing w:after="120"/>
      </w:pPr>
      <w:r>
        <w:rPr>
          <w:b/>
          <w:bCs/>
        </w:rPr>
        <w:t xml:space="preserve">Alternatives: </w:t>
      </w:r>
      <w:r>
        <w:t xml:space="preserve">(a) Catalog two Career Health services (v1, v2); (b) catalog one service, noting the dual implementation as a maturity/risk finding, the option chosen.</w:t>
      </w:r>
    </w:p>
    <w:p>
      <w:pPr>
        <w:spacing w:after="120"/>
      </w:pPr>
      <w:r>
        <w:rPr>
          <w:b/>
          <w:bCs/>
        </w:rPr>
        <w:t xml:space="preserve">Trade-offs: </w:t>
      </w:r>
      <w:r>
        <w:t xml:space="preserve">Option (a) technically mirrors the code but violates the business-service-first principle (Section 3.1) by defining a service around implementation, not value; option (b) stays value-first but requires explicit risk tracking (Section 5, BSV-07; Section 9).</w:t>
      </w:r>
    </w:p>
    <w:p>
      <w:pPr>
        <w:spacing w:after="120"/>
      </w:pPr>
      <w:r>
        <w:rPr>
          <w:b/>
          <w:bCs/>
        </w:rPr>
        <w:t xml:space="preserve">Rationale: </w:t>
      </w:r>
      <w:r>
        <w:t xml:space="preserve">Both implementations deliver the identical business value (a career-readiness score) to the identical stakeholder; the dual state is a migration-in-progress risk, not two services.</w:t>
      </w:r>
    </w:p>
    <w:p>
      <w:pPr>
        <w:pStyle w:val="Heading1"/>
        <w:spacing w:after="200" w:before="400"/>
      </w:pPr>
      <w:r>
        <w:t xml:space="preserve">15. Risks</w:t>
      </w:r>
    </w:p>
    <w:p>
      <w:pPr>
        <w:pStyle w:val="Heading2"/>
        <w:spacing w:after="150" w:before="300"/>
      </w:pPr>
      <w:r>
        <w:t xml:space="preserve">15.1 Business Risks</w:t>
      </w:r>
    </w:p>
    <w:p>
      <w:pPr>
        <w:pStyle w:val="ListParagraph"/>
        <w:numPr>
          <w:ilvl w:val="0"/>
          <w:numId w:val="1"/>
        </w:numPr>
        <w:spacing w:after="80"/>
      </w:pPr>
      <w:r>
        <w:t xml:space="preserve">Presenting mock-derived market data, opportunities, or salary figures to students without clear provenance signaling risks a trust failure in a product whose value proposition rests on trustworthy guidance for career-stakes decisions — inherited directly from Career Recommendation, Knowledge Intelligence, and Job Opportunity services.</w:t>
      </w:r>
    </w:p>
    <w:p>
      <w:pPr>
        <w:pStyle w:val="ListParagraph"/>
        <w:numPr>
          <w:ilvl w:val="0"/>
          <w:numId w:val="1"/>
        </w:numPr>
        <w:spacing w:after="80"/>
      </w:pPr>
      <w:r>
        <w:t xml:space="preserve">Employer Collaboration Service's Level 1 maturity means the platform's two-sided-market strategy is currently unactivated; strategic messaging implying otherwise carries reputational and investor-relations risk.</w:t>
      </w:r>
    </w:p>
    <w:p>
      <w:pPr>
        <w:pStyle w:val="Heading2"/>
        <w:spacing w:after="150" w:before="300"/>
      </w:pPr>
      <w:r>
        <w:t xml:space="preserve">15.2 Service Fragmentation</w:t>
      </w:r>
    </w:p>
    <w:p>
      <w:pPr>
        <w:pStyle w:val="ListParagraph"/>
        <w:numPr>
          <w:ilvl w:val="0"/>
          <w:numId w:val="1"/>
        </w:numPr>
        <w:spacing w:after="80"/>
      </w:pPr>
      <w:r>
        <w:t xml:space="preserve">Career Health Service's dual-implementation state risks score inconsistency if both implementations are ever exposed to the same student population without a clean cutover.</w:t>
      </w:r>
    </w:p>
    <w:p>
      <w:pPr>
        <w:pStyle w:val="Heading2"/>
        <w:spacing w:after="150" w:before="300"/>
      </w:pPr>
      <w:r>
        <w:t xml:space="preserve">15.3 Ownership Risks</w:t>
      </w:r>
    </w:p>
    <w:p>
      <w:pPr>
        <w:pStyle w:val="ListParagraph"/>
        <w:numPr>
          <w:ilvl w:val="0"/>
          <w:numId w:val="1"/>
        </w:numPr>
        <w:spacing w:after="80"/>
      </w:pPr>
      <w:r>
        <w:t xml:space="preserve">Every current-state service ownership entry (Section 8) concentrates in a single general product/engineering function. Key-person concentration is a material organizational risk until target-state ownership separation triggers fire.</w:t>
      </w:r>
    </w:p>
    <w:p>
      <w:pPr>
        <w:pStyle w:val="Heading2"/>
        <w:spacing w:after="150" w:before="300"/>
      </w:pPr>
      <w:r>
        <w:t xml:space="preserve">15.4 Knowledge Risks</w:t>
      </w:r>
    </w:p>
    <w:p>
      <w:pPr>
        <w:pStyle w:val="ListParagraph"/>
        <w:numPr>
          <w:ilvl w:val="0"/>
          <w:numId w:val="1"/>
        </w:numPr>
        <w:spacing w:after="80"/>
      </w:pPr>
      <w:r>
        <w:t xml:space="preserve">Knowledge Intelligence Service has no separately evidenced human curator or steward role beyond the general engineering function — a single point of both technical and organizational failure for the enterprise's shared vocabulary layer.</w:t>
      </w:r>
    </w:p>
    <w:p>
      <w:pPr>
        <w:pStyle w:val="Heading2"/>
        <w:spacing w:after="150" w:before="300"/>
      </w:pPr>
      <w:r>
        <w:t xml:space="preserve">15.5 AI Risks</w:t>
      </w:r>
    </w:p>
    <w:p>
      <w:pPr>
        <w:pStyle w:val="ListParagraph"/>
        <w:numPr>
          <w:ilvl w:val="0"/>
          <w:numId w:val="1"/>
        </w:numPr>
        <w:spacing w:after="80"/>
      </w:pPr>
      <w:r>
        <w:t xml:space="preserve">AI Career Advisory Service and Career Recommendation Service are fully dependent on external LLM providers; the five-provider fallback mitigates single-vendor outage risk but not systemic exposure to provider pricing, policy, or availability change.</w:t>
      </w:r>
    </w:p>
    <w:p>
      <w:pPr>
        <w:pStyle w:val="Heading2"/>
        <w:spacing w:after="150" w:before="300"/>
      </w:pPr>
      <w:r>
        <w:t xml:space="preserve">15.6 Governance Risks</w:t>
      </w:r>
    </w:p>
    <w:p>
      <w:pPr>
        <w:pStyle w:val="ListParagraph"/>
        <w:numPr>
          <w:ilvl w:val="0"/>
          <w:numId w:val="1"/>
        </w:numPr>
        <w:spacing w:after="80"/>
      </w:pPr>
      <w:r>
        <w:t xml:space="preserve">Governance &amp; Assurance Service's own tooling has partially drifted from what it claims to enforce (a misnamed CI working directory, a missing dependency-cruiser config, a missing type-check script, a phantom drift-check script, per EEP-01 Phase J) — the function meant to catch drift has itself drifted.</w:t>
      </w:r>
    </w:p>
    <w:p>
      <w:pPr>
        <w:pStyle w:val="Heading2"/>
        <w:spacing w:after="150" w:before="300"/>
      </w:pPr>
      <w:r>
        <w:t xml:space="preserve">15.7 Transformation Risks</w:t>
      </w:r>
    </w:p>
    <w:p>
      <w:pPr>
        <w:pStyle w:val="ListParagraph"/>
        <w:numPr>
          <w:ilvl w:val="0"/>
          <w:numId w:val="1"/>
        </w:numPr>
        <w:spacing w:after="80"/>
      </w:pPr>
      <w:r>
        <w:t xml:space="preserve">Activating Employer Collaboration Service will, for the first time, require the enterprise to operate live external-partner data contracts and SLAs — a genuinely new organizational capability, not just a technical one; the roadmap (Section 12) should not underestimate the non-technical lift involved.</w:t>
      </w:r>
    </w:p>
    <w:p>
      <w:pPr>
        <w:pStyle w:val="Heading2"/>
        <w:spacing w:after="150" w:before="300"/>
      </w:pPr>
      <w:r>
        <w:t xml:space="preserve">15.8 Technology Dependency Risks</w:t>
      </w:r>
    </w:p>
    <w:p>
      <w:pPr>
        <w:pStyle w:val="ListParagraph"/>
        <w:numPr>
          <w:ilvl w:val="0"/>
          <w:numId w:val="1"/>
        </w:numPr>
        <w:spacing w:after="80"/>
      </w:pPr>
      <w:r>
        <w:t xml:space="preserve">Credential material was found stored as plaintext files directly in the repository during this investigation, rather than in a managed secrets store — a governance and security finding for Platform Administration Service, flagged here for immediate attention independent of this document's roadmap.</w:t>
      </w:r>
    </w:p>
    <w:p>
      <w:pPr>
        <w:pStyle w:val="Heading2"/>
        <w:spacing w:after="150" w:before="300"/>
      </w:pPr>
      <w:r>
        <w:t xml:space="preserve">15.9 Mitigation Strategies</w:t>
      </w:r>
    </w:p>
    <w:p>
      <w:pPr>
        <w:pStyle w:val="ListParagraph"/>
        <w:numPr>
          <w:ilvl w:val="0"/>
          <w:numId w:val="1"/>
        </w:numPr>
        <w:spacing w:after="80"/>
      </w:pPr>
      <w:r>
        <w:t xml:space="preserve">Make data provenance visible in-product as an immediate, low-cost mitigation for the trust risks above (Section 12.1).</w:t>
      </w:r>
    </w:p>
    <w:p>
      <w:pPr>
        <w:pStyle w:val="ListParagraph"/>
        <w:numPr>
          <w:ilvl w:val="0"/>
          <w:numId w:val="1"/>
        </w:numPr>
        <w:spacing w:after="80"/>
      </w:pPr>
      <w:r>
        <w:t xml:space="preserve">Treat the chiV2 cutover as a named, owned short-term item rather than an implicit background task.</w:t>
      </w:r>
    </w:p>
    <w:p>
      <w:pPr>
        <w:pStyle w:val="ListParagraph"/>
        <w:numPr>
          <w:ilvl w:val="0"/>
          <w:numId w:val="1"/>
        </w:numPr>
        <w:spacing w:after="80"/>
      </w:pPr>
      <w:r>
        <w:t xml:space="preserve">Prioritize the first Employer Collaboration Service partner conversation early in the medium-term roadmap given its outsized de-risking effect on three dependent services.</w:t>
      </w:r>
    </w:p>
    <w:p>
      <w:pPr>
        <w:pStyle w:val="ListParagraph"/>
        <w:numPr>
          <w:ilvl w:val="0"/>
          <w:numId w:val="1"/>
        </w:numPr>
        <w:spacing w:after="80"/>
      </w:pPr>
      <w:r>
        <w:t xml:space="preserve">Rotate and relocate any credential material found stored in plaintext to a proper secrets manager immediately, independent of roadmap timing.</w:t>
      </w:r>
    </w:p>
    <w:p>
      <w:pPr>
        <w:pStyle w:val="Heading1"/>
        <w:spacing w:after="200" w:before="400"/>
      </w:pPr>
      <w:r>
        <w:t xml:space="preserve">16. Success Metrics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7200"/>
      </w:tblGrid>
      <w:tr>
        <w:trPr>
          <w:tblHeader/>
        </w:trPr>
        <w:tc>
          <w:tcPr>
            <w:tcW w:type="dxa" w:w="3000"/>
            <w:shd w:fill="1F3864" w:color="auto" w:val="clear"/>
            <w:vAlign w:val="center"/>
          </w:tcPr>
          <w:p>
            <w:r>
              <w:rPr>
                <w:b/>
                <w:bCs/>
                <w:color w:val="FFFFFF"/>
                <w:sz w:val="20"/>
                <w:szCs w:val="20"/>
              </w:rPr>
              <w:t xml:space="preserve">Metric domain</w:t>
            </w:r>
          </w:p>
        </w:tc>
        <w:tc>
          <w:tcPr>
            <w:tcW w:type="dxa" w:w="7200"/>
            <w:shd w:fill="1F3864" w:color="auto" w:val="clear"/>
            <w:vAlign w:val="center"/>
          </w:tcPr>
          <w:p>
            <w:r>
              <w:rPr>
                <w:b/>
                <w:bCs/>
                <w:color w:val="FFFFFF"/>
                <w:sz w:val="20"/>
                <w:szCs w:val="20"/>
              </w:rPr>
              <w:t xml:space="preserve">Example KPIs</w:t>
            </w:r>
          </w:p>
        </w:tc>
      </w:tr>
      <w:tr>
        <w:tc>
          <w:tcPr>
            <w:tcW w:type="dxa" w:w="3000"/>
            <w:vAlign w:val="center"/>
          </w:tcPr>
          <w:p>
            <w:r>
              <w:rPr>
                <w:b w:val="false"/>
                <w:bCs w:val="false"/>
                <w:sz w:val="20"/>
                <w:szCs w:val="20"/>
              </w:rPr>
              <w:t xml:space="preserve">Service adoption</w:t>
            </w:r>
          </w:p>
        </w:tc>
        <w:tc>
          <w:tcPr>
            <w:tcW w:type="dxa" w:w="7200"/>
            <w:vAlign w:val="center"/>
          </w:tcPr>
          <w:p>
            <w:r>
              <w:rPr>
                <w:b w:val="false"/>
                <w:bCs w:val="false"/>
                <w:sz w:val="20"/>
                <w:szCs w:val="20"/>
              </w:rPr>
              <w:t xml:space="preserve">Active students per business service (e.g., % of onboarded students who reach a Career Recommendation Service output; % who engage AI Career Advisory Service)</w:t>
            </w:r>
          </w:p>
        </w:tc>
      </w:tr>
      <w:tr>
        <w:tc>
          <w:tcPr>
            <w:tcW w:type="dxa" w:w="3000"/>
            <w:shd w:fill="EDEDED" w:color="auto" w:val="clear"/>
            <w:vAlign w:val="center"/>
          </w:tcPr>
          <w:p>
            <w:r>
              <w:rPr>
                <w:b w:val="false"/>
                <w:bCs w:val="false"/>
                <w:sz w:val="20"/>
                <w:szCs w:val="20"/>
              </w:rPr>
              <w:t xml:space="preserve">Service reuse</w:t>
            </w:r>
          </w:p>
        </w:tc>
        <w:tc>
          <w:tcPr>
            <w:tcW w:type="dxa" w:w="7200"/>
            <w:shd w:fill="EDEDED" w:color="auto" w:val="clear"/>
            <w:vAlign w:val="center"/>
          </w:tcPr>
          <w:p>
            <w:r>
              <w:rPr>
                <w:b w:val="false"/>
                <w:bCs w:val="false"/>
                <w:sz w:val="20"/>
                <w:szCs w:val="20"/>
              </w:rPr>
              <w:t xml:space="preserve">Number of consuming services per shared service (Knowledge Intelligence, Identity &amp; Access, Governance &amp; Assurance)</w:t>
            </w:r>
          </w:p>
        </w:tc>
      </w:tr>
      <w:tr>
        <w:tc>
          <w:tcPr>
            <w:tcW w:type="dxa" w:w="3000"/>
            <w:vAlign w:val="center"/>
          </w:tcPr>
          <w:p>
            <w:r>
              <w:rPr>
                <w:b w:val="false"/>
                <w:bCs w:val="false"/>
                <w:sz w:val="20"/>
                <w:szCs w:val="20"/>
              </w:rPr>
              <w:t xml:space="preserve">Student satisfaction</w:t>
            </w:r>
          </w:p>
        </w:tc>
        <w:tc>
          <w:tcPr>
            <w:tcW w:type="dxa" w:w="7200"/>
            <w:vAlign w:val="center"/>
          </w:tcPr>
          <w:p>
            <w:r>
              <w:rPr>
                <w:b w:val="false"/>
                <w:bCs w:val="false"/>
                <w:sz w:val="20"/>
                <w:szCs w:val="20"/>
              </w:rPr>
              <w:t xml:space="preserve">Post-recommendation and post-advisory-session student-reported trust/comprehension (qualitative)</w:t>
            </w:r>
          </w:p>
        </w:tc>
      </w:tr>
      <w:tr>
        <w:tc>
          <w:tcPr>
            <w:tcW w:type="dxa" w:w="3000"/>
            <w:shd w:fill="EDEDED" w:color="auto" w:val="clear"/>
            <w:vAlign w:val="center"/>
          </w:tcPr>
          <w:p>
            <w:r>
              <w:rPr>
                <w:b w:val="false"/>
                <w:bCs w:val="false"/>
                <w:sz w:val="20"/>
                <w:szCs w:val="20"/>
              </w:rPr>
              <w:t xml:space="preserve">Recommendation quality</w:t>
            </w:r>
          </w:p>
        </w:tc>
        <w:tc>
          <w:tcPr>
            <w:tcW w:type="dxa" w:w="7200"/>
            <w:shd w:fill="EDEDED" w:color="auto" w:val="clear"/>
            <w:vAlign w:val="center"/>
          </w:tcPr>
          <w:p>
            <w:r>
              <w:rPr>
                <w:b w:val="false"/>
                <w:bCs w:val="false"/>
                <w:sz w:val="20"/>
                <w:szCs w:val="20"/>
              </w:rPr>
              <w:t xml:space="preserve">Recommendation acceptance rate; recommendation-to-application conversion (Career Recommendation Service)</w:t>
            </w:r>
          </w:p>
        </w:tc>
      </w:tr>
      <w:tr>
        <w:tc>
          <w:tcPr>
            <w:tcW w:type="dxa" w:w="3000"/>
            <w:vAlign w:val="center"/>
          </w:tcPr>
          <w:p>
            <w:r>
              <w:rPr>
                <w:b w:val="false"/>
                <w:bCs w:val="false"/>
                <w:sz w:val="20"/>
                <w:szCs w:val="20"/>
              </w:rPr>
              <w:t xml:space="preserve">Resume completion</w:t>
            </w:r>
          </w:p>
        </w:tc>
        <w:tc>
          <w:tcPr>
            <w:tcW w:type="dxa" w:w="7200"/>
            <w:vAlign w:val="center"/>
          </w:tcPr>
          <w:p>
            <w:r>
              <w:rPr>
                <w:b w:val="false"/>
                <w:bCs w:val="false"/>
                <w:sz w:val="20"/>
                <w:szCs w:val="20"/>
              </w:rPr>
              <w:t xml:space="preserve">Document-generation-to-application conversion (Resume Intelligence Service)</w:t>
            </w:r>
          </w:p>
        </w:tc>
      </w:tr>
      <w:tr>
        <w:tc>
          <w:tcPr>
            <w:tcW w:type="dxa" w:w="3000"/>
            <w:shd w:fill="EDEDED" w:color="auto" w:val="clear"/>
            <w:vAlign w:val="center"/>
          </w:tcPr>
          <w:p>
            <w:r>
              <w:rPr>
                <w:b w:val="false"/>
                <w:bCs w:val="false"/>
                <w:sz w:val="20"/>
                <w:szCs w:val="20"/>
              </w:rPr>
              <w:t xml:space="preserve">Knowledge utilization</w:t>
            </w:r>
          </w:p>
        </w:tc>
        <w:tc>
          <w:tcPr>
            <w:tcW w:type="dxa" w:w="7200"/>
            <w:shd w:fill="EDEDED" w:color="auto" w:val="clear"/>
            <w:vAlign w:val="center"/>
          </w:tcPr>
          <w:p>
            <w:r>
              <w:rPr>
                <w:b w:val="false"/>
                <w:bCs w:val="false"/>
                <w:sz w:val="20"/>
                <w:szCs w:val="20"/>
              </w:rPr>
              <w:t xml:space="preserve">Taxonomy coverage vs. real-world job postings; skill-demand freshness once live-sourced (Knowledge Intelligence Service)</w:t>
            </w:r>
          </w:p>
        </w:tc>
      </w:tr>
      <w:tr>
        <w:tc>
          <w:tcPr>
            <w:tcW w:type="dxa" w:w="3000"/>
            <w:vAlign w:val="center"/>
          </w:tcPr>
          <w:p>
            <w:r>
              <w:rPr>
                <w:b w:val="false"/>
                <w:bCs w:val="false"/>
                <w:sz w:val="20"/>
                <w:szCs w:val="20"/>
              </w:rPr>
              <w:t xml:space="preserve">Employer participation</w:t>
            </w:r>
          </w:p>
        </w:tc>
        <w:tc>
          <w:tcPr>
            <w:tcW w:type="dxa" w:w="7200"/>
            <w:vAlign w:val="center"/>
          </w:tcPr>
          <w:p>
            <w:r>
              <w:rPr>
                <w:b w:val="false"/>
                <w:bCs w:val="false"/>
                <w:sz w:val="20"/>
                <w:szCs w:val="20"/>
              </w:rPr>
              <w:t xml:space="preserve">Number of signed external employer partners; time from signature to live data flowing into Job Opportunity Service (Employer Collaboration Service)</w:t>
            </w:r>
          </w:p>
        </w:tc>
      </w:tr>
      <w:tr>
        <w:tc>
          <w:tcPr>
            <w:tcW w:type="dxa" w:w="3000"/>
            <w:shd w:fill="EDEDED" w:color="auto" w:val="clear"/>
            <w:vAlign w:val="center"/>
          </w:tcPr>
          <w:p>
            <w:r>
              <w:rPr>
                <w:b w:val="false"/>
                <w:bCs w:val="false"/>
                <w:sz w:val="20"/>
                <w:szCs w:val="20"/>
              </w:rPr>
              <w:t xml:space="preserve">AI effectiveness</w:t>
            </w:r>
          </w:p>
        </w:tc>
        <w:tc>
          <w:tcPr>
            <w:tcW w:type="dxa" w:w="7200"/>
            <w:shd w:fill="EDEDED" w:color="auto" w:val="clear"/>
            <w:vAlign w:val="center"/>
          </w:tcPr>
          <w:p>
            <w:r>
              <w:rPr>
                <w:b w:val="false"/>
                <w:bCs w:val="false"/>
                <w:sz w:val="20"/>
                <w:szCs w:val="20"/>
              </w:rPr>
              <w:t xml:space="preserve">Agent task success rate; provider fallback frequency; AI Quality &amp; Confidence Governance flag rate (AI Career Advisory Service)</w:t>
            </w:r>
          </w:p>
        </w:tc>
      </w:tr>
      <w:tr>
        <w:tc>
          <w:tcPr>
            <w:tcW w:type="dxa" w:w="3000"/>
            <w:vAlign w:val="center"/>
          </w:tcPr>
          <w:p>
            <w:r>
              <w:rPr>
                <w:b w:val="false"/>
                <w:bCs w:val="false"/>
                <w:sz w:val="20"/>
                <w:szCs w:val="20"/>
              </w:rPr>
              <w:t xml:space="preserve">Business agility</w:t>
            </w:r>
          </w:p>
        </w:tc>
        <w:tc>
          <w:tcPr>
            <w:tcW w:type="dxa" w:w="7200"/>
            <w:vAlign w:val="center"/>
          </w:tcPr>
          <w:p>
            <w:r>
              <w:rPr>
                <w:b w:val="false"/>
                <w:bCs w:val="false"/>
                <w:sz w:val="20"/>
                <w:szCs w:val="20"/>
              </w:rPr>
              <w:t xml:space="preserve">Time to close each Section 15 risk item; time from first live labor-market feed signature to all three dependent services advancing a maturity level</w:t>
            </w:r>
          </w:p>
        </w:tc>
      </w:tr>
      <w:tr>
        <w:tc>
          <w:tcPr>
            <w:tcW w:type="dxa" w:w="3000"/>
            <w:shd w:fill="EDEDED" w:color="auto" w:val="clear"/>
            <w:vAlign w:val="center"/>
          </w:tcPr>
          <w:p>
            <w:r>
              <w:rPr>
                <w:b w:val="false"/>
                <w:bCs w:val="false"/>
                <w:sz w:val="20"/>
                <w:szCs w:val="20"/>
              </w:rPr>
              <w:t xml:space="preserve">Cross-domain collaboration</w:t>
            </w:r>
          </w:p>
        </w:tc>
        <w:tc>
          <w:tcPr>
            <w:tcW w:type="dxa" w:w="7200"/>
            <w:shd w:fill="EDEDED" w:color="auto" w:val="clear"/>
            <w:vAlign w:val="center"/>
          </w:tcPr>
          <w:p>
            <w:r>
              <w:rPr>
                <w:b w:val="false"/>
                <w:bCs w:val="false"/>
                <w:sz w:val="20"/>
                <w:szCs w:val="20"/>
              </w:rPr>
              <w:t xml:space="preserve">Number of active service dependencies (Section 6.2) resolved without incident per quarter</w:t>
            </w:r>
          </w:p>
        </w:tc>
      </w:tr>
    </w:tbl>
    <w:p>
      <w:pPr>
        <w:pStyle w:val="Heading1"/>
        <w:spacing w:after="200" w:before="400"/>
      </w:pPr>
      <w:r>
        <w:t xml:space="preserve">17. Recommendations</w:t>
      </w:r>
    </w:p>
    <w:p>
      <w:pPr>
        <w:pStyle w:val="Heading2"/>
        <w:spacing w:after="150" w:before="300"/>
      </w:pPr>
      <w:r>
        <w:t xml:space="preserve">17.1 Immediate Priorities</w:t>
      </w:r>
    </w:p>
    <w:p>
      <w:pPr>
        <w:pStyle w:val="ListParagraph"/>
        <w:numPr>
          <w:ilvl w:val="0"/>
          <w:numId w:val="1"/>
        </w:numPr>
        <w:spacing w:after="80"/>
      </w:pPr>
      <w:r>
        <w:t xml:space="preserve">Rotate and relocate plaintext credential material out of the repository into a managed secrets store — independent of any roadmap sequencing, this is the single highest-severity finding in this document.</w:t>
      </w:r>
    </w:p>
    <w:p>
      <w:pPr>
        <w:pStyle w:val="ListParagraph"/>
        <w:numPr>
          <w:ilvl w:val="0"/>
          <w:numId w:val="1"/>
        </w:numPr>
        <w:spacing w:after="80"/>
      </w:pPr>
      <w:r>
        <w:t xml:space="preserve">Make labor-market data provenance visible in-product wherever Career Recommendation, Knowledge Intelligence, or Job Opportunity service output reaches a student.</w:t>
      </w:r>
    </w:p>
    <w:p>
      <w:pPr>
        <w:pStyle w:val="ListParagraph"/>
        <w:numPr>
          <w:ilvl w:val="0"/>
          <w:numId w:val="1"/>
        </w:numPr>
        <w:spacing w:after="80"/>
      </w:pPr>
      <w:r>
        <w:t xml:space="preserve">Name and date the chiV2 cutover for Career Health Service.</w:t>
      </w:r>
    </w:p>
    <w:p>
      <w:pPr>
        <w:pStyle w:val="Heading2"/>
        <w:spacing w:after="150" w:before="300"/>
      </w:pPr>
      <w:r>
        <w:t xml:space="preserve">17.2 Near-Term Improvements</w:t>
      </w:r>
    </w:p>
    <w:p>
      <w:pPr>
        <w:pStyle w:val="ListParagraph"/>
        <w:numPr>
          <w:ilvl w:val="0"/>
          <w:numId w:val="1"/>
        </w:numPr>
        <w:spacing w:after="80"/>
      </w:pPr>
      <w:r>
        <w:t xml:space="preserve">Instrument recommendation acceptance and document-generation-to-application conversion as first-class KPIs.</w:t>
      </w:r>
    </w:p>
    <w:p>
      <w:pPr>
        <w:pStyle w:val="ListParagraph"/>
        <w:numPr>
          <w:ilvl w:val="0"/>
          <w:numId w:val="1"/>
        </w:numPr>
        <w:spacing w:after="80"/>
      </w:pPr>
      <w:r>
        <w:t xml:space="preserve">Establish, even informally, a named knowledge-steward responsibility for Knowledge Intelligence Service ahead of the first external data partner.</w:t>
      </w:r>
    </w:p>
    <w:p>
      <w:pPr>
        <w:pStyle w:val="ListParagraph"/>
        <w:numPr>
          <w:ilvl w:val="0"/>
          <w:numId w:val="1"/>
        </w:numPr>
        <w:spacing w:after="80"/>
      </w:pPr>
      <w:r>
        <w:t xml:space="preserve">Repair the four named governance-tooling drift items (Section 15.6) before adding further governance scope.</w:t>
      </w:r>
    </w:p>
    <w:p>
      <w:pPr>
        <w:pStyle w:val="Heading2"/>
        <w:spacing w:after="150" w:before="300"/>
      </w:pPr>
      <w:r>
        <w:t xml:space="preserve">17.3 Medium-Term Improvements</w:t>
      </w:r>
    </w:p>
    <w:p>
      <w:pPr>
        <w:pStyle w:val="ListParagraph"/>
        <w:numPr>
          <w:ilvl w:val="0"/>
          <w:numId w:val="1"/>
        </w:numPr>
        <w:spacing w:after="80"/>
      </w:pPr>
      <w:r>
        <w:t xml:space="preserve">Secure the first live labor-market/partner data feed — the single highest-leverage action in this roadmap, simultaneously advancing three business services.</w:t>
      </w:r>
    </w:p>
    <w:p>
      <w:pPr>
        <w:pStyle w:val="ListParagraph"/>
        <w:numPr>
          <w:ilvl w:val="0"/>
          <w:numId w:val="1"/>
        </w:numPr>
        <w:spacing w:after="80"/>
      </w:pPr>
      <w:r>
        <w:t xml:space="preserve">Begin the first Employer Collaboration Service partner conversation.</w:t>
      </w:r>
    </w:p>
    <w:p>
      <w:pPr>
        <w:pStyle w:val="ListParagraph"/>
        <w:numPr>
          <w:ilvl w:val="0"/>
          <w:numId w:val="1"/>
        </w:numPr>
        <w:spacing w:after="80"/>
      </w:pPr>
      <w:r>
        <w:t xml:space="preserve">Populate the Career Planning &amp; Simulation Service engine behind its existing module interface.</w:t>
      </w:r>
    </w:p>
    <w:p>
      <w:pPr>
        <w:pStyle w:val="Heading2"/>
        <w:spacing w:after="150" w:before="300"/>
      </w:pPr>
      <w:r>
        <w:t xml:space="preserve">17.4 Long-Term Evolution</w:t>
      </w:r>
    </w:p>
    <w:p>
      <w:pPr>
        <w:pStyle w:val="ListParagraph"/>
        <w:numPr>
          <w:ilvl w:val="0"/>
          <w:numId w:val="1"/>
        </w:numPr>
        <w:spacing w:after="80"/>
      </w:pPr>
      <w:r>
        <w:t xml:space="preserve">Begin Career Outcome Intelligence Service once a first outcome-tracking data source is identified.</w:t>
      </w:r>
    </w:p>
    <w:p>
      <w:pPr>
        <w:pStyle w:val="ListParagraph"/>
        <w:numPr>
          <w:ilvl w:val="0"/>
          <w:numId w:val="1"/>
        </w:numPr>
        <w:spacing w:after="80"/>
      </w:pPr>
      <w:r>
        <w:t xml:space="preserve">Begin Partner &amp; Ecosystem Intelligence Service once Employer Collaboration Service's first partner is signed.</w:t>
      </w:r>
    </w:p>
    <w:p>
      <w:pPr>
        <w:pStyle w:val="ListParagraph"/>
        <w:numPr>
          <w:ilvl w:val="0"/>
          <w:numId w:val="1"/>
        </w:numPr>
        <w:spacing w:after="80"/>
      </w:pPr>
      <w:r>
        <w:t xml:space="preserve">Introduce formal, versioned business-service contracts between services as team size and release-cadence independence grow.</w:t>
      </w:r>
    </w:p>
    <w:p>
      <w:pPr>
        <w:pStyle w:val="Heading2"/>
        <w:spacing w:after="150" w:before="300"/>
      </w:pPr>
      <w:r>
        <w:t xml:space="preserve">17.5 Strategic Investments</w:t>
      </w:r>
    </w:p>
    <w:p>
      <w:pPr>
        <w:pStyle w:val="ListParagraph"/>
        <w:numPr>
          <w:ilvl w:val="0"/>
          <w:numId w:val="1"/>
        </w:numPr>
        <w:spacing w:after="80"/>
      </w:pPr>
      <w:r>
        <w:t xml:space="preserve">Career Recommendation Service and Employer Collaboration Service remain the two services warranting sustained strategic investment beyond routine maintenance, consistent with the Heat Map (Section 11).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2026-07-08T07:49:13.085Z</dcterms:created>
  <dcterms:modified xsi:type="dcterms:W3CDTF">2026-07-08T07:49:13.085Z</dcterms:modified>
</cp:coreProperties>
</file>

<file path=docProps/custom.xml><?xml version="1.0" encoding="utf-8"?>
<Properties xmlns="http://schemas.openxmlformats.org/officeDocument/2006/custom-properties" xmlns:vt="http://schemas.openxmlformats.org/officeDocument/2006/docPropsVTypes"/>
</file>