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26"/>
          <w:szCs w:val="26"/>
        </w:rPr>
        <w:t xml:space="preserve">ERP-01 — Phase C</w:t>
      </w:r>
    </w:p>
    <w:p>
      <w:pPr>
        <w:spacing w:after="100"/>
      </w:pPr>
      <w:r>
        <w:rPr>
          <w:b/>
          <w:bCs/>
          <w:color w:val="1F3864"/>
          <w:sz w:val="44"/>
          <w:szCs w:val="44"/>
        </w:rPr>
        <w:t xml:space="preserve">Section 10.10</w:t>
      </w:r>
    </w:p>
    <w:p>
      <w:pPr>
        <w:spacing w:after="200"/>
      </w:pPr>
      <w:r>
        <w:rPr>
          <w:b/>
          <w:bCs/>
          <w:sz w:val="32"/>
          <w:szCs w:val="32"/>
        </w:rPr>
        <w:t xml:space="preserve">Executive Engineering Dashboard &amp; Portfolio Control Repository</w:t>
      </w:r>
    </w:p>
    <w:p>
      <w:pPr>
        <w:spacing w:after="60"/>
      </w:pPr>
      <w:r>
        <w:rPr>
          <w:i/>
          <w:iCs/>
          <w:sz w:val="24"/>
          <w:szCs w:val="24"/>
        </w:rPr>
        <w:t xml:space="preserve">HireRise Career Intelligence Platform</w:t>
      </w:r>
    </w:p>
    <w:p>
      <w:pPr>
        <w:spacing w:after="60"/>
      </w:pPr>
      <w:r>
        <w:rPr>
          <w:i/>
          <w:iCs/>
          <w:sz w:val="20"/>
          <w:szCs w:val="20"/>
        </w:rPr>
        <w:t xml:space="preserve">Internal Enterprise Architecture &amp; Engineering Governance Documentation</w:t>
      </w:r>
    </w:p>
    <w:p>
      <w:pPr>
        <w:spacing w:after="300"/>
      </w:pPr>
      <w:r>
        <w:rPr>
          <w:sz w:val="20"/>
          <w:szCs w:val="20"/>
        </w:rPr>
        <w:t xml:space="preserve">Version 1.0 | Status: DRAFT FOR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50"/>
              <w:left w:type="dxa" w:w="150"/>
              <w:bottom w:type="dxa" w:w="150"/>
              <w:right w:type="dxa" w:w="150"/>
            </w:tcMar>
          </w:tcPr>
          <w:p>
            <w:pPr>
              <w:spacing w:after="100"/>
            </w:pPr>
            <w:r>
              <w:rPr>
                <w:b/>
                <w:bCs/>
                <w:sz w:val="20"/>
                <w:szCs w:val="20"/>
              </w:rPr>
              <w:t xml:space="preserve">Document Classification &amp; Scope Notice</w:t>
            </w:r>
          </w:p>
          <w:p>
            <w:pPr>
              <w:spacing w:after="100"/>
            </w:pPr>
            <w:r>
              <w:rPr>
                <w:b w:val="false"/>
                <w:bCs w:val="false"/>
                <w:sz w:val="20"/>
                <w:szCs w:val="20"/>
              </w:rPr>
              <w:t xml:space="preserve">This document is internal Enterprise Architecture design and engineering documentation produced by and for the HireRise engineering function. It is not an external audit, independent assurance report, third-party consulting engagement, or third-party certification. No content in this document should be read as a representation that Deloitte, Gartner, Accenture, PwC, KPMG, or any other external party has reviewed, approved, certified, or audited the ERP-01 program.</w:t>
            </w:r>
          </w:p>
          <w:p>
            <w:pPr>
              <w:spacing w:after="100"/>
            </w:pPr>
            <w:r>
              <w:rPr>
                <w:b w:val="false"/>
                <w:bCs w:val="false"/>
                <w:sz w:val="20"/>
                <w:szCs w:val="20"/>
              </w:rPr>
              <w:t xml:space="preserve">References to an "Enterprise Architecture Board," "Portfolio Governance Board," "Executive Steering Committee," or similar bodies describe target-state governance roles that the HireRise platform is being engineered toward, as defined in ERP-01 Phase B §9. Except where a role is explicitly stated as currently assigned, these are architectural constructs, not claims that such bodies currently exist or are currently convened.</w:t>
            </w:r>
          </w:p>
          <w:p>
            <w:pPr>
              <w:spacing w:after="0"/>
            </w:pPr>
            <w:r>
              <w:rPr>
                <w:b w:val="false"/>
                <w:bCs w:val="false"/>
                <w:sz w:val="20"/>
                <w:szCs w:val="20"/>
              </w:rPr>
              <w:t xml:space="preserve">Every status, figure, and readiness rating in this document is either reused verbatim from an approved ERP-01 Phase A–C finding or is a direct, non-speculative consolidation of those findings. Where evidence does not exist in the approved baseline, this document states "Not Evidenced in Current Baseline." Where content belongs to future scope, this document states "Reserved for Future Realization Phases."</w:t>
            </w:r>
          </w:p>
        </w:tc>
      </w:tr>
    </w:tbl>
    <w:p>
      <w:r>
        <w:br w:type="page"/>
      </w:r>
    </w:p>
    <w:p>
      <w:pPr>
        <w:pStyle w:val="Heading1"/>
        <w:spacing w:after="140" w:before="280"/>
      </w:pPr>
      <w:r>
        <w:t xml:space="preserve">10.10.1 — Executive Repository Purpose</w:t>
      </w:r>
    </w:p>
    <w:p>
      <w:pPr>
        <w:spacing w:after="160"/>
        <w:jc w:val="both"/>
      </w:pPr>
      <w:r>
        <w:rPr>
          <w:sz w:val="22"/>
          <w:szCs w:val="22"/>
        </w:rPr>
        <w:t xml:space="preserve">Section 10.10 is the capstone repository of the ERP-01 Phase C Executive Dashboard Series. It does not introduce a tenth dashboard alongside Sections 10.2 through 10.9. Instead, it consolidates the executive-facing evidence already established across Section 10.1 (Executive Overview) and Sections 10.2 through 10.9 (Engineering Status, Work Package, Portfolio Control, Wave Progress, Repository Readiness, Architecture Conformance, Verification, and Risk Dashboards) into a single decision-support repository suitable for internal executive and governance review.</w:t>
      </w:r>
    </w:p>
    <w:p>
      <w:pPr>
        <w:spacing w:after="160"/>
        <w:jc w:val="both"/>
      </w:pPr>
      <w:r>
        <w:rPr>
          <w:sz w:val="22"/>
          <w:szCs w:val="22"/>
        </w:rPr>
        <w:t xml:space="preserve">Consistent with every prior Phase C dashboard, this repository performs no new architecture analysis, no new engineering assessment, no new risk scoring, and no new governance determination. Its sole function is consolidation, cross-referencing, and executive framing of findings that already carry an approved evidentiary basis in ERP-01 Phase A.1 through Phase C Section 10.9.</w:t>
      </w:r>
    </w:p>
    <w:p>
      <w:pPr>
        <w:spacing w:after="160"/>
        <w:jc w:val="both"/>
      </w:pPr>
      <w:r>
        <w:rPr>
          <w:sz w:val="22"/>
          <w:szCs w:val="22"/>
        </w:rPr>
        <w:t xml:space="preserve">This repository is intended for internal engineering leadership and the target-state governance roles named in ERP-01 Phase B §9 — the Enterprise Architecture Owner, the Data Governance Owner, the Platform Engineering Lead, the Security/Platform Engineer, and the Executive Sponsor / Governance Board function. It is not addressed to, and does not purport to satisfy, any external audit, assurance, or certification audience.</w:t>
      </w:r>
    </w:p>
    <w:p>
      <w:pPr>
        <w:spacing w:after="160"/>
        <w:jc w:val="both"/>
      </w:pPr>
      <w:r>
        <w:rPr>
          <w:i/>
          <w:iCs/>
          <w:sz w:val="20"/>
          <w:szCs w:val="20"/>
        </w:rPr>
        <w:t xml:space="preserve">Evidence Classification: Derived Executive Assessment.</w:t>
      </w:r>
    </w:p>
    <w:p>
      <w:pPr>
        <w:pStyle w:val="Heading1"/>
        <w:spacing w:after="140" w:before="280"/>
      </w:pPr>
      <w:r>
        <w:t xml:space="preserve">10.10.2 — Executive Engineering Portfolio Summary</w:t>
      </w:r>
    </w:p>
    <w:p>
      <w:pPr>
        <w:spacing w:after="160"/>
        <w:jc w:val="both"/>
      </w:pPr>
      <w:r>
        <w:rPr>
          <w:sz w:val="22"/>
          <w:szCs w:val="22"/>
        </w:rPr>
        <w:t xml:space="preserve">The ERP-01 realization program governs six approved Work Packages (WP-0001 through WP-0006) within the HireRise Student Academic Domain realization scope, organized across three active waves and situated within a target-state portfolio structure of eight portfolios, three of which (Portfolios 1, 2, and 8) currently carry approved Architecture Requirement and Enterprise Governance Decision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vAlign w:val="center"/>
          </w:tcPr>
          <w:p>
            <w:r>
              <w:rPr>
                <w:b/>
                <w:bCs/>
                <w:sz w:val="20"/>
                <w:szCs w:val="20"/>
              </w:rPr>
              <w:t xml:space="preserve">Dimension</w:t>
            </w:r>
          </w:p>
        </w:tc>
        <w:tc>
          <w:tcPr>
            <w:tcW w:type="dxa" w:w="6150"/>
            <w:shd w:fill="1F3864" w:val="clear"/>
            <w:vAlign w:val="center"/>
          </w:tcPr>
          <w:p>
            <w:r>
              <w:rPr>
                <w:b/>
                <w:bCs/>
                <w:sz w:val="20"/>
                <w:szCs w:val="20"/>
              </w:rPr>
              <w:t xml:space="preserve">Status (as consolidated in Sections 10.2–10.9)</w:t>
            </w:r>
          </w:p>
        </w:tc>
      </w:tr>
      <w:tr>
        <w:tc>
          <w:tcPr>
            <w:tcW w:type="dxa" w:w="3200"/>
            <w:shd w:fill="F2F2F2" w:val="clear"/>
            <w:vAlign w:val="center"/>
          </w:tcPr>
          <w:p>
            <w:r>
              <w:rPr>
                <w:sz w:val="20"/>
                <w:szCs w:val="20"/>
              </w:rPr>
              <w:t xml:space="preserve">Architecture realization</w:t>
            </w:r>
          </w:p>
        </w:tc>
        <w:tc>
          <w:tcPr>
            <w:tcW w:type="dxa" w:w="6150"/>
            <w:shd w:fill="F2F2F2" w:val="clear"/>
            <w:vAlign w:val="center"/>
          </w:tcPr>
          <w:p>
            <w:r>
              <w:rPr>
                <w:sz w:val="20"/>
                <w:szCs w:val="20"/>
              </w:rPr>
              <w:t xml:space="preserve">Levels L1–L3 met; fully established and dispositioned (Section 10.7)</w:t>
            </w:r>
          </w:p>
        </w:tc>
      </w:tr>
      <w:tr>
        <w:tc>
          <w:tcPr>
            <w:tcW w:type="dxa" w:w="3200"/>
            <w:shd w:fill="FFFFFF" w:val="clear"/>
            <w:vAlign w:val="center"/>
          </w:tcPr>
          <w:p>
            <w:r>
              <w:rPr>
                <w:sz w:val="20"/>
                <w:szCs w:val="20"/>
              </w:rPr>
              <w:t xml:space="preserve">Engineering realization</w:t>
            </w:r>
          </w:p>
        </w:tc>
        <w:tc>
          <w:tcPr>
            <w:tcW w:type="dxa" w:w="6150"/>
            <w:shd w:fill="FFFFFF" w:val="clear"/>
            <w:vAlign w:val="center"/>
          </w:tcPr>
          <w:p>
            <w:r>
              <w:rPr>
                <w:sz w:val="20"/>
                <w:szCs w:val="20"/>
              </w:rPr>
              <w:t xml:space="preserve">Design and implementation blueprint complete for all six Work Packages; zero executed (Section 10.2, 10.3)</w:t>
            </w:r>
          </w:p>
        </w:tc>
      </w:tr>
      <w:tr>
        <w:tc>
          <w:tcPr>
            <w:tcW w:type="dxa" w:w="3200"/>
            <w:shd w:fill="F2F2F2" w:val="clear"/>
            <w:vAlign w:val="center"/>
          </w:tcPr>
          <w:p>
            <w:r>
              <w:rPr>
                <w:sz w:val="20"/>
                <w:szCs w:val="20"/>
              </w:rPr>
              <w:t xml:space="preserve">Repository realization</w:t>
            </w:r>
          </w:p>
        </w:tc>
        <w:tc>
          <w:tcPr>
            <w:tcW w:type="dxa" w:w="6150"/>
            <w:shd w:fill="F2F2F2" w:val="clear"/>
            <w:vAlign w:val="center"/>
          </w:tcPr>
          <w:p>
            <w:r>
              <w:rPr>
                <w:sz w:val="20"/>
                <w:szCs w:val="20"/>
              </w:rPr>
              <w:t xml:space="preserve">Sound and evidenced for Documentation, Database, and Test; Not Evidenced for Backend, Frontend, Infrastructure; Reserved for Integration, AI, Operations (Section 10.6)</w:t>
            </w:r>
          </w:p>
        </w:tc>
      </w:tr>
      <w:tr>
        <w:tc>
          <w:tcPr>
            <w:tcW w:type="dxa" w:w="3200"/>
            <w:shd w:fill="FFFFFF" w:val="clear"/>
            <w:vAlign w:val="center"/>
          </w:tcPr>
          <w:p>
            <w:r>
              <w:rPr>
                <w:sz w:val="20"/>
                <w:szCs w:val="20"/>
              </w:rPr>
              <w:t xml:space="preserve">Governance realization</w:t>
            </w:r>
          </w:p>
        </w:tc>
        <w:tc>
          <w:tcPr>
            <w:tcW w:type="dxa" w:w="6150"/>
            <w:shd w:fill="FFFFFF" w:val="clear"/>
            <w:vAlign w:val="center"/>
          </w:tcPr>
          <w:p>
            <w:r>
              <w:rPr>
                <w:sz w:val="20"/>
                <w:szCs w:val="20"/>
              </w:rPr>
              <w:t xml:space="preserve">Complete — zero undispositioned gaps across all Enterprise Governance Decisions (Section 10.2, 10.4)</w:t>
            </w:r>
          </w:p>
        </w:tc>
      </w:tr>
      <w:tr>
        <w:tc>
          <w:tcPr>
            <w:tcW w:type="dxa" w:w="3200"/>
            <w:shd w:fill="F2F2F2" w:val="clear"/>
            <w:vAlign w:val="center"/>
          </w:tcPr>
          <w:p>
            <w:r>
              <w:rPr>
                <w:sz w:val="20"/>
                <w:szCs w:val="20"/>
              </w:rPr>
              <w:t xml:space="preserve">Verification realization</w:t>
            </w:r>
          </w:p>
        </w:tc>
        <w:tc>
          <w:tcPr>
            <w:tcW w:type="dxa" w:w="6150"/>
            <w:shd w:fill="F2F2F2" w:val="clear"/>
            <w:vAlign w:val="center"/>
          </w:tcPr>
          <w:p>
            <w:r>
              <w:rPr>
                <w:sz w:val="20"/>
                <w:szCs w:val="20"/>
              </w:rPr>
              <w:t xml:space="preserve">Design-complete, execution-pending; two of six Work Packages execute-ready today (Section 10.8)</w:t>
            </w:r>
          </w:p>
        </w:tc>
      </w:tr>
      <w:tr>
        <w:tc>
          <w:tcPr>
            <w:tcW w:type="dxa" w:w="3200"/>
            <w:shd w:fill="FFFFFF" w:val="clear"/>
            <w:vAlign w:val="center"/>
          </w:tcPr>
          <w:p>
            <w:r>
              <w:rPr>
                <w:sz w:val="20"/>
                <w:szCs w:val="20"/>
              </w:rPr>
              <w:t xml:space="preserve">Risk realization</w:t>
            </w:r>
          </w:p>
        </w:tc>
        <w:tc>
          <w:tcPr>
            <w:tcW w:type="dxa" w:w="6150"/>
            <w:shd w:fill="FFFFFF" w:val="clear"/>
            <w:vAlign w:val="center"/>
          </w:tcPr>
          <w:p>
            <w:r>
              <w:rPr>
                <w:sz w:val="20"/>
                <w:szCs w:val="20"/>
              </w:rPr>
              <w:t xml:space="preserve">READY WITH CONDITIONS — every identified risk carries a mitigating Work Package or monitoring cadence (Section 10.9)</w:t>
            </w:r>
          </w:p>
        </w:tc>
      </w:tr>
      <w:tr>
        <w:tc>
          <w:tcPr>
            <w:tcW w:type="dxa" w:w="3200"/>
            <w:shd w:fill="F2F2F2" w:val="clear"/>
            <w:vAlign w:val="center"/>
          </w:tcPr>
          <w:p>
            <w:r>
              <w:rPr>
                <w:sz w:val="20"/>
                <w:szCs w:val="20"/>
              </w:rPr>
              <w:t xml:space="preserve">Acceptance realization</w:t>
            </w:r>
          </w:p>
        </w:tc>
        <w:tc>
          <w:tcPr>
            <w:tcW w:type="dxa" w:w="6150"/>
            <w:shd w:fill="F2F2F2" w:val="clear"/>
            <w:vAlign w:val="center"/>
          </w:tcPr>
          <w:p>
            <w:r>
              <w:rPr>
                <w:sz w:val="20"/>
                <w:szCs w:val="20"/>
              </w:rPr>
              <w:t xml:space="preserve">READY WITH CONDITIONS — Wave 1 acceptance-ready immediately upon execution (Section 9; Section 10.3)</w:t>
            </w:r>
          </w:p>
        </w:tc>
      </w:tr>
    </w:tbl>
    <w:p>
      <w:pPr>
        <w:spacing w:after="160"/>
        <w:jc w:val="both"/>
      </w:pPr>
      <w:r>
        <w:rPr>
          <w:i/>
          <w:iCs/>
          <w:sz w:val="20"/>
          <w:szCs w:val="20"/>
        </w:rPr>
        <w:t xml:space="preserve">Evidence Classification: Observed Evidence (reused verbatim from Section 10.2 §10.2.14; Section 10.3; Section 10.6; Section 10.7).</w:t>
      </w:r>
    </w:p>
    <w:p>
      <w:pPr>
        <w:pStyle w:val="Heading1"/>
        <w:spacing w:after="140" w:before="280"/>
      </w:pPr>
      <w:r>
        <w:t xml:space="preserve">10.10.3 — Consolidated Executive Dashboard</w:t>
      </w:r>
    </w:p>
    <w:p>
      <w:pPr>
        <w:spacing w:after="160"/>
        <w:jc w:val="both"/>
      </w:pPr>
      <w:r>
        <w:rPr>
          <w:sz w:val="22"/>
          <w:szCs w:val="22"/>
        </w:rPr>
        <w:t xml:space="preserve">The table below consolidates the executive summary line of each Section 10.2–10.9 dashboard without recalculating or reweighting any figure.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vAlign w:val="center"/>
          </w:tcPr>
          <w:p>
            <w:r>
              <w:rPr>
                <w:b/>
                <w:bCs/>
                <w:sz w:val="20"/>
                <w:szCs w:val="20"/>
              </w:rPr>
              <w:t xml:space="preserve">Source Dashboard</w:t>
            </w:r>
          </w:p>
        </w:tc>
        <w:tc>
          <w:tcPr>
            <w:tcW w:type="dxa" w:w="6350"/>
            <w:shd w:fill="1F3864" w:val="clear"/>
            <w:vAlign w:val="center"/>
          </w:tcPr>
          <w:p>
            <w:r>
              <w:rPr>
                <w:b/>
                <w:bCs/>
                <w:sz w:val="20"/>
                <w:szCs w:val="20"/>
              </w:rPr>
              <w:t xml:space="preserve">Consolidated Finding</w:t>
            </w:r>
          </w:p>
        </w:tc>
      </w:tr>
      <w:tr>
        <w:tc>
          <w:tcPr>
            <w:tcW w:type="dxa" w:w="3000"/>
            <w:shd w:fill="F2F2F2" w:val="clear"/>
            <w:vAlign w:val="center"/>
          </w:tcPr>
          <w:p>
            <w:r>
              <w:rPr>
                <w:sz w:val="20"/>
                <w:szCs w:val="20"/>
              </w:rPr>
              <w:t xml:space="preserve">10.2 — Engineering Status</w:t>
            </w:r>
          </w:p>
        </w:tc>
        <w:tc>
          <w:tcPr>
            <w:tcW w:type="dxa" w:w="6350"/>
            <w:shd w:fill="F2F2F2" w:val="clear"/>
            <w:vAlign w:val="center"/>
          </w:tcPr>
          <w:p>
            <w:r>
              <w:rPr>
                <w:sz w:val="20"/>
                <w:szCs w:val="20"/>
              </w:rPr>
              <w:t xml:space="preserve">Overall Enterprise Engineering Status: READY WITH CONDITIONS</w:t>
            </w:r>
          </w:p>
        </w:tc>
      </w:tr>
      <w:tr>
        <w:tc>
          <w:tcPr>
            <w:tcW w:type="dxa" w:w="3000"/>
            <w:shd w:fill="FFFFFF" w:val="clear"/>
            <w:vAlign w:val="center"/>
          </w:tcPr>
          <w:p>
            <w:r>
              <w:rPr>
                <w:sz w:val="20"/>
                <w:szCs w:val="20"/>
              </w:rPr>
              <w:t xml:space="preserve">10.3 — Work Package Dashboard</w:t>
            </w:r>
          </w:p>
        </w:tc>
        <w:tc>
          <w:tcPr>
            <w:tcW w:type="dxa" w:w="6350"/>
            <w:shd w:fill="FFFFFF" w:val="clear"/>
            <w:vAlign w:val="center"/>
          </w:tcPr>
          <w:p>
            <w:r>
              <w:rPr>
                <w:sz w:val="20"/>
                <w:szCs w:val="20"/>
              </w:rPr>
              <w:t xml:space="preserve">Overall Implementation Maturity: Defined but not yet Realized</w:t>
            </w:r>
          </w:p>
        </w:tc>
      </w:tr>
      <w:tr>
        <w:tc>
          <w:tcPr>
            <w:tcW w:type="dxa" w:w="3000"/>
            <w:shd w:fill="F2F2F2" w:val="clear"/>
            <w:vAlign w:val="center"/>
          </w:tcPr>
          <w:p>
            <w:r>
              <w:rPr>
                <w:sz w:val="20"/>
                <w:szCs w:val="20"/>
              </w:rPr>
              <w:t xml:space="preserve">10.4 — Portfolio Control</w:t>
            </w:r>
          </w:p>
        </w:tc>
        <w:tc>
          <w:tcPr>
            <w:tcW w:type="dxa" w:w="6350"/>
            <w:shd w:fill="F2F2F2" w:val="clear"/>
            <w:vAlign w:val="center"/>
          </w:tcPr>
          <w:p>
            <w:r>
              <w:rPr>
                <w:sz w:val="20"/>
                <w:szCs w:val="20"/>
              </w:rPr>
              <w:t xml:space="preserve">Overall Portfolio Readiness: READY WITH CONDITIONS (Wave 1 may begin immediately)</w:t>
            </w:r>
          </w:p>
        </w:tc>
      </w:tr>
      <w:tr>
        <w:tc>
          <w:tcPr>
            <w:tcW w:type="dxa" w:w="3000"/>
            <w:shd w:fill="FFFFFF" w:val="clear"/>
            <w:vAlign w:val="center"/>
          </w:tcPr>
          <w:p>
            <w:r>
              <w:rPr>
                <w:sz w:val="20"/>
                <w:szCs w:val="20"/>
              </w:rPr>
              <w:t xml:space="preserve">10.5 — Wave Progress</w:t>
            </w:r>
          </w:p>
        </w:tc>
        <w:tc>
          <w:tcPr>
            <w:tcW w:type="dxa" w:w="6350"/>
            <w:shd w:fill="FFFFFF" w:val="clear"/>
            <w:vAlign w:val="center"/>
          </w:tcPr>
          <w:p>
            <w:r>
              <w:rPr>
                <w:sz w:val="20"/>
                <w:szCs w:val="20"/>
              </w:rPr>
              <w:t xml:space="preserve">Wave 1: Fully Ready. Wave 2: Ready, sequenced. Wave 3: Not Ready (trigger pending)</w:t>
            </w:r>
          </w:p>
        </w:tc>
      </w:tr>
      <w:tr>
        <w:tc>
          <w:tcPr>
            <w:tcW w:type="dxa" w:w="3000"/>
            <w:shd w:fill="F2F2F2" w:val="clear"/>
            <w:vAlign w:val="center"/>
          </w:tcPr>
          <w:p>
            <w:r>
              <w:rPr>
                <w:sz w:val="20"/>
                <w:szCs w:val="20"/>
              </w:rPr>
              <w:t xml:space="preserve">10.6 — Repository Readiness</w:t>
            </w:r>
          </w:p>
        </w:tc>
        <w:tc>
          <w:tcPr>
            <w:tcW w:type="dxa" w:w="6350"/>
            <w:shd w:fill="F2F2F2" w:val="clear"/>
            <w:vAlign w:val="center"/>
          </w:tcPr>
          <w:p>
            <w:r>
              <w:rPr>
                <w:sz w:val="20"/>
                <w:szCs w:val="20"/>
              </w:rPr>
              <w:t xml:space="preserve">Documentation: high-priority, not started. Database: sound, two open items. Test: ready to execute</w:t>
            </w:r>
          </w:p>
        </w:tc>
      </w:tr>
      <w:tr>
        <w:tc>
          <w:tcPr>
            <w:tcW w:type="dxa" w:w="3000"/>
            <w:shd w:fill="FFFFFF" w:val="clear"/>
            <w:vAlign w:val="center"/>
          </w:tcPr>
          <w:p>
            <w:r>
              <w:rPr>
                <w:sz w:val="20"/>
                <w:szCs w:val="20"/>
              </w:rPr>
              <w:t xml:space="preserve">10.7 — Architecture Conformance</w:t>
            </w:r>
          </w:p>
        </w:tc>
        <w:tc>
          <w:tcPr>
            <w:tcW w:type="dxa" w:w="6350"/>
            <w:shd w:fill="FFFFFF" w:val="clear"/>
            <w:vAlign w:val="center"/>
          </w:tcPr>
          <w:p>
            <w:r>
              <w:rPr>
                <w:sz w:val="20"/>
                <w:szCs w:val="20"/>
              </w:rPr>
              <w:t xml:space="preserve">Conformant within evidenced scope; L1–L3 MET, L4 pending, L5 Reserved</w:t>
            </w:r>
          </w:p>
        </w:tc>
      </w:tr>
      <w:tr>
        <w:tc>
          <w:tcPr>
            <w:tcW w:type="dxa" w:w="3000"/>
            <w:shd w:fill="F2F2F2" w:val="clear"/>
            <w:vAlign w:val="center"/>
          </w:tcPr>
          <w:p>
            <w:r>
              <w:rPr>
                <w:sz w:val="20"/>
                <w:szCs w:val="20"/>
              </w:rPr>
              <w:t xml:space="preserve">10.8 — Verification Dashboard</w:t>
            </w:r>
          </w:p>
        </w:tc>
        <w:tc>
          <w:tcPr>
            <w:tcW w:type="dxa" w:w="6350"/>
            <w:shd w:fill="F2F2F2" w:val="clear"/>
            <w:vAlign w:val="center"/>
          </w:tcPr>
          <w:p>
            <w:r>
              <w:rPr>
                <w:sz w:val="20"/>
                <w:szCs w:val="20"/>
              </w:rPr>
              <w:t xml:space="preserve">Design-complete, execution-pending; no verification gap identified</w:t>
            </w:r>
          </w:p>
        </w:tc>
      </w:tr>
      <w:tr>
        <w:tc>
          <w:tcPr>
            <w:tcW w:type="dxa" w:w="3000"/>
            <w:shd w:fill="FFFFFF" w:val="clear"/>
            <w:vAlign w:val="center"/>
          </w:tcPr>
          <w:p>
            <w:r>
              <w:rPr>
                <w:sz w:val="20"/>
                <w:szCs w:val="20"/>
              </w:rPr>
              <w:t xml:space="preserve">10.9 — Risk Dashboard</w:t>
            </w:r>
          </w:p>
        </w:tc>
        <w:tc>
          <w:tcPr>
            <w:tcW w:type="dxa" w:w="6350"/>
            <w:shd w:fill="FFFFFF" w:val="clear"/>
            <w:vAlign w:val="center"/>
          </w:tcPr>
          <w:p>
            <w:r>
              <w:rPr>
                <w:sz w:val="20"/>
                <w:szCs w:val="20"/>
              </w:rPr>
              <w:t xml:space="preserve">Seven risks evidenced and fully dispositioned; no undispositioned risk identified</w:t>
            </w:r>
          </w:p>
        </w:tc>
      </w:tr>
    </w:tbl>
    <w:p>
      <w:pPr>
        <w:spacing w:after="160"/>
        <w:jc w:val="both"/>
      </w:pPr>
      <w:r>
        <w:rPr>
          <w:b w:val="false"/>
          <w:bCs w:val="false"/>
          <w:sz w:val="22"/>
          <w:szCs w:val="22"/>
        </w:rPr>
        <w:t xml:space="preserve">A single condition recurs, unaltered, across every one of the eight source dashboards: KPI-08 (Ownership Assignment %) = 0%. No named, accountable owner has yet been assigned to execution, a condition resolved directly by WP-0006. This is reported here exactly as found; it is not re-derived.</w:t>
      </w:r>
    </w:p>
    <w:p>
      <w:pPr>
        <w:spacing w:after="160"/>
        <w:jc w:val="both"/>
      </w:pPr>
      <w:r>
        <w:rPr>
          <w:i/>
          <w:iCs/>
          <w:sz w:val="20"/>
          <w:szCs w:val="20"/>
        </w:rPr>
        <w:t xml:space="preserve">Evidence Classification: Observed Evidence.</w:t>
      </w:r>
    </w:p>
    <w:p>
      <w:pPr>
        <w:pStyle w:val="Heading1"/>
        <w:spacing w:after="140" w:before="280"/>
      </w:pPr>
      <w:r>
        <w:t xml:space="preserve">10.10.4 — Executive Portfolio Control Repository</w:t>
      </w:r>
    </w:p>
    <w:p>
      <w:pPr>
        <w:pStyle w:val="Heading2"/>
        <w:spacing w:after="140" w:before="280"/>
      </w:pPr>
      <w:r>
        <w:t xml:space="preserve">Enterprise Identifier Registry (permanent, reused, never reissued — Phase A.3 §15)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200"/>
        <w:gridCol w:w="2850"/>
      </w:tblGrid>
      <w:tr>
        <w:tc>
          <w:tcPr>
            <w:tcW w:type="dxa" w:w="3400"/>
            <w:shd w:fill="1F3864" w:val="clear"/>
            <w:vAlign w:val="center"/>
          </w:tcPr>
          <w:p>
            <w:r>
              <w:rPr>
                <w:b/>
                <w:bCs/>
                <w:sz w:val="20"/>
                <w:szCs w:val="20"/>
              </w:rPr>
              <w:t xml:space="preserve">Identifier Class</w:t>
            </w:r>
          </w:p>
        </w:tc>
        <w:tc>
          <w:tcPr>
            <w:tcW w:type="dxa" w:w="900"/>
            <w:shd w:fill="1F3864" w:val="clear"/>
            <w:vAlign w:val="center"/>
          </w:tcPr>
          <w:p>
            <w:r>
              <w:rPr>
                <w:b/>
                <w:bCs/>
                <w:sz w:val="20"/>
                <w:szCs w:val="20"/>
              </w:rPr>
              <w:t xml:space="preserve">Count</w:t>
            </w:r>
          </w:p>
        </w:tc>
        <w:tc>
          <w:tcPr>
            <w:tcW w:type="dxa" w:w="2200"/>
            <w:shd w:fill="1F3864" w:val="clear"/>
            <w:vAlign w:val="center"/>
          </w:tcPr>
          <w:p>
            <w:r>
              <w:rPr>
                <w:b/>
                <w:bCs/>
                <w:sz w:val="20"/>
                <w:szCs w:val="20"/>
              </w:rPr>
              <w:t xml:space="preserve">Range</w:t>
            </w:r>
          </w:p>
        </w:tc>
        <w:tc>
          <w:tcPr>
            <w:tcW w:type="dxa" w:w="2850"/>
            <w:shd w:fill="1F3864" w:val="clear"/>
            <w:vAlign w:val="center"/>
          </w:tcPr>
          <w:p>
            <w:r>
              <w:rPr>
                <w:b/>
                <w:bCs/>
                <w:sz w:val="20"/>
                <w:szCs w:val="20"/>
              </w:rPr>
              <w:t xml:space="preserve">Status</w:t>
            </w:r>
          </w:p>
        </w:tc>
      </w:tr>
      <w:tr>
        <w:tc>
          <w:tcPr>
            <w:tcW w:type="dxa" w:w="3400"/>
            <w:shd w:fill="F2F2F2" w:val="clear"/>
            <w:vAlign w:val="center"/>
          </w:tcPr>
          <w:p>
            <w:r>
              <w:rPr>
                <w:sz w:val="20"/>
                <w:szCs w:val="20"/>
              </w:rPr>
              <w:t xml:space="preserve">Enterprise Architecture Principles</w:t>
            </w:r>
          </w:p>
        </w:tc>
        <w:tc>
          <w:tcPr>
            <w:tcW w:type="dxa" w:w="900"/>
            <w:shd w:fill="F2F2F2" w:val="clear"/>
            <w:vAlign w:val="center"/>
          </w:tcPr>
          <w:p>
            <w:r>
              <w:rPr>
                <w:sz w:val="20"/>
                <w:szCs w:val="20"/>
              </w:rPr>
              <w:t xml:space="preserve">9</w:t>
            </w:r>
          </w:p>
        </w:tc>
        <w:tc>
          <w:tcPr>
            <w:tcW w:type="dxa" w:w="2200"/>
            <w:shd w:fill="F2F2F2" w:val="clear"/>
            <w:vAlign w:val="center"/>
          </w:tcPr>
          <w:p>
            <w:r>
              <w:rPr>
                <w:sz w:val="20"/>
                <w:szCs w:val="20"/>
              </w:rPr>
              <w:t xml:space="preserve">AP-001–AP-009</w:t>
            </w:r>
          </w:p>
        </w:tc>
        <w:tc>
          <w:tcPr>
            <w:tcW w:type="dxa" w:w="2850"/>
            <w:shd w:fill="F2F2F2" w:val="clear"/>
            <w:vAlign w:val="center"/>
          </w:tcPr>
          <w:p>
            <w:r>
              <w:rPr>
                <w:sz w:val="20"/>
                <w:szCs w:val="20"/>
              </w:rPr>
              <w:t xml:space="preserve">Established (Phase A.3)</w:t>
            </w:r>
          </w:p>
        </w:tc>
      </w:tr>
      <w:tr>
        <w:tc>
          <w:tcPr>
            <w:tcW w:type="dxa" w:w="3400"/>
            <w:shd w:fill="FFFFFF" w:val="clear"/>
            <w:vAlign w:val="center"/>
          </w:tcPr>
          <w:p>
            <w:r>
              <w:rPr>
                <w:sz w:val="20"/>
                <w:szCs w:val="20"/>
              </w:rPr>
              <w:t xml:space="preserve">Architecture Requirements</w:t>
            </w:r>
          </w:p>
        </w:tc>
        <w:tc>
          <w:tcPr>
            <w:tcW w:type="dxa" w:w="900"/>
            <w:shd w:fill="FFFFFF" w:val="clear"/>
            <w:vAlign w:val="center"/>
          </w:tcPr>
          <w:p>
            <w:r>
              <w:rPr>
                <w:sz w:val="20"/>
                <w:szCs w:val="20"/>
              </w:rPr>
              <w:t xml:space="preserve">10</w:t>
            </w:r>
          </w:p>
        </w:tc>
        <w:tc>
          <w:tcPr>
            <w:tcW w:type="dxa" w:w="2200"/>
            <w:shd w:fill="FFFFFF" w:val="clear"/>
            <w:vAlign w:val="center"/>
          </w:tcPr>
          <w:p>
            <w:r>
              <w:rPr>
                <w:sz w:val="20"/>
                <w:szCs w:val="20"/>
              </w:rPr>
              <w:t xml:space="preserve">AR-0001–AR-0010</w:t>
            </w:r>
          </w:p>
        </w:tc>
        <w:tc>
          <w:tcPr>
            <w:tcW w:type="dxa" w:w="2850"/>
            <w:shd w:fill="FFFFFF" w:val="clear"/>
            <w:vAlign w:val="center"/>
          </w:tcPr>
          <w:p>
            <w:r>
              <w:rPr>
                <w:sz w:val="20"/>
                <w:szCs w:val="20"/>
              </w:rPr>
              <w:t xml:space="preserve">All 10 dispositioned (Section 10.7)</w:t>
            </w:r>
          </w:p>
        </w:tc>
      </w:tr>
      <w:tr>
        <w:tc>
          <w:tcPr>
            <w:tcW w:type="dxa" w:w="3400"/>
            <w:shd w:fill="F2F2F2" w:val="clear"/>
            <w:vAlign w:val="center"/>
          </w:tcPr>
          <w:p>
            <w:r>
              <w:rPr>
                <w:sz w:val="20"/>
                <w:szCs w:val="20"/>
              </w:rPr>
              <w:t xml:space="preserve">Enterprise Governance Decisions</w:t>
            </w:r>
          </w:p>
        </w:tc>
        <w:tc>
          <w:tcPr>
            <w:tcW w:type="dxa" w:w="900"/>
            <w:shd w:fill="F2F2F2" w:val="clear"/>
            <w:vAlign w:val="center"/>
          </w:tcPr>
          <w:p>
            <w:r>
              <w:rPr>
                <w:sz w:val="20"/>
                <w:szCs w:val="20"/>
              </w:rPr>
              <w:t xml:space="preserve">9</w:t>
            </w:r>
          </w:p>
        </w:tc>
        <w:tc>
          <w:tcPr>
            <w:tcW w:type="dxa" w:w="2200"/>
            <w:shd w:fill="F2F2F2" w:val="clear"/>
            <w:vAlign w:val="center"/>
          </w:tcPr>
          <w:p>
            <w:r>
              <w:rPr>
                <w:sz w:val="20"/>
                <w:szCs w:val="20"/>
              </w:rPr>
              <w:t xml:space="preserve">EGD-0001–EGD-0009</w:t>
            </w:r>
          </w:p>
        </w:tc>
        <w:tc>
          <w:tcPr>
            <w:tcW w:type="dxa" w:w="2850"/>
            <w:shd w:fill="F2F2F2" w:val="clear"/>
            <w:vAlign w:val="center"/>
          </w:tcPr>
          <w:p>
            <w:r>
              <w:rPr>
                <w:sz w:val="20"/>
                <w:szCs w:val="20"/>
              </w:rPr>
              <w:t xml:space="preserve">All dispositioned; zero open gaps</w:t>
            </w:r>
          </w:p>
        </w:tc>
      </w:tr>
      <w:tr>
        <w:tc>
          <w:tcPr>
            <w:tcW w:type="dxa" w:w="3400"/>
            <w:shd w:fill="FFFFFF" w:val="clear"/>
            <w:vAlign w:val="center"/>
          </w:tcPr>
          <w:p>
            <w:r>
              <w:rPr>
                <w:sz w:val="20"/>
                <w:szCs w:val="20"/>
              </w:rPr>
              <w:t xml:space="preserve">Enterprise Resolutions</w:t>
            </w:r>
          </w:p>
        </w:tc>
        <w:tc>
          <w:tcPr>
            <w:tcW w:type="dxa" w:w="900"/>
            <w:shd w:fill="FFFFFF" w:val="clear"/>
            <w:vAlign w:val="center"/>
          </w:tcPr>
          <w:p>
            <w:r>
              <w:rPr>
                <w:sz w:val="20"/>
                <w:szCs w:val="20"/>
              </w:rPr>
              <w:t xml:space="preserve">10</w:t>
            </w:r>
          </w:p>
        </w:tc>
        <w:tc>
          <w:tcPr>
            <w:tcW w:type="dxa" w:w="2200"/>
            <w:shd w:fill="FFFFFF" w:val="clear"/>
            <w:vAlign w:val="center"/>
          </w:tcPr>
          <w:p>
            <w:r>
              <w:rPr>
                <w:sz w:val="20"/>
                <w:szCs w:val="20"/>
              </w:rPr>
              <w:t xml:space="preserve">ER-0001–ER-0010</w:t>
            </w:r>
          </w:p>
        </w:tc>
        <w:tc>
          <w:tcPr>
            <w:tcW w:type="dxa" w:w="2850"/>
            <w:shd w:fill="FFFFFF" w:val="clear"/>
            <w:vAlign w:val="center"/>
          </w:tcPr>
          <w:p>
            <w:r>
              <w:rPr>
                <w:sz w:val="20"/>
                <w:szCs w:val="20"/>
              </w:rPr>
              <w:t xml:space="preserve">Established (Phase A.3)</w:t>
            </w:r>
          </w:p>
        </w:tc>
      </w:tr>
      <w:tr>
        <w:tc>
          <w:tcPr>
            <w:tcW w:type="dxa" w:w="3400"/>
            <w:shd w:fill="F2F2F2" w:val="clear"/>
            <w:vAlign w:val="center"/>
          </w:tcPr>
          <w:p>
            <w:r>
              <w:rPr>
                <w:sz w:val="20"/>
                <w:szCs w:val="20"/>
              </w:rPr>
              <w:t xml:space="preserve">Approved Variances</w:t>
            </w:r>
          </w:p>
        </w:tc>
        <w:tc>
          <w:tcPr>
            <w:tcW w:type="dxa" w:w="900"/>
            <w:shd w:fill="F2F2F2" w:val="clear"/>
            <w:vAlign w:val="center"/>
          </w:tcPr>
          <w:p>
            <w:r>
              <w:rPr>
                <w:sz w:val="20"/>
                <w:szCs w:val="20"/>
              </w:rPr>
              <w:t xml:space="preserve">4</w:t>
            </w:r>
          </w:p>
        </w:tc>
        <w:tc>
          <w:tcPr>
            <w:tcW w:type="dxa" w:w="2200"/>
            <w:shd w:fill="F2F2F2" w:val="clear"/>
            <w:vAlign w:val="center"/>
          </w:tcPr>
          <w:p>
            <w:r>
              <w:rPr>
                <w:sz w:val="20"/>
                <w:szCs w:val="20"/>
              </w:rPr>
              <w:t xml:space="preserve">VAR-01–VAR-04</w:t>
            </w:r>
          </w:p>
        </w:tc>
        <w:tc>
          <w:tcPr>
            <w:tcW w:type="dxa" w:w="2850"/>
            <w:shd w:fill="F2F2F2" w:val="clear"/>
            <w:vAlign w:val="center"/>
          </w:tcPr>
          <w:p>
            <w:r>
              <w:rPr>
                <w:sz w:val="20"/>
                <w:szCs w:val="20"/>
              </w:rPr>
              <w:t xml:space="preserve">Stable; monitored (Section 10.9)</w:t>
            </w:r>
          </w:p>
        </w:tc>
      </w:tr>
      <w:tr>
        <w:tc>
          <w:tcPr>
            <w:tcW w:type="dxa" w:w="3400"/>
            <w:shd w:fill="FFFFFF" w:val="clear"/>
            <w:vAlign w:val="center"/>
          </w:tcPr>
          <w:p>
            <w:r>
              <w:rPr>
                <w:sz w:val="20"/>
                <w:szCs w:val="20"/>
              </w:rPr>
              <w:t xml:space="preserve">Work Packages</w:t>
            </w:r>
          </w:p>
        </w:tc>
        <w:tc>
          <w:tcPr>
            <w:tcW w:type="dxa" w:w="900"/>
            <w:shd w:fill="FFFFFF" w:val="clear"/>
            <w:vAlign w:val="center"/>
          </w:tcPr>
          <w:p>
            <w:r>
              <w:rPr>
                <w:sz w:val="20"/>
                <w:szCs w:val="20"/>
              </w:rPr>
              <w:t xml:space="preserve">6</w:t>
            </w:r>
          </w:p>
        </w:tc>
        <w:tc>
          <w:tcPr>
            <w:tcW w:type="dxa" w:w="2200"/>
            <w:shd w:fill="FFFFFF" w:val="clear"/>
            <w:vAlign w:val="center"/>
          </w:tcPr>
          <w:p>
            <w:r>
              <w:rPr>
                <w:sz w:val="20"/>
                <w:szCs w:val="20"/>
              </w:rPr>
              <w:t xml:space="preserve">WP-0001–WP-0006</w:t>
            </w:r>
          </w:p>
        </w:tc>
        <w:tc>
          <w:tcPr>
            <w:tcW w:type="dxa" w:w="2850"/>
            <w:shd w:fill="FFFFFF" w:val="clear"/>
            <w:vAlign w:val="center"/>
          </w:tcPr>
          <w:p>
            <w:r>
              <w:rPr>
                <w:sz w:val="20"/>
                <w:szCs w:val="20"/>
              </w:rPr>
              <w:t xml:space="preserve">Fully specified; zero executed</w:t>
            </w:r>
          </w:p>
        </w:tc>
      </w:tr>
      <w:tr>
        <w:tc>
          <w:tcPr>
            <w:tcW w:type="dxa" w:w="3400"/>
            <w:shd w:fill="F2F2F2" w:val="clear"/>
            <w:vAlign w:val="center"/>
          </w:tcPr>
          <w:p>
            <w:r>
              <w:rPr>
                <w:sz w:val="20"/>
                <w:szCs w:val="20"/>
              </w:rPr>
              <w:t xml:space="preserve">Key Performance Indicators</w:t>
            </w:r>
          </w:p>
        </w:tc>
        <w:tc>
          <w:tcPr>
            <w:tcW w:type="dxa" w:w="900"/>
            <w:shd w:fill="F2F2F2" w:val="clear"/>
            <w:vAlign w:val="center"/>
          </w:tcPr>
          <w:p>
            <w:r>
              <w:rPr>
                <w:sz w:val="20"/>
                <w:szCs w:val="20"/>
              </w:rPr>
              <w:t xml:space="preserve">10</w:t>
            </w:r>
          </w:p>
        </w:tc>
        <w:tc>
          <w:tcPr>
            <w:tcW w:type="dxa" w:w="2200"/>
            <w:shd w:fill="F2F2F2" w:val="clear"/>
            <w:vAlign w:val="center"/>
          </w:tcPr>
          <w:p>
            <w:r>
              <w:rPr>
                <w:sz w:val="20"/>
                <w:szCs w:val="20"/>
              </w:rPr>
              <w:t xml:space="preserve">KPI-01–KPI-10</w:t>
            </w:r>
          </w:p>
        </w:tc>
        <w:tc>
          <w:tcPr>
            <w:tcW w:type="dxa" w:w="2850"/>
            <w:shd w:fill="F2F2F2" w:val="clear"/>
            <w:vAlign w:val="center"/>
          </w:tcPr>
          <w:p>
            <w:r>
              <w:rPr>
                <w:sz w:val="20"/>
                <w:szCs w:val="20"/>
              </w:rPr>
              <w:t xml:space="preserve">Baseline recorded; targets defined</w:t>
            </w:r>
          </w:p>
        </w:tc>
      </w:tr>
    </w:tbl>
    <w:p>
      <w:pPr>
        <w:pStyle w:val="Heading2"/>
        <w:spacing w:after="140" w:before="280"/>
      </w:pPr>
      <w:r>
        <w:t xml:space="preserve">Work Package Status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3300"/>
        <w:gridCol w:w="3200"/>
      </w:tblGrid>
      <w:tr>
        <w:tc>
          <w:tcPr>
            <w:tcW w:type="dxa" w:w="1700"/>
            <w:shd w:fill="1F3864" w:val="clear"/>
            <w:vAlign w:val="center"/>
          </w:tcPr>
          <w:p>
            <w:r>
              <w:rPr>
                <w:b/>
                <w:bCs/>
                <w:sz w:val="20"/>
                <w:szCs w:val="20"/>
              </w:rPr>
              <w:t xml:space="preserve">Work Package</w:t>
            </w:r>
          </w:p>
        </w:tc>
        <w:tc>
          <w:tcPr>
            <w:tcW w:type="dxa" w:w="1150"/>
            <w:shd w:fill="1F3864" w:val="clear"/>
            <w:vAlign w:val="center"/>
          </w:tcPr>
          <w:p>
            <w:r>
              <w:rPr>
                <w:b/>
                <w:bCs/>
                <w:sz w:val="20"/>
                <w:szCs w:val="20"/>
              </w:rPr>
              <w:t xml:space="preserve">Wave</w:t>
            </w:r>
          </w:p>
        </w:tc>
        <w:tc>
          <w:tcPr>
            <w:tcW w:type="dxa" w:w="3300"/>
            <w:shd w:fill="1F3864" w:val="clear"/>
            <w:vAlign w:val="center"/>
          </w:tcPr>
          <w:p>
            <w:r>
              <w:rPr>
                <w:b/>
                <w:bCs/>
                <w:sz w:val="20"/>
                <w:szCs w:val="20"/>
              </w:rPr>
              <w:t xml:space="preserve">Status</w:t>
            </w:r>
          </w:p>
        </w:tc>
        <w:tc>
          <w:tcPr>
            <w:tcW w:type="dxa" w:w="3200"/>
            <w:shd w:fill="1F3864" w:val="clear"/>
            <w:vAlign w:val="center"/>
          </w:tcPr>
          <w:p>
            <w:r>
              <w:rPr>
                <w:b/>
                <w:bCs/>
                <w:sz w:val="20"/>
                <w:szCs w:val="20"/>
              </w:rPr>
              <w:t xml:space="preserve">Note</w:t>
            </w:r>
          </w:p>
        </w:tc>
      </w:tr>
      <w:tr>
        <w:tc>
          <w:tcPr>
            <w:tcW w:type="dxa" w:w="1700"/>
            <w:shd w:fill="F2F2F2" w:val="clear"/>
            <w:vAlign w:val="center"/>
          </w:tcPr>
          <w:p>
            <w:r>
              <w:rPr>
                <w:sz w:val="20"/>
                <w:szCs w:val="20"/>
              </w:rPr>
              <w:t xml:space="preserve">WP-0001</w:t>
            </w:r>
          </w:p>
        </w:tc>
        <w:tc>
          <w:tcPr>
            <w:tcW w:type="dxa" w:w="1150"/>
            <w:shd w:fill="F2F2F2" w:val="clear"/>
            <w:vAlign w:val="center"/>
          </w:tcPr>
          <w:p>
            <w:r>
              <w:rPr>
                <w:sz w:val="20"/>
                <w:szCs w:val="20"/>
              </w:rPr>
              <w:t xml:space="preserve">Wave 2</w:t>
            </w:r>
          </w:p>
        </w:tc>
        <w:tc>
          <w:tcPr>
            <w:tcW w:type="dxa" w:w="3300"/>
            <w:shd w:fill="F2F2F2" w:val="clear"/>
            <w:vAlign w:val="center"/>
          </w:tcPr>
          <w:p>
            <w:r>
              <w:rPr>
                <w:sz w:val="20"/>
                <w:szCs w:val="20"/>
              </w:rPr>
              <w:t xml:space="preserve">Design/blueprint complete; not executed</w:t>
            </w:r>
          </w:p>
        </w:tc>
        <w:tc>
          <w:tcPr>
            <w:tcW w:type="dxa" w:w="3200"/>
            <w:shd w:fill="F2F2F2" w:val="clear"/>
            <w:vAlign w:val="center"/>
          </w:tcPr>
          <w:p>
            <w:r>
              <w:rPr>
                <w:sz w:val="20"/>
                <w:szCs w:val="20"/>
              </w:rPr>
              <w:t xml:space="preserve">Resolves confirmed documentation-drift risk</w:t>
            </w:r>
          </w:p>
        </w:tc>
      </w:tr>
      <w:tr>
        <w:tc>
          <w:tcPr>
            <w:tcW w:type="dxa" w:w="1700"/>
            <w:shd w:fill="FFFFFF" w:val="clear"/>
            <w:vAlign w:val="center"/>
          </w:tcPr>
          <w:p>
            <w:r>
              <w:rPr>
                <w:sz w:val="20"/>
                <w:szCs w:val="20"/>
              </w:rPr>
              <w:t xml:space="preserve">WP-0002</w:t>
            </w:r>
          </w:p>
        </w:tc>
        <w:tc>
          <w:tcPr>
            <w:tcW w:type="dxa" w:w="1150"/>
            <w:shd w:fill="FFFFFF" w:val="clear"/>
            <w:vAlign w:val="center"/>
          </w:tcPr>
          <w:p>
            <w:r>
              <w:rPr>
                <w:sz w:val="20"/>
                <w:szCs w:val="20"/>
              </w:rPr>
              <w:t xml:space="preserve">Wave 1</w:t>
            </w:r>
          </w:p>
        </w:tc>
        <w:tc>
          <w:tcPr>
            <w:tcW w:type="dxa" w:w="3300"/>
            <w:shd w:fill="FFFFFF" w:val="clear"/>
            <w:vAlign w:val="center"/>
          </w:tcPr>
          <w:p>
            <w:r>
              <w:rPr>
                <w:sz w:val="20"/>
                <w:szCs w:val="20"/>
              </w:rPr>
              <w:t xml:space="preserve">Design/blueprint complete; not executed</w:t>
            </w:r>
          </w:p>
        </w:tc>
        <w:tc>
          <w:tcPr>
            <w:tcW w:type="dxa" w:w="3200"/>
            <w:shd w:fill="FFFFFF" w:val="clear"/>
            <w:vAlign w:val="center"/>
          </w:tcPr>
          <w:p>
            <w:r>
              <w:rPr>
                <w:sz w:val="20"/>
                <w:szCs w:val="20"/>
              </w:rPr>
              <w:t xml:space="preserve">Critical-until-verified RLS coverage; execute-ready today</w:t>
            </w:r>
          </w:p>
        </w:tc>
      </w:tr>
      <w:tr>
        <w:tc>
          <w:tcPr>
            <w:tcW w:type="dxa" w:w="1700"/>
            <w:shd w:fill="F2F2F2" w:val="clear"/>
            <w:vAlign w:val="center"/>
          </w:tcPr>
          <w:p>
            <w:r>
              <w:rPr>
                <w:sz w:val="20"/>
                <w:szCs w:val="20"/>
              </w:rPr>
              <w:t xml:space="preserve">WP-0003</w:t>
            </w:r>
          </w:p>
        </w:tc>
        <w:tc>
          <w:tcPr>
            <w:tcW w:type="dxa" w:w="1150"/>
            <w:shd w:fill="F2F2F2" w:val="clear"/>
            <w:vAlign w:val="center"/>
          </w:tcPr>
          <w:p>
            <w:r>
              <w:rPr>
                <w:sz w:val="20"/>
                <w:szCs w:val="20"/>
              </w:rPr>
              <w:t xml:space="preserve">Wave 3</w:t>
            </w:r>
          </w:p>
        </w:tc>
        <w:tc>
          <w:tcPr>
            <w:tcW w:type="dxa" w:w="3300"/>
            <w:shd w:fill="F2F2F2" w:val="clear"/>
            <w:vAlign w:val="center"/>
          </w:tcPr>
          <w:p>
            <w:r>
              <w:rPr>
                <w:sz w:val="20"/>
                <w:szCs w:val="20"/>
              </w:rPr>
              <w:t xml:space="preserve">Monitoring-ready, not execution-ready</w:t>
            </w:r>
          </w:p>
        </w:tc>
        <w:tc>
          <w:tcPr>
            <w:tcW w:type="dxa" w:w="3200"/>
            <w:shd w:fill="F2F2F2" w:val="clear"/>
            <w:vAlign w:val="center"/>
          </w:tcPr>
          <w:p>
            <w:r>
              <w:rPr>
                <w:sz w:val="20"/>
                <w:szCs w:val="20"/>
              </w:rPr>
              <w:t xml:space="preserve">Awaiting EGD-0004 row-count/growth trigger</w:t>
            </w:r>
          </w:p>
        </w:tc>
      </w:tr>
      <w:tr>
        <w:tc>
          <w:tcPr>
            <w:tcW w:type="dxa" w:w="1700"/>
            <w:shd w:fill="FFFFFF" w:val="clear"/>
            <w:vAlign w:val="center"/>
          </w:tcPr>
          <w:p>
            <w:r>
              <w:rPr>
                <w:sz w:val="20"/>
                <w:szCs w:val="20"/>
              </w:rPr>
              <w:t xml:space="preserve">WP-0004</w:t>
            </w:r>
          </w:p>
        </w:tc>
        <w:tc>
          <w:tcPr>
            <w:tcW w:type="dxa" w:w="1150"/>
            <w:shd w:fill="FFFFFF" w:val="clear"/>
            <w:vAlign w:val="center"/>
          </w:tcPr>
          <w:p>
            <w:r>
              <w:rPr>
                <w:sz w:val="20"/>
                <w:szCs w:val="20"/>
              </w:rPr>
              <w:t xml:space="preserve">Wave 2</w:t>
            </w:r>
          </w:p>
        </w:tc>
        <w:tc>
          <w:tcPr>
            <w:tcW w:type="dxa" w:w="3300"/>
            <w:shd w:fill="FFFFFF" w:val="clear"/>
            <w:vAlign w:val="center"/>
          </w:tcPr>
          <w:p>
            <w:r>
              <w:rPr>
                <w:sz w:val="20"/>
                <w:szCs w:val="20"/>
              </w:rPr>
              <w:t xml:space="preserve">Design/blueprint complete; not executed</w:t>
            </w:r>
          </w:p>
        </w:tc>
        <w:tc>
          <w:tcPr>
            <w:tcW w:type="dxa" w:w="3200"/>
            <w:shd w:fill="FFFFFF" w:val="clear"/>
            <w:vAlign w:val="center"/>
          </w:tcPr>
          <w:p>
            <w:r>
              <w:rPr>
                <w:sz w:val="20"/>
                <w:szCs w:val="20"/>
              </w:rPr>
              <w:t xml:space="preserve">Sequenced after Wave 1</w:t>
            </w:r>
          </w:p>
        </w:tc>
      </w:tr>
      <w:tr>
        <w:tc>
          <w:tcPr>
            <w:tcW w:type="dxa" w:w="1700"/>
            <w:shd w:fill="F2F2F2" w:val="clear"/>
            <w:vAlign w:val="center"/>
          </w:tcPr>
          <w:p>
            <w:r>
              <w:rPr>
                <w:sz w:val="20"/>
                <w:szCs w:val="20"/>
              </w:rPr>
              <w:t xml:space="preserve">WP-0005</w:t>
            </w:r>
          </w:p>
        </w:tc>
        <w:tc>
          <w:tcPr>
            <w:tcW w:type="dxa" w:w="1150"/>
            <w:shd w:fill="F2F2F2" w:val="clear"/>
            <w:vAlign w:val="center"/>
          </w:tcPr>
          <w:p>
            <w:r>
              <w:rPr>
                <w:sz w:val="20"/>
                <w:szCs w:val="20"/>
              </w:rPr>
              <w:t xml:space="preserve">Wave 2</w:t>
            </w:r>
          </w:p>
        </w:tc>
        <w:tc>
          <w:tcPr>
            <w:tcW w:type="dxa" w:w="3300"/>
            <w:shd w:fill="F2F2F2" w:val="clear"/>
            <w:vAlign w:val="center"/>
          </w:tcPr>
          <w:p>
            <w:r>
              <w:rPr>
                <w:sz w:val="20"/>
                <w:szCs w:val="20"/>
              </w:rPr>
              <w:t xml:space="preserve">Design/blueprint complete; not executed</w:t>
            </w:r>
          </w:p>
        </w:tc>
        <w:tc>
          <w:tcPr>
            <w:tcW w:type="dxa" w:w="3200"/>
            <w:shd w:fill="F2F2F2" w:val="clear"/>
            <w:vAlign w:val="center"/>
          </w:tcPr>
          <w:p>
            <w:r>
              <w:rPr>
                <w:sz w:val="20"/>
                <w:szCs w:val="20"/>
              </w:rPr>
              <w:t xml:space="preserve">Sequenced after Wave 1</w:t>
            </w:r>
          </w:p>
        </w:tc>
      </w:tr>
      <w:tr>
        <w:tc>
          <w:tcPr>
            <w:tcW w:type="dxa" w:w="1700"/>
            <w:shd w:fill="FFFFFF" w:val="clear"/>
            <w:vAlign w:val="center"/>
          </w:tcPr>
          <w:p>
            <w:r>
              <w:rPr>
                <w:sz w:val="20"/>
                <w:szCs w:val="20"/>
              </w:rPr>
              <w:t xml:space="preserve">WP-0006</w:t>
            </w:r>
          </w:p>
        </w:tc>
        <w:tc>
          <w:tcPr>
            <w:tcW w:type="dxa" w:w="1150"/>
            <w:shd w:fill="FFFFFF" w:val="clear"/>
            <w:vAlign w:val="center"/>
          </w:tcPr>
          <w:p>
            <w:r>
              <w:rPr>
                <w:sz w:val="20"/>
                <w:szCs w:val="20"/>
              </w:rPr>
              <w:t xml:space="preserve">Wave 1</w:t>
            </w:r>
          </w:p>
        </w:tc>
        <w:tc>
          <w:tcPr>
            <w:tcW w:type="dxa" w:w="3300"/>
            <w:shd w:fill="FFFFFF" w:val="clear"/>
            <w:vAlign w:val="center"/>
          </w:tcPr>
          <w:p>
            <w:r>
              <w:rPr>
                <w:sz w:val="20"/>
                <w:szCs w:val="20"/>
              </w:rPr>
              <w:t xml:space="preserve">Design/blueprint complete; not executed</w:t>
            </w:r>
          </w:p>
        </w:tc>
        <w:tc>
          <w:tcPr>
            <w:tcW w:type="dxa" w:w="3200"/>
            <w:shd w:fill="FFFFFF" w:val="clear"/>
            <w:vAlign w:val="center"/>
          </w:tcPr>
          <w:p>
            <w:r>
              <w:rPr>
                <w:sz w:val="20"/>
                <w:szCs w:val="20"/>
              </w:rPr>
              <w:t xml:space="preserve">Ownership assignment; resolves KPI-08 = 0% for all other WPs</w:t>
            </w:r>
          </w:p>
        </w:tc>
      </w:tr>
    </w:tbl>
    <w:p>
      <w:pPr>
        <w:spacing w:after="160"/>
        <w:jc w:val="both"/>
      </w:pPr>
      <w:r>
        <w:rPr>
          <w:i/>
          <w:iCs/>
          <w:sz w:val="20"/>
          <w:szCs w:val="20"/>
        </w:rPr>
        <w:t xml:space="preserve">Evidence Classification: Observed Evidence (Section 10.3 §10.3.3; Section 10.5).</w:t>
      </w:r>
    </w:p>
    <w:p>
      <w:pPr>
        <w:pStyle w:val="Heading1"/>
        <w:spacing w:after="140" w:before="280"/>
      </w:pPr>
      <w:r>
        <w:t xml:space="preserve">10.10.5 — Executive Readiness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50"/>
      </w:tblGrid>
      <w:tr>
        <w:tc>
          <w:tcPr>
            <w:tcW w:type="dxa" w:w="2400"/>
            <w:shd w:fill="1F3864" w:val="clear"/>
            <w:vAlign w:val="center"/>
          </w:tcPr>
          <w:p>
            <w:r>
              <w:rPr>
                <w:b/>
                <w:bCs/>
                <w:sz w:val="20"/>
                <w:szCs w:val="20"/>
              </w:rPr>
              <w:t xml:space="preserve">Readiness Area</w:t>
            </w:r>
          </w:p>
        </w:tc>
        <w:tc>
          <w:tcPr>
            <w:tcW w:type="dxa" w:w="4700"/>
            <w:shd w:fill="1F3864" w:val="clear"/>
            <w:vAlign w:val="center"/>
          </w:tcPr>
          <w:p>
            <w:r>
              <w:rPr>
                <w:b/>
                <w:bCs/>
                <w:sz w:val="20"/>
                <w:szCs w:val="20"/>
              </w:rPr>
              <w:t xml:space="preserve">Consolidated Status</w:t>
            </w:r>
          </w:p>
        </w:tc>
        <w:tc>
          <w:tcPr>
            <w:tcW w:type="dxa" w:w="2250"/>
            <w:shd w:fill="1F3864" w:val="clear"/>
            <w:vAlign w:val="center"/>
          </w:tcPr>
          <w:p>
            <w:r>
              <w:rPr>
                <w:b/>
                <w:bCs/>
                <w:sz w:val="20"/>
                <w:szCs w:val="20"/>
              </w:rPr>
              <w:t xml:space="preserve">Source</w:t>
            </w:r>
          </w:p>
        </w:tc>
      </w:tr>
      <w:tr>
        <w:tc>
          <w:tcPr>
            <w:tcW w:type="dxa" w:w="2400"/>
            <w:shd w:fill="F2F2F2" w:val="clear"/>
            <w:vAlign w:val="center"/>
          </w:tcPr>
          <w:p>
            <w:r>
              <w:rPr>
                <w:sz w:val="20"/>
                <w:szCs w:val="20"/>
              </w:rPr>
              <w:t xml:space="preserve">Engineering</w:t>
            </w:r>
          </w:p>
        </w:tc>
        <w:tc>
          <w:tcPr>
            <w:tcW w:type="dxa" w:w="4700"/>
            <w:shd w:fill="F2F2F2" w:val="clear"/>
            <w:vAlign w:val="center"/>
          </w:tcPr>
          <w:p>
            <w:r>
              <w:rPr>
                <w:sz w:val="20"/>
                <w:szCs w:val="20"/>
              </w:rPr>
              <w:t xml:space="preserve">Design/blueprint complete for all six WPs; zero executed</w:t>
            </w:r>
          </w:p>
        </w:tc>
        <w:tc>
          <w:tcPr>
            <w:tcW w:type="dxa" w:w="2250"/>
            <w:shd w:fill="F2F2F2" w:val="clear"/>
            <w:vAlign w:val="center"/>
          </w:tcPr>
          <w:p>
            <w:r>
              <w:rPr>
                <w:sz w:val="20"/>
                <w:szCs w:val="20"/>
              </w:rPr>
              <w:t xml:space="preserve">Section 10.2, 10.3</w:t>
            </w:r>
          </w:p>
        </w:tc>
      </w:tr>
      <w:tr>
        <w:tc>
          <w:tcPr>
            <w:tcW w:type="dxa" w:w="2400"/>
            <w:shd w:fill="FFFFFF" w:val="clear"/>
            <w:vAlign w:val="center"/>
          </w:tcPr>
          <w:p>
            <w:r>
              <w:rPr>
                <w:sz w:val="20"/>
                <w:szCs w:val="20"/>
              </w:rPr>
              <w:t xml:space="preserve">Governance</w:t>
            </w:r>
          </w:p>
        </w:tc>
        <w:tc>
          <w:tcPr>
            <w:tcW w:type="dxa" w:w="4700"/>
            <w:shd w:fill="FFFFFF" w:val="clear"/>
            <w:vAlign w:val="center"/>
          </w:tcPr>
          <w:p>
            <w:r>
              <w:rPr>
                <w:sz w:val="20"/>
                <w:szCs w:val="20"/>
              </w:rPr>
              <w:t xml:space="preserve">Complete — zero undispositioned gaps</w:t>
            </w:r>
          </w:p>
        </w:tc>
        <w:tc>
          <w:tcPr>
            <w:tcW w:type="dxa" w:w="2250"/>
            <w:shd w:fill="FFFFFF" w:val="clear"/>
            <w:vAlign w:val="center"/>
          </w:tcPr>
          <w:p>
            <w:r>
              <w:rPr>
                <w:sz w:val="20"/>
                <w:szCs w:val="20"/>
              </w:rPr>
              <w:t xml:space="preserve">Section 10.2, 10.4</w:t>
            </w:r>
          </w:p>
        </w:tc>
      </w:tr>
      <w:tr>
        <w:tc>
          <w:tcPr>
            <w:tcW w:type="dxa" w:w="2400"/>
            <w:shd w:fill="F2F2F2" w:val="clear"/>
            <w:vAlign w:val="center"/>
          </w:tcPr>
          <w:p>
            <w:r>
              <w:rPr>
                <w:sz w:val="20"/>
                <w:szCs w:val="20"/>
              </w:rPr>
              <w:t xml:space="preserve">Architecture</w:t>
            </w:r>
          </w:p>
        </w:tc>
        <w:tc>
          <w:tcPr>
            <w:tcW w:type="dxa" w:w="4700"/>
            <w:shd w:fill="F2F2F2" w:val="clear"/>
            <w:vAlign w:val="center"/>
          </w:tcPr>
          <w:p>
            <w:r>
              <w:rPr>
                <w:sz w:val="20"/>
                <w:szCs w:val="20"/>
              </w:rPr>
              <w:t xml:space="preserve">L1–L3 MET; L4 NOT MET pending WP-0001/WP-0002; L5 NOT MET</w:t>
            </w:r>
          </w:p>
        </w:tc>
        <w:tc>
          <w:tcPr>
            <w:tcW w:type="dxa" w:w="2250"/>
            <w:shd w:fill="F2F2F2" w:val="clear"/>
            <w:vAlign w:val="center"/>
          </w:tcPr>
          <w:p>
            <w:r>
              <w:rPr>
                <w:sz w:val="20"/>
                <w:szCs w:val="20"/>
              </w:rPr>
              <w:t xml:space="preserve">Section 10.7</w:t>
            </w:r>
          </w:p>
        </w:tc>
      </w:tr>
      <w:tr>
        <w:tc>
          <w:tcPr>
            <w:tcW w:type="dxa" w:w="2400"/>
            <w:shd w:fill="FFFFFF" w:val="clear"/>
            <w:vAlign w:val="center"/>
          </w:tcPr>
          <w:p>
            <w:r>
              <w:rPr>
                <w:sz w:val="20"/>
                <w:szCs w:val="20"/>
              </w:rPr>
              <w:t xml:space="preserve">Repository</w:t>
            </w:r>
          </w:p>
        </w:tc>
        <w:tc>
          <w:tcPr>
            <w:tcW w:type="dxa" w:w="4700"/>
            <w:shd w:fill="FFFFFF" w:val="clear"/>
            <w:vAlign w:val="center"/>
          </w:tcPr>
          <w:p>
            <w:r>
              <w:rPr>
                <w:sz w:val="20"/>
                <w:szCs w:val="20"/>
              </w:rPr>
              <w:t xml:space="preserve">Sound for Documentation/Database/Test; Not Evidenced elsewhere</w:t>
            </w:r>
          </w:p>
        </w:tc>
        <w:tc>
          <w:tcPr>
            <w:tcW w:type="dxa" w:w="2250"/>
            <w:shd w:fill="FFFFFF" w:val="clear"/>
            <w:vAlign w:val="center"/>
          </w:tcPr>
          <w:p>
            <w:r>
              <w:rPr>
                <w:sz w:val="20"/>
                <w:szCs w:val="20"/>
              </w:rPr>
              <w:t xml:space="preserve">Section 10.6</w:t>
            </w:r>
          </w:p>
        </w:tc>
      </w:tr>
      <w:tr>
        <w:tc>
          <w:tcPr>
            <w:tcW w:type="dxa" w:w="2400"/>
            <w:shd w:fill="F2F2F2" w:val="clear"/>
            <w:vAlign w:val="center"/>
          </w:tcPr>
          <w:p>
            <w:r>
              <w:rPr>
                <w:sz w:val="20"/>
                <w:szCs w:val="20"/>
              </w:rPr>
              <w:t xml:space="preserve">Portfolio</w:t>
            </w:r>
          </w:p>
        </w:tc>
        <w:tc>
          <w:tcPr>
            <w:tcW w:type="dxa" w:w="4700"/>
            <w:shd w:fill="F2F2F2" w:val="clear"/>
            <w:vAlign w:val="center"/>
          </w:tcPr>
          <w:p>
            <w:r>
              <w:rPr>
                <w:sz w:val="20"/>
                <w:szCs w:val="20"/>
              </w:rPr>
              <w:t xml:space="preserve">READY WITH CONDITIONS; Wave 1 startable immediately</w:t>
            </w:r>
          </w:p>
        </w:tc>
        <w:tc>
          <w:tcPr>
            <w:tcW w:type="dxa" w:w="2250"/>
            <w:shd w:fill="F2F2F2" w:val="clear"/>
            <w:vAlign w:val="center"/>
          </w:tcPr>
          <w:p>
            <w:r>
              <w:rPr>
                <w:sz w:val="20"/>
                <w:szCs w:val="20"/>
              </w:rPr>
              <w:t xml:space="preserve">Section 10.4</w:t>
            </w:r>
          </w:p>
        </w:tc>
      </w:tr>
      <w:tr>
        <w:tc>
          <w:tcPr>
            <w:tcW w:type="dxa" w:w="2400"/>
            <w:shd w:fill="FFFFFF" w:val="clear"/>
            <w:vAlign w:val="center"/>
          </w:tcPr>
          <w:p>
            <w:r>
              <w:rPr>
                <w:sz w:val="20"/>
                <w:szCs w:val="20"/>
              </w:rPr>
              <w:t xml:space="preserve">Verification</w:t>
            </w:r>
          </w:p>
        </w:tc>
        <w:tc>
          <w:tcPr>
            <w:tcW w:type="dxa" w:w="4700"/>
            <w:shd w:fill="FFFFFF" w:val="clear"/>
            <w:vAlign w:val="center"/>
          </w:tcPr>
          <w:p>
            <w:r>
              <w:rPr>
                <w:sz w:val="20"/>
                <w:szCs w:val="20"/>
              </w:rPr>
              <w:t xml:space="preserve">Design-complete, execution-pending; two WPs execute-ready</w:t>
            </w:r>
          </w:p>
        </w:tc>
        <w:tc>
          <w:tcPr>
            <w:tcW w:type="dxa" w:w="2250"/>
            <w:shd w:fill="FFFFFF" w:val="clear"/>
            <w:vAlign w:val="center"/>
          </w:tcPr>
          <w:p>
            <w:r>
              <w:rPr>
                <w:sz w:val="20"/>
                <w:szCs w:val="20"/>
              </w:rPr>
              <w:t xml:space="preserve">Section 10.8</w:t>
            </w:r>
          </w:p>
        </w:tc>
      </w:tr>
      <w:tr>
        <w:tc>
          <w:tcPr>
            <w:tcW w:type="dxa" w:w="2400"/>
            <w:shd w:fill="F2F2F2" w:val="clear"/>
            <w:vAlign w:val="center"/>
          </w:tcPr>
          <w:p>
            <w:r>
              <w:rPr>
                <w:sz w:val="20"/>
                <w:szCs w:val="20"/>
              </w:rPr>
              <w:t xml:space="preserve">Acceptance</w:t>
            </w:r>
          </w:p>
        </w:tc>
        <w:tc>
          <w:tcPr>
            <w:tcW w:type="dxa" w:w="4700"/>
            <w:shd w:fill="F2F2F2" w:val="clear"/>
            <w:vAlign w:val="center"/>
          </w:tcPr>
          <w:p>
            <w:r>
              <w:rPr>
                <w:sz w:val="20"/>
                <w:szCs w:val="20"/>
              </w:rPr>
              <w:t xml:space="preserve">READY WITH CONDITIONS; Wave 1 acceptance-ready</w:t>
            </w:r>
          </w:p>
        </w:tc>
        <w:tc>
          <w:tcPr>
            <w:tcW w:type="dxa" w:w="2250"/>
            <w:shd w:fill="F2F2F2" w:val="clear"/>
            <w:vAlign w:val="center"/>
          </w:tcPr>
          <w:p>
            <w:r>
              <w:rPr>
                <w:sz w:val="20"/>
                <w:szCs w:val="20"/>
              </w:rPr>
              <w:t xml:space="preserve">Section 9; Section 10.3</w:t>
            </w:r>
          </w:p>
        </w:tc>
      </w:tr>
      <w:tr>
        <w:tc>
          <w:tcPr>
            <w:tcW w:type="dxa" w:w="2400"/>
            <w:shd w:fill="FFFFFF" w:val="clear"/>
            <w:vAlign w:val="center"/>
          </w:tcPr>
          <w:p>
            <w:r>
              <w:rPr>
                <w:sz w:val="20"/>
                <w:szCs w:val="20"/>
              </w:rPr>
              <w:t xml:space="preserve">Certification</w:t>
            </w:r>
          </w:p>
        </w:tc>
        <w:tc>
          <w:tcPr>
            <w:tcW w:type="dxa" w:w="4700"/>
            <w:shd w:fill="FFFFFF" w:val="clear"/>
            <w:vAlign w:val="center"/>
          </w:tcPr>
          <w:p>
            <w:r>
              <w:rPr>
                <w:sz w:val="20"/>
                <w:szCs w:val="20"/>
              </w:rPr>
              <w:t xml:space="preserve">L1–L3 MET; L4–L5 NOT MET</w:t>
            </w:r>
          </w:p>
        </w:tc>
        <w:tc>
          <w:tcPr>
            <w:tcW w:type="dxa" w:w="2250"/>
            <w:shd w:fill="FFFFFF" w:val="clear"/>
            <w:vAlign w:val="center"/>
          </w:tcPr>
          <w:p>
            <w:r>
              <w:rPr>
                <w:sz w:val="20"/>
                <w:szCs w:val="20"/>
              </w:rPr>
              <w:t xml:space="preserve">Section 10.7; Phase A.3 §11</w:t>
            </w:r>
          </w:p>
        </w:tc>
      </w:tr>
    </w:tbl>
    <w:p>
      <w:pPr>
        <w:spacing w:after="160"/>
        <w:jc w:val="both"/>
      </w:pPr>
      <w:r>
        <w:rPr>
          <w:sz w:val="22"/>
          <w:szCs w:val="22"/>
        </w:rPr>
        <w:t xml:space="preserve">No readiness area reports an unmitigated or unmonitored condition. The single cross-cutting condition affecting every readiness area is unassigned execution ownership (KPI-08 = 0%), a governance-accountability gap rather than a technical, architectural, or verification deficiency.</w:t>
      </w:r>
    </w:p>
    <w:p>
      <w:pPr>
        <w:spacing w:after="160"/>
        <w:jc w:val="both"/>
      </w:pPr>
      <w:r>
        <w:rPr>
          <w:i/>
          <w:iCs/>
          <w:sz w:val="20"/>
          <w:szCs w:val="20"/>
        </w:rPr>
        <w:t xml:space="preserve">Evidence Classification: Derived Executive Assessment (direct aggregation of Section 10.2–10.9 findings; no new readiness method applied).</w:t>
      </w:r>
    </w:p>
    <w:p>
      <w:pPr>
        <w:pStyle w:val="Heading1"/>
        <w:spacing w:after="140" w:before="280"/>
      </w:pPr>
      <w:r>
        <w:t xml:space="preserve">10.10.6 — Executive Decision Support Matrix</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050"/>
        <w:gridCol w:w="1700"/>
        <w:gridCol w:w="1550"/>
        <w:gridCol w:w="1950"/>
        <w:gridCol w:w="1900"/>
        <w:gridCol w:w="1200"/>
      </w:tblGrid>
      <w:tr>
        <w:tc>
          <w:tcPr>
            <w:tcW w:type="dxa" w:w="2050"/>
            <w:shd w:fill="1F3864" w:val="clear"/>
            <w:vAlign w:val="center"/>
          </w:tcPr>
          <w:p>
            <w:r>
              <w:rPr>
                <w:b/>
                <w:bCs/>
                <w:sz w:val="20"/>
                <w:szCs w:val="20"/>
              </w:rPr>
              <w:t xml:space="preserve">Decision Area</w:t>
            </w:r>
          </w:p>
        </w:tc>
        <w:tc>
          <w:tcPr>
            <w:tcW w:type="dxa" w:w="1700"/>
            <w:shd w:fill="1F3864" w:val="clear"/>
            <w:vAlign w:val="center"/>
          </w:tcPr>
          <w:p>
            <w:r>
              <w:rPr>
                <w:b/>
                <w:bCs/>
                <w:sz w:val="20"/>
                <w:szCs w:val="20"/>
              </w:rPr>
              <w:t xml:space="preserve">Evidence Source</w:t>
            </w:r>
          </w:p>
        </w:tc>
        <w:tc>
          <w:tcPr>
            <w:tcW w:type="dxa" w:w="1550"/>
            <w:shd w:fill="1F3864" w:val="clear"/>
            <w:vAlign w:val="center"/>
          </w:tcPr>
          <w:p>
            <w:r>
              <w:rPr>
                <w:b/>
                <w:bCs/>
                <w:sz w:val="20"/>
                <w:szCs w:val="20"/>
              </w:rPr>
              <w:t xml:space="preserve">Current Status</w:t>
            </w:r>
          </w:p>
        </w:tc>
        <w:tc>
          <w:tcPr>
            <w:tcW w:type="dxa" w:w="1950"/>
            <w:shd w:fill="1F3864" w:val="clear"/>
            <w:vAlign w:val="center"/>
          </w:tcPr>
          <w:p>
            <w:r>
              <w:rPr>
                <w:b/>
                <w:bCs/>
                <w:sz w:val="20"/>
                <w:szCs w:val="20"/>
              </w:rPr>
              <w:t xml:space="preserve">Executive Impact</w:t>
            </w:r>
          </w:p>
        </w:tc>
        <w:tc>
          <w:tcPr>
            <w:tcW w:type="dxa" w:w="1900"/>
            <w:shd w:fill="1F3864" w:val="clear"/>
            <w:vAlign w:val="center"/>
          </w:tcPr>
          <w:p>
            <w:r>
              <w:rPr>
                <w:b/>
                <w:bCs/>
                <w:sz w:val="20"/>
                <w:szCs w:val="20"/>
              </w:rPr>
              <w:t xml:space="preserve">Required Executive Action</w:t>
            </w:r>
          </w:p>
        </w:tc>
        <w:tc>
          <w:tcPr>
            <w:tcW w:type="dxa" w:w="1200"/>
            <w:shd w:fill="1F3864" w:val="clear"/>
            <w:vAlign w:val="center"/>
          </w:tcPr>
          <w:p>
            <w:r>
              <w:rPr>
                <w:b/>
                <w:bCs/>
                <w:sz w:val="20"/>
                <w:szCs w:val="20"/>
              </w:rPr>
              <w:t xml:space="preserve">Classification</w:t>
            </w:r>
          </w:p>
        </w:tc>
      </w:tr>
      <w:tr>
        <w:tc>
          <w:tcPr>
            <w:tcW w:type="dxa" w:w="2050"/>
            <w:shd w:fill="F2F2F2" w:val="clear"/>
            <w:vAlign w:val="center"/>
          </w:tcPr>
          <w:p>
            <w:r>
              <w:rPr>
                <w:sz w:val="20"/>
                <w:szCs w:val="20"/>
              </w:rPr>
              <w:t xml:space="preserve">Ownership assignment (WP-0006)</w:t>
            </w:r>
          </w:p>
        </w:tc>
        <w:tc>
          <w:tcPr>
            <w:tcW w:type="dxa" w:w="1700"/>
            <w:shd w:fill="F2F2F2" w:val="clear"/>
            <w:vAlign w:val="center"/>
          </w:tcPr>
          <w:p>
            <w:r>
              <w:rPr>
                <w:sz w:val="20"/>
                <w:szCs w:val="20"/>
              </w:rPr>
              <w:t xml:space="preserve">Section 10.2–10.9 (KPI-08)</w:t>
            </w:r>
          </w:p>
        </w:tc>
        <w:tc>
          <w:tcPr>
            <w:tcW w:type="dxa" w:w="1550"/>
            <w:shd w:fill="F2F2F2" w:val="clear"/>
            <w:vAlign w:val="center"/>
          </w:tcPr>
          <w:p>
            <w:r>
              <w:rPr>
                <w:sz w:val="20"/>
                <w:szCs w:val="20"/>
              </w:rPr>
              <w:t xml:space="preserve">0% assigned</w:t>
            </w:r>
          </w:p>
        </w:tc>
        <w:tc>
          <w:tcPr>
            <w:tcW w:type="dxa" w:w="1950"/>
            <w:shd w:fill="F2F2F2" w:val="clear"/>
            <w:vAlign w:val="center"/>
          </w:tcPr>
          <w:p>
            <w:r>
              <w:rPr>
                <w:sz w:val="20"/>
                <w:szCs w:val="20"/>
              </w:rPr>
              <w:t xml:space="preserve">Blocks accountable execution of every other WP</w:t>
            </w:r>
          </w:p>
        </w:tc>
        <w:tc>
          <w:tcPr>
            <w:tcW w:type="dxa" w:w="1900"/>
            <w:shd w:fill="F2F2F2" w:val="clear"/>
            <w:vAlign w:val="center"/>
          </w:tcPr>
          <w:p>
            <w:r>
              <w:rPr>
                <w:sz w:val="20"/>
                <w:szCs w:val="20"/>
              </w:rPr>
              <w:t xml:space="preserve">Assign named owner per Phase B §9 role definitions</w:t>
            </w:r>
          </w:p>
        </w:tc>
        <w:tc>
          <w:tcPr>
            <w:tcW w:type="dxa" w:w="1200"/>
            <w:shd w:fill="F2F2F2" w:val="clear"/>
            <w:vAlign w:val="center"/>
          </w:tcPr>
          <w:p>
            <w:r>
              <w:rPr>
                <w:sz w:val="20"/>
                <w:szCs w:val="20"/>
              </w:rPr>
              <w:t xml:space="preserve">Observed Evidence</w:t>
            </w:r>
          </w:p>
        </w:tc>
      </w:tr>
      <w:tr>
        <w:tc>
          <w:tcPr>
            <w:tcW w:type="dxa" w:w="2050"/>
            <w:shd w:fill="FFFFFF" w:val="clear"/>
            <w:vAlign w:val="center"/>
          </w:tcPr>
          <w:p>
            <w:r>
              <w:rPr>
                <w:sz w:val="20"/>
                <w:szCs w:val="20"/>
              </w:rPr>
              <w:t xml:space="preserve">RLS verification (WP-0002)</w:t>
            </w:r>
          </w:p>
        </w:tc>
        <w:tc>
          <w:tcPr>
            <w:tcW w:type="dxa" w:w="1700"/>
            <w:shd w:fill="FFFFFF" w:val="clear"/>
            <w:vAlign w:val="center"/>
          </w:tcPr>
          <w:p>
            <w:r>
              <w:rPr>
                <w:sz w:val="20"/>
                <w:szCs w:val="20"/>
              </w:rPr>
              <w:t xml:space="preserve">Section 8; Section 10.9</w:t>
            </w:r>
          </w:p>
        </w:tc>
        <w:tc>
          <w:tcPr>
            <w:tcW w:type="dxa" w:w="1550"/>
            <w:shd w:fill="FFFFFF" w:val="clear"/>
            <w:vAlign w:val="center"/>
          </w:tcPr>
          <w:p>
            <w:r>
              <w:rPr>
                <w:sz w:val="20"/>
                <w:szCs w:val="20"/>
              </w:rPr>
              <w:t xml:space="preserve">Confirmed on 2 of 4 table groups</w:t>
            </w:r>
          </w:p>
        </w:tc>
        <w:tc>
          <w:tcPr>
            <w:tcW w:type="dxa" w:w="1950"/>
            <w:shd w:fill="FFFFFF" w:val="clear"/>
            <w:vAlign w:val="center"/>
          </w:tcPr>
          <w:p>
            <w:r>
              <w:rPr>
                <w:sz w:val="20"/>
                <w:szCs w:val="20"/>
              </w:rPr>
              <w:t xml:space="preserve">Sole open security unknown</w:t>
            </w:r>
          </w:p>
        </w:tc>
        <w:tc>
          <w:tcPr>
            <w:tcW w:type="dxa" w:w="1900"/>
            <w:shd w:fill="FFFFFF" w:val="clear"/>
            <w:vAlign w:val="center"/>
          </w:tcPr>
          <w:p>
            <w:r>
              <w:rPr>
                <w:sz w:val="20"/>
                <w:szCs w:val="20"/>
              </w:rPr>
              <w:t xml:space="preserve">Authorize WP-0002 execution (Wave 1)</w:t>
            </w:r>
          </w:p>
        </w:tc>
        <w:tc>
          <w:tcPr>
            <w:tcW w:type="dxa" w:w="1200"/>
            <w:shd w:fill="FFFFFF" w:val="clear"/>
            <w:vAlign w:val="center"/>
          </w:tcPr>
          <w:p>
            <w:r>
              <w:rPr>
                <w:sz w:val="20"/>
                <w:szCs w:val="20"/>
              </w:rPr>
              <w:t xml:space="preserve">Observed Evidence</w:t>
            </w:r>
          </w:p>
        </w:tc>
      </w:tr>
      <w:tr>
        <w:tc>
          <w:tcPr>
            <w:tcW w:type="dxa" w:w="2050"/>
            <w:shd w:fill="F2F2F2" w:val="clear"/>
            <w:vAlign w:val="center"/>
          </w:tcPr>
          <w:p>
            <w:r>
              <w:rPr>
                <w:sz w:val="20"/>
                <w:szCs w:val="20"/>
              </w:rPr>
              <w:t xml:space="preserve">Documentation revision (WP-0001)</w:t>
            </w:r>
          </w:p>
        </w:tc>
        <w:tc>
          <w:tcPr>
            <w:tcW w:type="dxa" w:w="1700"/>
            <w:shd w:fill="F2F2F2" w:val="clear"/>
            <w:vAlign w:val="center"/>
          </w:tcPr>
          <w:p>
            <w:r>
              <w:rPr>
                <w:sz w:val="20"/>
                <w:szCs w:val="20"/>
              </w:rPr>
              <w:t xml:space="preserve">Section 8; Section 10.9</w:t>
            </w:r>
          </w:p>
        </w:tc>
        <w:tc>
          <w:tcPr>
            <w:tcW w:type="dxa" w:w="1550"/>
            <w:shd w:fill="F2F2F2" w:val="clear"/>
            <w:vAlign w:val="center"/>
          </w:tcPr>
          <w:p>
            <w:r>
              <w:rPr>
                <w:sz w:val="20"/>
                <w:szCs w:val="20"/>
              </w:rPr>
              <w:t xml:space="preserve">Confirmed high risk, not yet published</w:t>
            </w:r>
          </w:p>
        </w:tc>
        <w:tc>
          <w:tcPr>
            <w:tcW w:type="dxa" w:w="1950"/>
            <w:shd w:fill="F2F2F2" w:val="clear"/>
            <w:vAlign w:val="center"/>
          </w:tcPr>
          <w:p>
            <w:r>
              <w:rPr>
                <w:sz w:val="20"/>
                <w:szCs w:val="20"/>
              </w:rPr>
              <w:t xml:space="preserve">Top-rated confirmed risk in baseline</w:t>
            </w:r>
          </w:p>
        </w:tc>
        <w:tc>
          <w:tcPr>
            <w:tcW w:type="dxa" w:w="1900"/>
            <w:shd w:fill="F2F2F2" w:val="clear"/>
            <w:vAlign w:val="center"/>
          </w:tcPr>
          <w:p>
            <w:r>
              <w:rPr>
                <w:sz w:val="20"/>
                <w:szCs w:val="20"/>
              </w:rPr>
              <w:t xml:space="preserve">Authorize WP-0001 execution (Wave 2)</w:t>
            </w:r>
          </w:p>
        </w:tc>
        <w:tc>
          <w:tcPr>
            <w:tcW w:type="dxa" w:w="1200"/>
            <w:shd w:fill="F2F2F2" w:val="clear"/>
            <w:vAlign w:val="center"/>
          </w:tcPr>
          <w:p>
            <w:r>
              <w:rPr>
                <w:sz w:val="20"/>
                <w:szCs w:val="20"/>
              </w:rPr>
              <w:t xml:space="preserve">Observed Evidence</w:t>
            </w:r>
          </w:p>
        </w:tc>
      </w:tr>
      <w:tr>
        <w:tc>
          <w:tcPr>
            <w:tcW w:type="dxa" w:w="2050"/>
            <w:shd w:fill="FFFFFF" w:val="clear"/>
            <w:vAlign w:val="center"/>
          </w:tcPr>
          <w:p>
            <w:r>
              <w:rPr>
                <w:sz w:val="20"/>
                <w:szCs w:val="20"/>
              </w:rPr>
              <w:t xml:space="preserve">Wave 2 sequencing (WP-0001/0004/0005)</w:t>
            </w:r>
          </w:p>
        </w:tc>
        <w:tc>
          <w:tcPr>
            <w:tcW w:type="dxa" w:w="1700"/>
            <w:shd w:fill="FFFFFF" w:val="clear"/>
            <w:vAlign w:val="center"/>
          </w:tcPr>
          <w:p>
            <w:r>
              <w:rPr>
                <w:sz w:val="20"/>
                <w:szCs w:val="20"/>
              </w:rPr>
              <w:t xml:space="preserve">Section 10.5</w:t>
            </w:r>
          </w:p>
        </w:tc>
        <w:tc>
          <w:tcPr>
            <w:tcW w:type="dxa" w:w="1550"/>
            <w:shd w:fill="FFFFFF" w:val="clear"/>
            <w:vAlign w:val="center"/>
          </w:tcPr>
          <w:p>
            <w:r>
              <w:rPr>
                <w:sz w:val="20"/>
                <w:szCs w:val="20"/>
              </w:rPr>
              <w:t xml:space="preserve">Ready, sequenced</w:t>
            </w:r>
          </w:p>
        </w:tc>
        <w:tc>
          <w:tcPr>
            <w:tcW w:type="dxa" w:w="1950"/>
            <w:shd w:fill="FFFFFF" w:val="clear"/>
            <w:vAlign w:val="center"/>
          </w:tcPr>
          <w:p>
            <w:r>
              <w:rPr>
                <w:sz w:val="20"/>
                <w:szCs w:val="20"/>
              </w:rPr>
              <w:t xml:space="preserve">No blocker; awaits Wave 1 completion</w:t>
            </w:r>
          </w:p>
        </w:tc>
        <w:tc>
          <w:tcPr>
            <w:tcW w:type="dxa" w:w="1900"/>
            <w:shd w:fill="FFFFFF" w:val="clear"/>
            <w:vAlign w:val="center"/>
          </w:tcPr>
          <w:p>
            <w:r>
              <w:rPr>
                <w:sz w:val="20"/>
                <w:szCs w:val="20"/>
              </w:rPr>
              <w:t xml:space="preserve">No action required until Wave 1 closes</w:t>
            </w:r>
          </w:p>
        </w:tc>
        <w:tc>
          <w:tcPr>
            <w:tcW w:type="dxa" w:w="1200"/>
            <w:shd w:fill="FFFFFF" w:val="clear"/>
            <w:vAlign w:val="center"/>
          </w:tcPr>
          <w:p>
            <w:r>
              <w:rPr>
                <w:sz w:val="20"/>
                <w:szCs w:val="20"/>
              </w:rPr>
              <w:t xml:space="preserve">Observed Evidence</w:t>
            </w:r>
          </w:p>
        </w:tc>
      </w:tr>
      <w:tr>
        <w:tc>
          <w:tcPr>
            <w:tcW w:type="dxa" w:w="2050"/>
            <w:shd w:fill="F2F2F2" w:val="clear"/>
            <w:vAlign w:val="center"/>
          </w:tcPr>
          <w:p>
            <w:r>
              <w:rPr>
                <w:sz w:val="20"/>
                <w:szCs w:val="20"/>
              </w:rPr>
              <w:t xml:space="preserve">Wave 3 trigger (WP-0003)</w:t>
            </w:r>
          </w:p>
        </w:tc>
        <w:tc>
          <w:tcPr>
            <w:tcW w:type="dxa" w:w="1700"/>
            <w:shd w:fill="F2F2F2" w:val="clear"/>
            <w:vAlign w:val="center"/>
          </w:tcPr>
          <w:p>
            <w:r>
              <w:rPr>
                <w:sz w:val="20"/>
                <w:szCs w:val="20"/>
              </w:rPr>
              <w:t xml:space="preserve">Section 10.5; EGD-0004</w:t>
            </w:r>
          </w:p>
        </w:tc>
        <w:tc>
          <w:tcPr>
            <w:tcW w:type="dxa" w:w="1550"/>
            <w:shd w:fill="F2F2F2" w:val="clear"/>
            <w:vAlign w:val="center"/>
          </w:tcPr>
          <w:p>
            <w:r>
              <w:rPr>
                <w:sz w:val="20"/>
                <w:szCs w:val="20"/>
              </w:rPr>
              <w:t xml:space="preserve">Not Ready — trigger not fired</w:t>
            </w:r>
          </w:p>
        </w:tc>
        <w:tc>
          <w:tcPr>
            <w:tcW w:type="dxa" w:w="1950"/>
            <w:shd w:fill="F2F2F2" w:val="clear"/>
            <w:vAlign w:val="center"/>
          </w:tcPr>
          <w:p>
            <w:r>
              <w:rPr>
                <w:sz w:val="20"/>
                <w:szCs w:val="20"/>
              </w:rPr>
              <w:t xml:space="preserve">Row-count/growth data not yet gathered</w:t>
            </w:r>
          </w:p>
        </w:tc>
        <w:tc>
          <w:tcPr>
            <w:tcW w:type="dxa" w:w="1900"/>
            <w:shd w:fill="F2F2F2" w:val="clear"/>
            <w:vAlign w:val="center"/>
          </w:tcPr>
          <w:p>
            <w:r>
              <w:rPr>
                <w:sz w:val="20"/>
                <w:szCs w:val="20"/>
              </w:rPr>
              <w:t xml:space="preserve">Continue quarterly monitoring; no action due</w:t>
            </w:r>
          </w:p>
        </w:tc>
        <w:tc>
          <w:tcPr>
            <w:tcW w:type="dxa" w:w="1200"/>
            <w:shd w:fill="F2F2F2" w:val="clear"/>
            <w:vAlign w:val="center"/>
          </w:tcPr>
          <w:p>
            <w:r>
              <w:rPr>
                <w:sz w:val="20"/>
                <w:szCs w:val="20"/>
              </w:rPr>
              <w:t xml:space="preserve">Observed Evidence</w:t>
            </w:r>
          </w:p>
        </w:tc>
      </w:tr>
      <w:tr>
        <w:tc>
          <w:tcPr>
            <w:tcW w:type="dxa" w:w="2050"/>
            <w:shd w:fill="FFFFFF" w:val="clear"/>
            <w:vAlign w:val="center"/>
          </w:tcPr>
          <w:p>
            <w:r>
              <w:rPr>
                <w:sz w:val="20"/>
                <w:szCs w:val="20"/>
              </w:rPr>
              <w:t xml:space="preserve">Certification advancement (L4/L5)</w:t>
            </w:r>
          </w:p>
        </w:tc>
        <w:tc>
          <w:tcPr>
            <w:tcW w:type="dxa" w:w="1700"/>
            <w:shd w:fill="FFFFFF" w:val="clear"/>
            <w:vAlign w:val="center"/>
          </w:tcPr>
          <w:p>
            <w:r>
              <w:rPr>
                <w:sz w:val="20"/>
                <w:szCs w:val="20"/>
              </w:rPr>
              <w:t xml:space="preserve">Section 10.7; Phase A.3 §11</w:t>
            </w:r>
          </w:p>
        </w:tc>
        <w:tc>
          <w:tcPr>
            <w:tcW w:type="dxa" w:w="1550"/>
            <w:shd w:fill="FFFFFF" w:val="clear"/>
            <w:vAlign w:val="center"/>
          </w:tcPr>
          <w:p>
            <w:r>
              <w:rPr>
                <w:sz w:val="20"/>
                <w:szCs w:val="20"/>
              </w:rPr>
              <w:t xml:space="preserve">L4/L5 NOT MET</w:t>
            </w:r>
          </w:p>
        </w:tc>
        <w:tc>
          <w:tcPr>
            <w:tcW w:type="dxa" w:w="1950"/>
            <w:shd w:fill="FFFFFF" w:val="clear"/>
            <w:vAlign w:val="center"/>
          </w:tcPr>
          <w:p>
            <w:r>
              <w:rPr>
                <w:sz w:val="20"/>
                <w:szCs w:val="20"/>
              </w:rPr>
              <w:t xml:space="preserve">Certification blocked on WP-0001/WP-0002 completion</w:t>
            </w:r>
          </w:p>
        </w:tc>
        <w:tc>
          <w:tcPr>
            <w:tcW w:type="dxa" w:w="1900"/>
            <w:shd w:fill="FFFFFF" w:val="clear"/>
            <w:vAlign w:val="center"/>
          </w:tcPr>
          <w:p>
            <w:r>
              <w:rPr>
                <w:sz w:val="20"/>
                <w:szCs w:val="20"/>
              </w:rPr>
              <w:t xml:space="preserve">No action beyond authorizing WP-0001/WP-0002</w:t>
            </w:r>
          </w:p>
        </w:tc>
        <w:tc>
          <w:tcPr>
            <w:tcW w:type="dxa" w:w="1200"/>
            <w:shd w:fill="FFFFFF" w:val="clear"/>
            <w:vAlign w:val="center"/>
          </w:tcPr>
          <w:p>
            <w:r>
              <w:rPr>
                <w:sz w:val="20"/>
                <w:szCs w:val="20"/>
              </w:rPr>
              <w:t xml:space="preserve">Observed Evidence</w:t>
            </w:r>
          </w:p>
        </w:tc>
      </w:tr>
      <w:tr>
        <w:tc>
          <w:tcPr>
            <w:tcW w:type="dxa" w:w="2050"/>
            <w:shd w:fill="F2F2F2" w:val="clear"/>
            <w:vAlign w:val="center"/>
          </w:tcPr>
          <w:p>
            <w:r>
              <w:rPr>
                <w:sz w:val="20"/>
                <w:szCs w:val="20"/>
              </w:rPr>
              <w:t xml:space="preserve">Portfolios 3–7 scope</w:t>
            </w:r>
          </w:p>
        </w:tc>
        <w:tc>
          <w:tcPr>
            <w:tcW w:type="dxa" w:w="1700"/>
            <w:shd w:fill="F2F2F2" w:val="clear"/>
            <w:vAlign w:val="center"/>
          </w:tcPr>
          <w:p>
            <w:r>
              <w:rPr>
                <w:sz w:val="20"/>
                <w:szCs w:val="20"/>
              </w:rPr>
              <w:t xml:space="preserve">Section 10.4</w:t>
            </w:r>
          </w:p>
        </w:tc>
        <w:tc>
          <w:tcPr>
            <w:tcW w:type="dxa" w:w="1550"/>
            <w:shd w:fill="F2F2F2" w:val="clear"/>
            <w:vAlign w:val="center"/>
          </w:tcPr>
          <w:p>
            <w:r>
              <w:rPr>
                <w:sz w:val="20"/>
                <w:szCs w:val="20"/>
              </w:rPr>
              <w:t xml:space="preserve">Not Ready — no AR/EGD evidence</w:t>
            </w:r>
          </w:p>
        </w:tc>
        <w:tc>
          <w:tcPr>
            <w:tcW w:type="dxa" w:w="1950"/>
            <w:shd w:fill="F2F2F2" w:val="clear"/>
            <w:vAlign w:val="center"/>
          </w:tcPr>
          <w:p>
            <w:r>
              <w:rPr>
                <w:sz w:val="20"/>
                <w:szCs w:val="20"/>
              </w:rPr>
              <w:t xml:space="preserve">No governed engineering scope exists</w:t>
            </w:r>
          </w:p>
        </w:tc>
        <w:tc>
          <w:tcPr>
            <w:tcW w:type="dxa" w:w="1900"/>
            <w:shd w:fill="F2F2F2" w:val="clear"/>
            <w:vAlign w:val="center"/>
          </w:tcPr>
          <w:p>
            <w:r>
              <w:rPr>
                <w:sz w:val="20"/>
                <w:szCs w:val="20"/>
              </w:rPr>
              <w:t xml:space="preserve">Do not schedule; requires future realization phase</w:t>
            </w:r>
          </w:p>
        </w:tc>
        <w:tc>
          <w:tcPr>
            <w:tcW w:type="dxa" w:w="1200"/>
            <w:shd w:fill="F2F2F2" w:val="clear"/>
            <w:vAlign w:val="center"/>
          </w:tcPr>
          <w:p>
            <w:r>
              <w:rPr>
                <w:sz w:val="20"/>
                <w:szCs w:val="20"/>
              </w:rPr>
              <w:t xml:space="preserve">Reserved for Future Realization Phases</w:t>
            </w:r>
          </w:p>
        </w:tc>
      </w:tr>
    </w:tbl>
    <w:p>
      <w:pPr>
        <w:spacing w:after="160"/>
        <w:jc w:val="both"/>
      </w:pPr>
      <w:r>
        <w:rPr>
          <w:i w:val="false"/>
          <w:iCs w:val="false"/>
          <w:sz w:val="22"/>
          <w:szCs w:val="22"/>
        </w:rPr>
        <w:t xml:space="preserve">No decision item in this matrix introduces a new governance action, KPI, or Work Package. Each row reflects an executive priority already identified in Sections 10.3–10.9.</w:t>
      </w:r>
    </w:p>
    <w:p>
      <w:pPr>
        <w:spacing w:after="160"/>
        <w:jc w:val="both"/>
      </w:pPr>
      <w:r>
        <w:rPr>
          <w:i/>
          <w:iCs/>
          <w:sz w:val="20"/>
          <w:szCs w:val="20"/>
        </w:rPr>
        <w:t xml:space="preserve">Evidence Classification: Observed Evidence / Reserved for Future Realization Phases as marked.</w:t>
      </w:r>
    </w:p>
    <w:p>
      <w:pPr>
        <w:pStyle w:val="Heading1"/>
        <w:spacing w:after="140" w:before="280"/>
      </w:pPr>
      <w:r>
        <w:t xml:space="preserve">10.10.7 — Executive Portfolio Health Summary</w:t>
      </w:r>
    </w:p>
    <w:p>
      <w:pPr>
        <w:spacing w:after="160"/>
        <w:jc w:val="both"/>
      </w:pPr>
      <w:r>
        <w:rPr>
          <w:sz w:val="22"/>
          <w:szCs w:val="22"/>
        </w:rPr>
        <w:t xml:space="preserve">Portfolio health, using only the evidence already reported in Section 10.4, is best characterized as structurally sound but organizationally stalled. Of the eight target-state portfolios defined in the ERP-01 governance model, three (Portfolios 1, 2, and 8) currently carry approved engineering scope; the remaining five are correctly reserved pending future realization assessment and carry no risk exposure because they carry no approved scope.</w:t>
      </w:r>
    </w:p>
    <w:p>
      <w:pPr>
        <w:spacing w:after="160"/>
        <w:jc w:val="both"/>
      </w:pPr>
      <w:r>
        <w:rPr>
          <w:sz w:val="22"/>
          <w:szCs w:val="22"/>
        </w:rPr>
        <w:t xml:space="preserve">Within the three active portfolios, engineering design, architecture conformance, verification planning, and risk disposition are each complete. No portfolio carries an unmitigated or unmonitored risk. The program's single blocking bottleneck, consistent across every dashboard in the series, is organizational rather than technical: no Work Package has begun execution because no Work Package yet has a named, accountable owner.</w:t>
      </w:r>
    </w:p>
    <w:p>
      <w:pPr>
        <w:spacing w:after="160"/>
        <w:jc w:val="both"/>
      </w:pPr>
      <w:r>
        <w:rPr>
          <w:sz w:val="22"/>
          <w:szCs w:val="22"/>
        </w:rPr>
        <w:t xml:space="preserve">This is a favorable health signal for an internal engineering program at this stage: it indicates that the engineering and governance foundation (Phase A.1 through Phase C Section 9) is complete and internally consistent, and that the remaining path to execution is a single administrative action (WP-0006) rather than a body of unresolved technical or architectural work.</w:t>
      </w:r>
    </w:p>
    <w:p>
      <w:pPr>
        <w:spacing w:after="160"/>
        <w:jc w:val="both"/>
      </w:pPr>
      <w:r>
        <w:rPr>
          <w:i/>
          <w:iCs/>
          <w:sz w:val="20"/>
          <w:szCs w:val="20"/>
        </w:rPr>
        <w:t xml:space="preserve">Evidence Classification: Derived Executive Assessment (narrative synthesis of Section 10.4 findings; no new metric calculated).</w:t>
      </w:r>
    </w:p>
    <w:p>
      <w:pPr>
        <w:pStyle w:val="Heading1"/>
        <w:spacing w:after="140" w:before="280"/>
      </w:pPr>
      <w:r>
        <w:t xml:space="preserve">10.10.8 — Executive Governance Observations</w:t>
      </w:r>
    </w:p>
    <w:p>
      <w:pPr>
        <w:pStyle w:val="ListParagraph"/>
        <w:numPr>
          <w:ilvl w:val="0"/>
          <w:numId w:val="1"/>
        </w:numPr>
        <w:spacing w:after="80"/>
      </w:pPr>
      <w:r>
        <w:rPr>
          <w:sz w:val="22"/>
          <w:szCs w:val="22"/>
        </w:rPr>
        <w:t xml:space="preserve">Governance completeness: Every Architecture Requirement, Enterprise Governance Decision, and Enterprise Resolution carries an explicit disposition; no undispositioned gap exists anywhere in the evidenced baseline (Section 10.2, 10.7).</w:t>
      </w:r>
    </w:p>
    <w:p>
      <w:pPr>
        <w:pStyle w:val="ListParagraph"/>
        <w:numPr>
          <w:ilvl w:val="0"/>
          <w:numId w:val="1"/>
        </w:numPr>
        <w:spacing w:after="80"/>
      </w:pPr>
      <w:r>
        <w:rPr>
          <w:sz w:val="22"/>
          <w:szCs w:val="22"/>
        </w:rPr>
        <w:t xml:space="preserve">Engineering consistency: Design and implementation blueprints for all six Work Packages are internally consistent with the dependency evidence recorded in Phase B §4 and §7; no Work Package is assigned to more than one wave, and no wave contains a Work Package whose preconditions are unmet (Section 10.5).</w:t>
      </w:r>
    </w:p>
    <w:p>
      <w:pPr>
        <w:pStyle w:val="ListParagraph"/>
        <w:numPr>
          <w:ilvl w:val="0"/>
          <w:numId w:val="1"/>
        </w:numPr>
        <w:spacing w:after="80"/>
      </w:pPr>
      <w:r>
        <w:rPr>
          <w:sz w:val="22"/>
          <w:szCs w:val="22"/>
        </w:rPr>
        <w:t xml:space="preserve">Repository completeness: Three of an eventual, currently-unscoped set of repository categories (Documentation, Database, Test) carry approved evidence; the remainder are honestly reported as Not Evidenced or Reserved rather than assumed complete (Section 10.6).</w:t>
      </w:r>
    </w:p>
    <w:p>
      <w:pPr>
        <w:pStyle w:val="ListParagraph"/>
        <w:numPr>
          <w:ilvl w:val="0"/>
          <w:numId w:val="1"/>
        </w:numPr>
        <w:spacing w:after="80"/>
      </w:pPr>
      <w:r>
        <w:rPr>
          <w:sz w:val="22"/>
          <w:szCs w:val="22"/>
        </w:rPr>
        <w:t xml:space="preserve">Implementation confidence: Two Work Packages (WP-0002, WP-0006) are rated immediately executable with zero blocking dependency; the critical path from WP-0006 through Production Ready is entirely unblocked (Section 10.5).</w:t>
      </w:r>
    </w:p>
    <w:p>
      <w:pPr>
        <w:pStyle w:val="ListParagraph"/>
        <w:numPr>
          <w:ilvl w:val="0"/>
          <w:numId w:val="1"/>
        </w:numPr>
        <w:spacing w:after="80"/>
      </w:pPr>
      <w:r>
        <w:rPr>
          <w:sz w:val="22"/>
          <w:szCs w:val="22"/>
        </w:rPr>
        <w:t xml:space="preserve">Realization discipline: No dashboard in the Section 10.2–10.9 series introduced a new KPI, certification level, or scoring method; every figure traces to Phase A.3 or Phase B baselines, consistent with Enterprise Architecture Principles AP-002 and AP-005.</w:t>
      </w:r>
    </w:p>
    <w:p>
      <w:pPr>
        <w:spacing w:after="160"/>
        <w:jc w:val="both"/>
      </w:pPr>
      <w:r>
        <w:rPr>
          <w:i/>
          <w:iCs/>
          <w:sz w:val="20"/>
          <w:szCs w:val="20"/>
        </w:rPr>
        <w:t xml:space="preserve">Evidence Classification: Derived Executive Assessment.</w:t>
      </w:r>
    </w:p>
    <w:p>
      <w:pPr>
        <w:pStyle w:val="Heading1"/>
        <w:spacing w:after="140" w:before="280"/>
      </w:pPr>
      <w:r>
        <w:t xml:space="preserve">10.10.9 — Executive Completion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1F3864" w:val="clear"/>
            <w:vAlign w:val="center"/>
          </w:tcPr>
          <w:p>
            <w:r>
              <w:rPr>
                <w:b/>
                <w:bCs/>
                <w:sz w:val="20"/>
                <w:szCs w:val="20"/>
              </w:rPr>
              <w:t xml:space="preserve">Realization Area</w:t>
            </w:r>
          </w:p>
        </w:tc>
        <w:tc>
          <w:tcPr>
            <w:tcW w:type="dxa" w:w="6450"/>
            <w:shd w:fill="1F3864" w:val="clear"/>
            <w:vAlign w:val="center"/>
          </w:tcPr>
          <w:p>
            <w:r>
              <w:rPr>
                <w:b/>
                <w:bCs/>
                <w:sz w:val="20"/>
                <w:szCs w:val="20"/>
              </w:rPr>
              <w:t xml:space="preserve">Completion Assessment</w:t>
            </w:r>
          </w:p>
        </w:tc>
      </w:tr>
      <w:tr>
        <w:tc>
          <w:tcPr>
            <w:tcW w:type="dxa" w:w="2900"/>
            <w:shd w:fill="F2F2F2" w:val="clear"/>
            <w:vAlign w:val="center"/>
          </w:tcPr>
          <w:p>
            <w:r>
              <w:rPr>
                <w:sz w:val="20"/>
                <w:szCs w:val="20"/>
              </w:rPr>
              <w:t xml:space="preserve">Architecture realization</w:t>
            </w:r>
          </w:p>
        </w:tc>
        <w:tc>
          <w:tcPr>
            <w:tcW w:type="dxa" w:w="6450"/>
            <w:shd w:fill="F2F2F2" w:val="clear"/>
            <w:vAlign w:val="center"/>
          </w:tcPr>
          <w:p>
            <w:r>
              <w:rPr>
                <w:sz w:val="20"/>
                <w:szCs w:val="20"/>
              </w:rPr>
              <w:t xml:space="preserve">Complete through L3 (Implementation Traceable); L4/L5 pending execution and re-assessment</w:t>
            </w:r>
          </w:p>
        </w:tc>
      </w:tr>
      <w:tr>
        <w:tc>
          <w:tcPr>
            <w:tcW w:type="dxa" w:w="2900"/>
            <w:shd w:fill="FFFFFF" w:val="clear"/>
            <w:vAlign w:val="center"/>
          </w:tcPr>
          <w:p>
            <w:r>
              <w:rPr>
                <w:sz w:val="20"/>
                <w:szCs w:val="20"/>
              </w:rPr>
              <w:t xml:space="preserve">Engineering realization</w:t>
            </w:r>
          </w:p>
        </w:tc>
        <w:tc>
          <w:tcPr>
            <w:tcW w:type="dxa" w:w="6450"/>
            <w:shd w:fill="FFFFFF" w:val="clear"/>
            <w:vAlign w:val="center"/>
          </w:tcPr>
          <w:p>
            <w:r>
              <w:rPr>
                <w:sz w:val="20"/>
                <w:szCs w:val="20"/>
              </w:rPr>
              <w:t xml:space="preserve">Design complete for 6 of 6 Work Packages; 0 of 6 executed</w:t>
            </w:r>
          </w:p>
        </w:tc>
      </w:tr>
      <w:tr>
        <w:tc>
          <w:tcPr>
            <w:tcW w:type="dxa" w:w="2900"/>
            <w:shd w:fill="F2F2F2" w:val="clear"/>
            <w:vAlign w:val="center"/>
          </w:tcPr>
          <w:p>
            <w:r>
              <w:rPr>
                <w:sz w:val="20"/>
                <w:szCs w:val="20"/>
              </w:rPr>
              <w:t xml:space="preserve">Governance readiness</w:t>
            </w:r>
          </w:p>
        </w:tc>
        <w:tc>
          <w:tcPr>
            <w:tcW w:type="dxa" w:w="6450"/>
            <w:shd w:fill="F2F2F2" w:val="clear"/>
            <w:vAlign w:val="center"/>
          </w:tcPr>
          <w:p>
            <w:r>
              <w:rPr>
                <w:sz w:val="20"/>
                <w:szCs w:val="20"/>
              </w:rPr>
              <w:t xml:space="preserve">Complete; zero undispositioned decisions</w:t>
            </w:r>
          </w:p>
        </w:tc>
      </w:tr>
      <w:tr>
        <w:tc>
          <w:tcPr>
            <w:tcW w:type="dxa" w:w="2900"/>
            <w:shd w:fill="FFFFFF" w:val="clear"/>
            <w:vAlign w:val="center"/>
          </w:tcPr>
          <w:p>
            <w:r>
              <w:rPr>
                <w:sz w:val="20"/>
                <w:szCs w:val="20"/>
              </w:rPr>
              <w:t xml:space="preserve">Portfolio readiness</w:t>
            </w:r>
          </w:p>
        </w:tc>
        <w:tc>
          <w:tcPr>
            <w:tcW w:type="dxa" w:w="6450"/>
            <w:shd w:fill="FFFFFF" w:val="clear"/>
            <w:vAlign w:val="center"/>
          </w:tcPr>
          <w:p>
            <w:r>
              <w:rPr>
                <w:sz w:val="20"/>
                <w:szCs w:val="20"/>
              </w:rPr>
              <w:t xml:space="preserve">3 of 8 target-state portfolios active and ready; 5 correctly Reserved for Future Realization Phases</w:t>
            </w:r>
          </w:p>
        </w:tc>
      </w:tr>
      <w:tr>
        <w:tc>
          <w:tcPr>
            <w:tcW w:type="dxa" w:w="2900"/>
            <w:shd w:fill="F2F2F2" w:val="clear"/>
            <w:vAlign w:val="center"/>
          </w:tcPr>
          <w:p>
            <w:r>
              <w:rPr>
                <w:sz w:val="20"/>
                <w:szCs w:val="20"/>
              </w:rPr>
              <w:t xml:space="preserve">Verification readiness</w:t>
            </w:r>
          </w:p>
        </w:tc>
        <w:tc>
          <w:tcPr>
            <w:tcW w:type="dxa" w:w="6450"/>
            <w:shd w:fill="F2F2F2" w:val="clear"/>
            <w:vAlign w:val="center"/>
          </w:tcPr>
          <w:p>
            <w:r>
              <w:rPr>
                <w:sz w:val="20"/>
                <w:szCs w:val="20"/>
              </w:rPr>
              <w:t xml:space="preserve">Fully designed; 0 of 6 Work Packages have produced verification evidence</w:t>
            </w:r>
          </w:p>
        </w:tc>
      </w:tr>
      <w:tr>
        <w:tc>
          <w:tcPr>
            <w:tcW w:type="dxa" w:w="2900"/>
            <w:shd w:fill="FFFFFF" w:val="clear"/>
            <w:vAlign w:val="center"/>
          </w:tcPr>
          <w:p>
            <w:r>
              <w:rPr>
                <w:sz w:val="20"/>
                <w:szCs w:val="20"/>
              </w:rPr>
              <w:t xml:space="preserve">Acceptance readiness</w:t>
            </w:r>
          </w:p>
        </w:tc>
        <w:tc>
          <w:tcPr>
            <w:tcW w:type="dxa" w:w="6450"/>
            <w:shd w:fill="FFFFFF" w:val="clear"/>
            <w:vAlign w:val="center"/>
          </w:tcPr>
          <w:p>
            <w:r>
              <w:rPr>
                <w:sz w:val="20"/>
                <w:szCs w:val="20"/>
              </w:rPr>
              <w:t xml:space="preserve">READY WITH CONDITIONS; 0 of 6 Work Packages formally accepted</w:t>
            </w:r>
          </w:p>
        </w:tc>
      </w:tr>
      <w:tr>
        <w:tc>
          <w:tcPr>
            <w:tcW w:type="dxa" w:w="2900"/>
            <w:shd w:fill="F2F2F2" w:val="clear"/>
            <w:vAlign w:val="center"/>
          </w:tcPr>
          <w:p>
            <w:r>
              <w:rPr>
                <w:sz w:val="20"/>
                <w:szCs w:val="20"/>
              </w:rPr>
              <w:t xml:space="preserve">Certification readiness</w:t>
            </w:r>
          </w:p>
        </w:tc>
        <w:tc>
          <w:tcPr>
            <w:tcW w:type="dxa" w:w="6450"/>
            <w:shd w:fill="F2F2F2" w:val="clear"/>
            <w:vAlign w:val="center"/>
          </w:tcPr>
          <w:p>
            <w:r>
              <w:rPr>
                <w:sz w:val="20"/>
                <w:szCs w:val="20"/>
              </w:rPr>
              <w:t xml:space="preserve">L1–L3 MET; L4–L5 NOT MET</w:t>
            </w:r>
          </w:p>
        </w:tc>
      </w:tr>
      <w:tr>
        <w:tc>
          <w:tcPr>
            <w:tcW w:type="dxa" w:w="2900"/>
            <w:shd w:fill="FFFFFF" w:val="clear"/>
            <w:vAlign w:val="center"/>
          </w:tcPr>
          <w:p>
            <w:r>
              <w:rPr>
                <w:sz w:val="20"/>
                <w:szCs w:val="20"/>
              </w:rPr>
              <w:t xml:space="preserve">Phase D transition readiness</w:t>
            </w:r>
          </w:p>
        </w:tc>
        <w:tc>
          <w:tcPr>
            <w:tcW w:type="dxa" w:w="6450"/>
            <w:shd w:fill="FFFFFF" w:val="clear"/>
            <w:vAlign w:val="center"/>
          </w:tcPr>
          <w:p>
            <w:r>
              <w:rPr>
                <w:sz w:val="20"/>
                <w:szCs w:val="20"/>
              </w:rPr>
              <w:t xml:space="preserve">Not Evidenced in Current Baseline — no approved repository defines Phase D scope</w:t>
            </w:r>
          </w:p>
        </w:tc>
      </w:tr>
    </w:tbl>
    <w:p>
      <w:pPr>
        <w:spacing w:after="160"/>
        <w:jc w:val="both"/>
      </w:pPr>
      <w:r>
        <w:rPr>
          <w:sz w:val="22"/>
          <w:szCs w:val="22"/>
        </w:rPr>
        <w:t xml:space="preserve">Taken together, ERP-01 has fully completed its governance and design mandate for Phase A.1 through Phase C Section 10.9. It has not yet completed its execution mandate: as of this repository, zero Work Packages have moved from "Defined" to "Realized." This is reported as a factual status, not a deficiency assessment — the evidenced baseline attributes the gap entirely to the single unassigned-ownership condition (KPI-08), not to any unresolved technical, architectural, or governance question.</w:t>
      </w:r>
    </w:p>
    <w:p>
      <w:pPr>
        <w:spacing w:after="160"/>
        <w:jc w:val="both"/>
      </w:pPr>
      <w:r>
        <w:rPr>
          <w:i/>
          <w:iCs/>
          <w:sz w:val="20"/>
          <w:szCs w:val="20"/>
        </w:rPr>
        <w:t xml:space="preserve">Evidence Classification: Observed Evidence with Derived Executive Assessment narrative.</w:t>
      </w:r>
    </w:p>
    <w:p>
      <w:pPr>
        <w:pStyle w:val="Heading1"/>
        <w:spacing w:after="140" w:before="280"/>
      </w:pPr>
      <w:r>
        <w:t xml:space="preserve">10.10.10 — Executive Conclusion</w:t>
      </w:r>
    </w:p>
    <w:p>
      <w:pPr>
        <w:spacing w:after="160"/>
        <w:jc w:val="both"/>
      </w:pPr>
      <w:r>
        <w:rPr>
          <w:sz w:val="22"/>
          <w:szCs w:val="22"/>
        </w:rPr>
        <w:t xml:space="preserve">ERP-01's engineering and governance baseline — spanning Phase A.1 through Phase C Section 10.9 — is complete, internally consistent, and free of undispositioned architecture, governance, verification, or risk gaps. Enterprise engineering maturity for the six approved Work Packages is Defined but not yet Realized: every Work Package carries a complete design, conformance, verification, and acceptance profile, and none has yet been executed.</w:t>
      </w:r>
    </w:p>
    <w:p>
      <w:pPr>
        <w:spacing w:after="160"/>
        <w:jc w:val="both"/>
      </w:pPr>
      <w:r>
        <w:rPr>
          <w:sz w:val="22"/>
          <w:szCs w:val="22"/>
        </w:rPr>
        <w:t xml:space="preserve">Governance confidence and portfolio confidence are both high within the evidenced scope: no risk in the baseline lacks a mitigating Work Package or monitoring cadence, and the critical execution path (WP-0006 → WP-0002 → WP-0001 → WP-0004/WP-0005 → Production Ready) is entirely unblocked and startable immediately. Realization readiness for Wave 1 and Wave 2 is confirmed; Wave 3 remains correctly gated on an external, quantitative trigger (EGD-0004) rather than any engineering readiness question.</w:t>
      </w:r>
    </w:p>
    <w:p>
      <w:pPr>
        <w:spacing w:after="160"/>
        <w:jc w:val="both"/>
      </w:pPr>
      <w:r>
        <w:rPr>
          <w:sz w:val="22"/>
          <w:szCs w:val="22"/>
        </w:rPr>
        <w:t xml:space="preserve">Recommended executive disposition: authorize execution of Wave 1 (WP-0002 and WP-0006) without further governance review, with WP-0006's ownership assignment treated as the single highest-leverage action available to the program, since it is the precondition for accountable execution of every other Work Package in the baseline. No further architectural, governance, or risk analysis is required to take this step.</w:t>
      </w:r>
    </w:p>
    <w:p>
      <w:pPr>
        <w:spacing w:after="160"/>
        <w:jc w:val="both"/>
      </w:pPr>
      <w:r>
        <w:rPr>
          <w:i/>
          <w:iCs/>
          <w:sz w:val="20"/>
          <w:szCs w:val="20"/>
        </w:rPr>
        <w:t xml:space="preserve">This conclusion introduces no new architectural information, governance decision, Work Package, KPI, or certification finding. It is a direct synthesis of findings already approved in ERP-01 Phase A.1 through Phase C Section 10.9.</w:t>
      </w:r>
    </w:p>
    <w:p>
      <w:pPr>
        <w:spacing w:before="300"/>
      </w:pPr>
    </w:p>
    <w:p>
      <w:pPr>
        <w:spacing w:after="160"/>
        <w:jc w:val="both"/>
      </w:pPr>
      <w:r>
        <w:rPr>
          <w:i/>
          <w:iCs/>
          <w:sz w:val="18"/>
          <w:szCs w:val="18"/>
        </w:rPr>
        <w:t xml:space="preserve">End of Section 10.10. This document is internal Enterprise Architecture and engineering governance documentation for the HireRise Career Intelligence Platform. It introduces no new Work Package, Architecture Requirement, Enterprise Governance Decision, Enterprise Resolution, Variance, KPI, or readiness score beyond what ERP-01 Phase A.1 through Phase C Section 10.9 already established, and does not represent external audit, assurance, or certification by any third party.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pPr>
      <w:spacing w:after="14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2026-07-09T20:23:18.111Z</dcterms:created>
  <dcterms:modified xsi:type="dcterms:W3CDTF">2026-07-09T20:23:18.125Z</dcterms:modified>
</cp:coreProperties>
</file>

<file path=docProps/custom.xml><?xml version="1.0" encoding="utf-8"?>
<Properties xmlns="http://schemas.openxmlformats.org/officeDocument/2006/custom-properties" xmlns:vt="http://schemas.openxmlformats.org/officeDocument/2006/docPropsVTypes"/>
</file>