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26"/>
          <w:szCs w:val="26"/>
        </w:rPr>
        <w:t xml:space="preserve">ERP-01 — Phase C</w:t>
      </w:r>
    </w:p>
    <w:p>
      <w:pPr>
        <w:spacing w:after="100"/>
      </w:pPr>
      <w:r>
        <w:rPr>
          <w:b/>
          <w:bCs/>
          <w:color w:val="1F3864"/>
          <w:sz w:val="44"/>
          <w:szCs w:val="44"/>
        </w:rPr>
        <w:t xml:space="preserve">Section 10.11</w:t>
      </w:r>
    </w:p>
    <w:p>
      <w:pPr>
        <w:spacing w:after="200"/>
      </w:pPr>
      <w:r>
        <w:rPr>
          <w:b/>
          <w:bCs/>
          <w:sz w:val="32"/>
          <w:szCs w:val="32"/>
        </w:rPr>
        <w:t xml:space="preserve">Engineering Acceptance Dashboard</w:t>
      </w:r>
    </w:p>
    <w:p>
      <w:pPr>
        <w:spacing w:after="60"/>
      </w:pPr>
      <w:r>
        <w:rPr>
          <w:i/>
          <w:iCs/>
          <w:sz w:val="24"/>
          <w:szCs w:val="24"/>
        </w:rPr>
        <w:t xml:space="preserve">HireRise Career Intelligence Platform</w:t>
      </w:r>
    </w:p>
    <w:p>
      <w:pPr>
        <w:spacing w:after="60"/>
      </w:pPr>
      <w:r>
        <w:rPr>
          <w:i/>
          <w:iCs/>
          <w:sz w:val="20"/>
          <w:szCs w:val="20"/>
        </w:rPr>
        <w:t xml:space="preserve">Internal Enterprise Architecture &amp; Engineering Governance Documentation</w:t>
      </w:r>
    </w:p>
    <w:p>
      <w:pPr>
        <w:spacing w:after="300"/>
      </w:pPr>
      <w:r>
        <w:rPr>
          <w:sz w:val="20"/>
          <w:szCs w:val="20"/>
        </w:rPr>
        <w:t xml:space="preserve">Version 1.0 | Status: DRAFT FOR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50"/>
              <w:left w:type="dxa" w:w="150"/>
              <w:bottom w:type="dxa" w:w="150"/>
              <w:right w:type="dxa" w:w="150"/>
            </w:tcMar>
          </w:tcPr>
          <w:p>
            <w:pPr>
              <w:spacing w:after="100"/>
            </w:pPr>
            <w:r>
              <w:rPr>
                <w:b/>
                <w:bCs/>
                <w:sz w:val="20"/>
                <w:szCs w:val="20"/>
              </w:rPr>
              <w:t xml:space="preserve">Document Classification &amp; Scope Notice</w:t>
            </w:r>
          </w:p>
          <w:p>
            <w:pPr>
              <w:spacing w:after="100"/>
            </w:pPr>
            <w:r>
              <w:rPr>
                <w:b w:val="false"/>
                <w:bCs w:val="false"/>
                <w:sz w:val="20"/>
                <w:szCs w:val="20"/>
              </w:rPr>
              <w:t xml:space="preserve">This document is internal Enterprise Architecture and Engineering Governance documentation produced by and for the HireRise engineering function. It is not an external audit, independent assurance report, third-party consulting engagement, or third-party certification. No content in this document should be read as a representation that Deloitte, Gartner, Accenture, PwC, KPMG, or any other external party has reviewed, approved, certified, or audited the ERP-01 program.</w:t>
            </w:r>
          </w:p>
          <w:p>
            <w:pPr>
              <w:spacing w:after="100"/>
            </w:pPr>
            <w:r>
              <w:rPr>
                <w:b w:val="false"/>
                <w:bCs w:val="false"/>
                <w:sz w:val="20"/>
                <w:szCs w:val="20"/>
              </w:rPr>
              <w:t xml:space="preserve">References to an "Enterprise Architecture Board," "Portfolio Governance Board," "Executive Steering Committee," or "PMO Leadership" describe target-state governance roles defined in ERP-01 Phase B §9. Except where a role is explicitly stated as currently assigned, these are architectural constructs, not claims that such bodies currently exist or are currently convened.</w:t>
            </w:r>
          </w:p>
          <w:p>
            <w:pPr>
              <w:spacing w:after="0"/>
            </w:pPr>
            <w:r>
              <w:rPr>
                <w:b w:val="false"/>
                <w:bCs w:val="false"/>
                <w:sz w:val="20"/>
                <w:szCs w:val="20"/>
              </w:rPr>
              <w:t xml:space="preserve">Every status and figure in this document is either reused verbatim from an approved ERP-01 Phase A–C finding or is a direct, non-speculative consolidation of those findings. This dashboard does not redefine acceptance criteria, introduce new acceptance gates, or create new readiness metrics. Where evidence does not exist, this document states "Not Evidenced in Current Baseline." Where content belongs to future scope, this document states "Reserved for Future Realization Phases."</w:t>
            </w:r>
          </w:p>
        </w:tc>
      </w:tr>
    </w:tbl>
    <w:p>
      <w:r>
        <w:br w:type="page"/>
      </w:r>
    </w:p>
    <w:p>
      <w:pPr>
        <w:pStyle w:val="Heading1"/>
        <w:spacing w:after="140" w:before="280"/>
      </w:pPr>
      <w:r>
        <w:t xml:space="preserve">10.11.1 — Executive Acceptance Overview</w:t>
      </w:r>
    </w:p>
    <w:p>
      <w:pPr>
        <w:spacing w:after="160"/>
        <w:jc w:val="both"/>
      </w:pPr>
      <w:r>
        <w:rPr>
          <w:sz w:val="22"/>
          <w:szCs w:val="22"/>
        </w:rPr>
        <w:t xml:space="preserve">Section 9 (Enterprise Engineering Acceptance Criteria) defines, for each of the six approved Work Packages, the binding architecture, governance, repository, and engineering conditions that must be objectively demonstrated — not asserted — before that Work Package is accepted. Section 9 is a specification: it establishes what acceptance requires and why.</w:t>
      </w:r>
    </w:p>
    <w:p>
      <w:pPr>
        <w:spacing w:after="160"/>
        <w:jc w:val="both"/>
      </w:pPr>
      <w:r>
        <w:rPr>
          <w:sz w:val="22"/>
          <w:szCs w:val="22"/>
        </w:rPr>
        <w:t xml:space="preserve">Section 10.11 performs a different function. It does not redefine, loosen, tighten, or reinterpret any acceptance criterion established in Section 9. It consolidates the current acceptance posture of the ERP-01 program — that is, where each Work Package, wave, and portfolio stands against the criteria Section 9 already defines — into a single executive decision-support dashboard consistent with the Section 10.1–10.10 Executive Dashboard Suite.</w:t>
      </w:r>
    </w:p>
    <w:p>
      <w:pPr>
        <w:spacing w:after="160"/>
        <w:jc w:val="both"/>
      </w:pPr>
      <w:r>
        <w:rPr>
          <w:sz w:val="22"/>
          <w:szCs w:val="22"/>
        </w:rPr>
        <w:t xml:space="preserve">As of this baseline, zero of six Work Packages have entered execution (Phase B §12; Section 9 §10; Section 10.3). Consequently, this dashboard reports acceptance readiness — whether the preconditions for acceptance are satisfied and execution is startable — rather than completed acceptance outcomes, since no outcome yet exists to report.</w:t>
      </w:r>
    </w:p>
    <w:p>
      <w:pPr>
        <w:spacing w:after="160"/>
        <w:jc w:val="both"/>
      </w:pPr>
      <w:r>
        <w:rPr>
          <w:i/>
          <w:iCs/>
          <w:sz w:val="20"/>
          <w:szCs w:val="20"/>
        </w:rPr>
        <w:t xml:space="preserve">Evidence Classification: Derived Executive Assessment.</w:t>
      </w:r>
    </w:p>
    <w:p>
      <w:pPr>
        <w:pStyle w:val="Heading1"/>
        <w:spacing w:after="140" w:before="280"/>
      </w:pPr>
      <w:r>
        <w:t xml:space="preserve">10.11.2 — Enterprise Acceptance Status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F3864" w:val="clear"/>
            <w:vAlign w:val="center"/>
          </w:tcPr>
          <w:p>
            <w:r>
              <w:rPr>
                <w:b/>
                <w:bCs/>
                <w:sz w:val="19"/>
                <w:szCs w:val="19"/>
              </w:rPr>
              <w:t xml:space="preserve">Consolidation Area</w:t>
            </w:r>
          </w:p>
        </w:tc>
        <w:tc>
          <w:tcPr>
            <w:tcW w:type="dxa" w:w="5950"/>
            <w:shd w:fill="1F3864" w:val="clear"/>
            <w:vAlign w:val="center"/>
          </w:tcPr>
          <w:p>
            <w:r>
              <w:rPr>
                <w:b/>
                <w:bCs/>
                <w:sz w:val="19"/>
                <w:szCs w:val="19"/>
              </w:rPr>
              <w:t xml:space="preserve">Status</w:t>
            </w:r>
          </w:p>
        </w:tc>
      </w:tr>
      <w:tr>
        <w:tc>
          <w:tcPr>
            <w:tcW w:type="dxa" w:w="3400"/>
            <w:shd w:fill="F2F2F2" w:val="clear"/>
            <w:vAlign w:val="center"/>
          </w:tcPr>
          <w:p>
            <w:r>
              <w:rPr>
                <w:sz w:val="19"/>
                <w:szCs w:val="19"/>
              </w:rPr>
              <w:t xml:space="preserve">Work Package Acceptance Status</w:t>
            </w:r>
          </w:p>
        </w:tc>
        <w:tc>
          <w:tcPr>
            <w:tcW w:type="dxa" w:w="5950"/>
            <w:shd w:fill="F2F2F2" w:val="clear"/>
            <w:vAlign w:val="center"/>
          </w:tcPr>
          <w:p>
            <w:r>
              <w:rPr>
                <w:sz w:val="19"/>
                <w:szCs w:val="19"/>
              </w:rPr>
              <w:t xml:space="preserve">0 of 6 Work Packages accepted; all 6 acceptance-ready in design (Section 9)</w:t>
            </w:r>
          </w:p>
        </w:tc>
      </w:tr>
      <w:tr>
        <w:tc>
          <w:tcPr>
            <w:tcW w:type="dxa" w:w="3400"/>
            <w:shd w:fill="FFFFFF" w:val="clear"/>
            <w:vAlign w:val="center"/>
          </w:tcPr>
          <w:p>
            <w:r>
              <w:rPr>
                <w:sz w:val="19"/>
                <w:szCs w:val="19"/>
              </w:rPr>
              <w:t xml:space="preserve">Wave Acceptance Status</w:t>
            </w:r>
          </w:p>
        </w:tc>
        <w:tc>
          <w:tcPr>
            <w:tcW w:type="dxa" w:w="5950"/>
            <w:shd w:fill="FFFFFF" w:val="clear"/>
            <w:vAlign w:val="center"/>
          </w:tcPr>
          <w:p>
            <w:r>
              <w:rPr>
                <w:sz w:val="19"/>
                <w:szCs w:val="19"/>
              </w:rPr>
              <w:t xml:space="preserve">Wave 1: acceptance-ready immediately. Wave 2: ready, sequenced. Wave 3: not acceptance-ready (trigger pending)</w:t>
            </w:r>
          </w:p>
        </w:tc>
      </w:tr>
      <w:tr>
        <w:tc>
          <w:tcPr>
            <w:tcW w:type="dxa" w:w="3400"/>
            <w:shd w:fill="F2F2F2" w:val="clear"/>
            <w:vAlign w:val="center"/>
          </w:tcPr>
          <w:p>
            <w:r>
              <w:rPr>
                <w:sz w:val="19"/>
                <w:szCs w:val="19"/>
              </w:rPr>
              <w:t xml:space="preserve">Portfolio Acceptance Status</w:t>
            </w:r>
          </w:p>
        </w:tc>
        <w:tc>
          <w:tcPr>
            <w:tcW w:type="dxa" w:w="5950"/>
            <w:shd w:fill="F2F2F2" w:val="clear"/>
            <w:vAlign w:val="center"/>
          </w:tcPr>
          <w:p>
            <w:r>
              <w:rPr>
                <w:sz w:val="19"/>
                <w:szCs w:val="19"/>
              </w:rPr>
              <w:t xml:space="preserve">Portfolios 1, 2, 8 active — READY WITH CONDITIONS. Portfolios 3–7 Reserved for Future Realization Phases</w:t>
            </w:r>
          </w:p>
        </w:tc>
      </w:tr>
      <w:tr>
        <w:tc>
          <w:tcPr>
            <w:tcW w:type="dxa" w:w="3400"/>
            <w:shd w:fill="FFFFFF" w:val="clear"/>
            <w:vAlign w:val="center"/>
          </w:tcPr>
          <w:p>
            <w:r>
              <w:rPr>
                <w:sz w:val="19"/>
                <w:szCs w:val="19"/>
              </w:rPr>
              <w:t xml:space="preserve">Repository Acceptance Status</w:t>
            </w:r>
          </w:p>
        </w:tc>
        <w:tc>
          <w:tcPr>
            <w:tcW w:type="dxa" w:w="5950"/>
            <w:shd w:fill="FFFFFF" w:val="clear"/>
            <w:vAlign w:val="center"/>
          </w:tcPr>
          <w:p>
            <w:r>
              <w:rPr>
                <w:sz w:val="19"/>
                <w:szCs w:val="19"/>
              </w:rPr>
              <w:t xml:space="preserve">Documentation, Database, Test in evidenced scope; Backend/Frontend/Infrastructure Not Evidenced; Integration/AI/Operations Reserved</w:t>
            </w:r>
          </w:p>
        </w:tc>
      </w:tr>
      <w:tr>
        <w:tc>
          <w:tcPr>
            <w:tcW w:type="dxa" w:w="3400"/>
            <w:shd w:fill="F2F2F2" w:val="clear"/>
            <w:vAlign w:val="center"/>
          </w:tcPr>
          <w:p>
            <w:r>
              <w:rPr>
                <w:sz w:val="19"/>
                <w:szCs w:val="19"/>
              </w:rPr>
              <w:t xml:space="preserve">Verification-to-Acceptance Traceability</w:t>
            </w:r>
          </w:p>
        </w:tc>
        <w:tc>
          <w:tcPr>
            <w:tcW w:type="dxa" w:w="5950"/>
            <w:shd w:fill="F2F2F2" w:val="clear"/>
            <w:vAlign w:val="center"/>
          </w:tcPr>
          <w:p>
            <w:r>
              <w:rPr>
                <w:sz w:val="19"/>
                <w:szCs w:val="19"/>
              </w:rPr>
              <w:t xml:space="preserve">Complete for all 10 Architecture Requirements and all 6 Work Packages (Section 7; Section 10.8)</w:t>
            </w:r>
          </w:p>
        </w:tc>
      </w:tr>
      <w:tr>
        <w:tc>
          <w:tcPr>
            <w:tcW w:type="dxa" w:w="3400"/>
            <w:shd w:fill="FFFFFF" w:val="clear"/>
            <w:vAlign w:val="center"/>
          </w:tcPr>
          <w:p>
            <w:r>
              <w:rPr>
                <w:sz w:val="19"/>
                <w:szCs w:val="19"/>
              </w:rPr>
              <w:t xml:space="preserve">Engineering Acceptance Readiness</w:t>
            </w:r>
          </w:p>
        </w:tc>
        <w:tc>
          <w:tcPr>
            <w:tcW w:type="dxa" w:w="5950"/>
            <w:shd w:fill="FFFFFF" w:val="clear"/>
            <w:vAlign w:val="center"/>
          </w:tcPr>
          <w:p>
            <w:r>
              <w:rPr>
                <w:sz w:val="19"/>
                <w:szCs w:val="19"/>
              </w:rPr>
              <w:t xml:space="preserve">READY WITH CONDITIONS — single cross-cutting condition: KPI-08 (Ownership Assignment %) = 0%</w:t>
            </w:r>
          </w:p>
        </w:tc>
      </w:tr>
    </w:tbl>
    <w:p>
      <w:pPr>
        <w:spacing w:after="160"/>
        <w:jc w:val="both"/>
      </w:pPr>
      <w:r>
        <w:rPr>
          <w:i/>
          <w:iCs/>
          <w:sz w:val="20"/>
          <w:szCs w:val="20"/>
        </w:rPr>
        <w:t xml:space="preserve">Evidence Classification: Observed Evidence (reused from Section 9; Section 10.3; Section 10.8).</w:t>
      </w:r>
    </w:p>
    <w:p>
      <w:pPr>
        <w:pStyle w:val="Heading1"/>
        <w:spacing w:after="140" w:before="280"/>
      </w:pPr>
      <w:r>
        <w:t xml:space="preserve">10.11.3 — Work Package Acceptance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2350"/>
        <w:gridCol w:w="2050"/>
        <w:gridCol w:w="2350"/>
        <w:gridCol w:w="1550"/>
      </w:tblGrid>
      <w:tr>
        <w:tc>
          <w:tcPr>
            <w:tcW w:type="dxa" w:w="1050"/>
            <w:shd w:fill="1F3864" w:val="clear"/>
            <w:vAlign w:val="center"/>
          </w:tcPr>
          <w:p>
            <w:r>
              <w:rPr>
                <w:b/>
                <w:bCs/>
                <w:sz w:val="19"/>
                <w:szCs w:val="19"/>
              </w:rPr>
              <w:t xml:space="preserve">WP</w:t>
            </w:r>
          </w:p>
        </w:tc>
        <w:tc>
          <w:tcPr>
            <w:tcW w:type="dxa" w:w="2350"/>
            <w:shd w:fill="1F3864" w:val="clear"/>
            <w:vAlign w:val="center"/>
          </w:tcPr>
          <w:p>
            <w:r>
              <w:rPr>
                <w:b/>
                <w:bCs/>
                <w:sz w:val="19"/>
                <w:szCs w:val="19"/>
              </w:rPr>
              <w:t xml:space="preserve">AR / EGD</w:t>
            </w:r>
          </w:p>
        </w:tc>
        <w:tc>
          <w:tcPr>
            <w:tcW w:type="dxa" w:w="2050"/>
            <w:shd w:fill="1F3864" w:val="clear"/>
            <w:vAlign w:val="center"/>
          </w:tcPr>
          <w:p>
            <w:r>
              <w:rPr>
                <w:b/>
                <w:bCs/>
                <w:sz w:val="19"/>
                <w:szCs w:val="19"/>
              </w:rPr>
              <w:t xml:space="preserve">Acceptance State</w:t>
            </w:r>
          </w:p>
        </w:tc>
        <w:tc>
          <w:tcPr>
            <w:tcW w:type="dxa" w:w="2350"/>
            <w:shd w:fill="1F3864" w:val="clear"/>
            <w:vAlign w:val="center"/>
          </w:tcPr>
          <w:p>
            <w:r>
              <w:rPr>
                <w:b/>
                <w:bCs/>
                <w:sz w:val="19"/>
                <w:szCs w:val="19"/>
              </w:rPr>
              <w:t xml:space="preserve">Verification Dependency</w:t>
            </w:r>
          </w:p>
        </w:tc>
        <w:tc>
          <w:tcPr>
            <w:tcW w:type="dxa" w:w="1550"/>
            <w:shd w:fill="1F3864" w:val="clear"/>
            <w:vAlign w:val="center"/>
          </w:tcPr>
          <w:p>
            <w:r>
              <w:rPr>
                <w:b/>
                <w:bCs/>
                <w:sz w:val="19"/>
                <w:szCs w:val="19"/>
              </w:rPr>
              <w:t xml:space="preserve">Current Status</w:t>
            </w:r>
          </w:p>
        </w:tc>
      </w:tr>
      <w:tr>
        <w:tc>
          <w:tcPr>
            <w:tcW w:type="dxa" w:w="1050"/>
            <w:shd w:fill="F2F2F2" w:val="clear"/>
            <w:vAlign w:val="center"/>
          </w:tcPr>
          <w:p>
            <w:r>
              <w:rPr>
                <w:sz w:val="19"/>
                <w:szCs w:val="19"/>
              </w:rPr>
              <w:t xml:space="preserve">WP-0001</w:t>
            </w:r>
          </w:p>
        </w:tc>
        <w:tc>
          <w:tcPr>
            <w:tcW w:type="dxa" w:w="2350"/>
            <w:shd w:fill="F2F2F2" w:val="clear"/>
            <w:vAlign w:val="center"/>
          </w:tcPr>
          <w:p>
            <w:r>
              <w:rPr>
                <w:sz w:val="19"/>
                <w:szCs w:val="19"/>
              </w:rPr>
              <w:t xml:space="preserve">AR-0002 / EGD-0002 (Supersede, Accepted)</w:t>
            </w:r>
          </w:p>
        </w:tc>
        <w:tc>
          <w:tcPr>
            <w:tcW w:type="dxa" w:w="2050"/>
            <w:shd w:fill="F2F2F2" w:val="clear"/>
            <w:vAlign w:val="center"/>
          </w:tcPr>
          <w:p>
            <w:r>
              <w:rPr>
                <w:sz w:val="19"/>
                <w:szCs w:val="19"/>
              </w:rPr>
              <w:t xml:space="preserve">Not yet accepted; binary criterion (zero discrepancy)</w:t>
            </w:r>
          </w:p>
        </w:tc>
        <w:tc>
          <w:tcPr>
            <w:tcW w:type="dxa" w:w="2350"/>
            <w:shd w:fill="F2F2F2" w:val="clear"/>
            <w:vAlign w:val="center"/>
          </w:tcPr>
          <w:p>
            <w:r>
              <w:rPr>
                <w:sz w:val="19"/>
                <w:szCs w:val="19"/>
              </w:rPr>
              <w:t xml:space="preserve">Table-inventory diff (manual); not yet executed</w:t>
            </w:r>
          </w:p>
        </w:tc>
        <w:tc>
          <w:tcPr>
            <w:tcW w:type="dxa" w:w="1550"/>
            <w:shd w:fill="F2F2F2" w:val="clear"/>
            <w:vAlign w:val="center"/>
          </w:tcPr>
          <w:p>
            <w:r>
              <w:rPr>
                <w:sz w:val="19"/>
                <w:szCs w:val="19"/>
              </w:rPr>
              <w:t xml:space="preserve">Design complete; execution not started</w:t>
            </w:r>
          </w:p>
        </w:tc>
      </w:tr>
      <w:tr>
        <w:tc>
          <w:tcPr>
            <w:tcW w:type="dxa" w:w="1050"/>
            <w:shd w:fill="FFFFFF" w:val="clear"/>
            <w:vAlign w:val="center"/>
          </w:tcPr>
          <w:p>
            <w:r>
              <w:rPr>
                <w:sz w:val="19"/>
                <w:szCs w:val="19"/>
              </w:rPr>
              <w:t xml:space="preserve">WP-0002</w:t>
            </w:r>
          </w:p>
        </w:tc>
        <w:tc>
          <w:tcPr>
            <w:tcW w:type="dxa" w:w="2350"/>
            <w:shd w:fill="FFFFFF" w:val="clear"/>
            <w:vAlign w:val="center"/>
          </w:tcPr>
          <w:p>
            <w:r>
              <w:rPr>
                <w:sz w:val="19"/>
                <w:szCs w:val="19"/>
              </w:rPr>
              <w:t xml:space="preserve">AR-0007 / EGD-0007 (Realize, Accepted, in progress)</w:t>
            </w:r>
          </w:p>
        </w:tc>
        <w:tc>
          <w:tcPr>
            <w:tcW w:type="dxa" w:w="2050"/>
            <w:shd w:fill="FFFFFF" w:val="clear"/>
            <w:vAlign w:val="center"/>
          </w:tcPr>
          <w:p>
            <w:r>
              <w:rPr>
                <w:sz w:val="19"/>
                <w:szCs w:val="19"/>
              </w:rPr>
              <w:t xml:space="preserve">Not yet accepted; execute-ready today</w:t>
            </w:r>
          </w:p>
        </w:tc>
        <w:tc>
          <w:tcPr>
            <w:tcW w:type="dxa" w:w="2350"/>
            <w:shd w:fill="FFFFFF" w:val="clear"/>
            <w:vAlign w:val="center"/>
          </w:tcPr>
          <w:p>
            <w:r>
              <w:rPr>
                <w:sz w:val="19"/>
                <w:szCs w:val="19"/>
              </w:rPr>
              <w:t xml:space="preserve">Query-based RLS coverage ledger; High readiness, not yet executed</w:t>
            </w:r>
          </w:p>
        </w:tc>
        <w:tc>
          <w:tcPr>
            <w:tcW w:type="dxa" w:w="1550"/>
            <w:shd w:fill="FFFFFF" w:val="clear"/>
            <w:vAlign w:val="center"/>
          </w:tcPr>
          <w:p>
            <w:r>
              <w:rPr>
                <w:sz w:val="19"/>
                <w:szCs w:val="19"/>
              </w:rPr>
              <w:t xml:space="preserve">Confirmed on 2 of 4 table groups; the baseline's one open security unknown</w:t>
            </w:r>
          </w:p>
        </w:tc>
      </w:tr>
      <w:tr>
        <w:tc>
          <w:tcPr>
            <w:tcW w:type="dxa" w:w="1050"/>
            <w:shd w:fill="F2F2F2" w:val="clear"/>
            <w:vAlign w:val="center"/>
          </w:tcPr>
          <w:p>
            <w:r>
              <w:rPr>
                <w:sz w:val="19"/>
                <w:szCs w:val="19"/>
              </w:rPr>
              <w:t xml:space="preserve">WP-0003</w:t>
            </w:r>
          </w:p>
        </w:tc>
        <w:tc>
          <w:tcPr>
            <w:tcW w:type="dxa" w:w="2350"/>
            <w:shd w:fill="F2F2F2" w:val="clear"/>
            <w:vAlign w:val="center"/>
          </w:tcPr>
          <w:p>
            <w:r>
              <w:rPr>
                <w:sz w:val="19"/>
                <w:szCs w:val="19"/>
              </w:rPr>
              <w:t xml:space="preserve">AR-0004 / EGD-0004 (Defer, Deferred)</w:t>
            </w:r>
          </w:p>
        </w:tc>
        <w:tc>
          <w:tcPr>
            <w:tcW w:type="dxa" w:w="2050"/>
            <w:shd w:fill="F2F2F2" w:val="clear"/>
            <w:vAlign w:val="center"/>
          </w:tcPr>
          <w:p>
            <w:r>
              <w:rPr>
                <w:sz w:val="19"/>
                <w:szCs w:val="19"/>
              </w:rPr>
              <w:t xml:space="preserve">Monitoring-ready, not acceptance-ready</w:t>
            </w:r>
          </w:p>
        </w:tc>
        <w:tc>
          <w:tcPr>
            <w:tcW w:type="dxa" w:w="2350"/>
            <w:shd w:fill="F2F2F2" w:val="clear"/>
            <w:vAlign w:val="center"/>
          </w:tcPr>
          <w:p>
            <w:r>
              <w:rPr>
                <w:sz w:val="19"/>
                <w:szCs w:val="19"/>
              </w:rPr>
              <w:t xml:space="preserve">Row-count/growth data not yet gathered; trigger not fired</w:t>
            </w:r>
          </w:p>
        </w:tc>
        <w:tc>
          <w:tcPr>
            <w:tcW w:type="dxa" w:w="1550"/>
            <w:shd w:fill="F2F2F2" w:val="clear"/>
            <w:vAlign w:val="center"/>
          </w:tcPr>
          <w:p>
            <w:r>
              <w:rPr>
                <w:sz w:val="19"/>
                <w:szCs w:val="19"/>
              </w:rPr>
              <w:t xml:space="preserve">Correctly dormant pending EGD-0004 trigger</w:t>
            </w:r>
          </w:p>
        </w:tc>
      </w:tr>
      <w:tr>
        <w:tc>
          <w:tcPr>
            <w:tcW w:type="dxa" w:w="1050"/>
            <w:shd w:fill="FFFFFF" w:val="clear"/>
            <w:vAlign w:val="center"/>
          </w:tcPr>
          <w:p>
            <w:r>
              <w:rPr>
                <w:sz w:val="19"/>
                <w:szCs w:val="19"/>
              </w:rPr>
              <w:t xml:space="preserve">WP-0004</w:t>
            </w:r>
          </w:p>
        </w:tc>
        <w:tc>
          <w:tcPr>
            <w:tcW w:type="dxa" w:w="2350"/>
            <w:shd w:fill="FFFFFF" w:val="clear"/>
            <w:vAlign w:val="center"/>
          </w:tcPr>
          <w:p>
            <w:r>
              <w:rPr>
                <w:sz w:val="19"/>
                <w:szCs w:val="19"/>
              </w:rPr>
              <w:t xml:space="preserve">AR-0003 / EGD-0003 (Accept, conditional)</w:t>
            </w:r>
          </w:p>
        </w:tc>
        <w:tc>
          <w:tcPr>
            <w:tcW w:type="dxa" w:w="2050"/>
            <w:shd w:fill="FFFFFF" w:val="clear"/>
            <w:vAlign w:val="center"/>
          </w:tcPr>
          <w:p>
            <w:r>
              <w:rPr>
                <w:sz w:val="19"/>
                <w:szCs w:val="19"/>
              </w:rPr>
              <w:t xml:space="preserve">Not yet accepted; sequenced to Wave 2</w:t>
            </w:r>
          </w:p>
        </w:tc>
        <w:tc>
          <w:tcPr>
            <w:tcW w:type="dxa" w:w="2350"/>
            <w:shd w:fill="FFFFFF" w:val="clear"/>
            <w:vAlign w:val="center"/>
          </w:tcPr>
          <w:p>
            <w:r>
              <w:rPr>
                <w:sz w:val="19"/>
                <w:szCs w:val="19"/>
              </w:rPr>
              <w:t xml:space="preserve">Documentation + per-release check; Medium readiness</w:t>
            </w:r>
          </w:p>
        </w:tc>
        <w:tc>
          <w:tcPr>
            <w:tcW w:type="dxa" w:w="1550"/>
            <w:shd w:fill="FFFFFF" w:val="clear"/>
            <w:vAlign w:val="center"/>
          </w:tcPr>
          <w:p>
            <w:r>
              <w:rPr>
                <w:sz w:val="19"/>
                <w:szCs w:val="19"/>
              </w:rPr>
              <w:t xml:space="preserve">Design complete; awaits Wave 1 completion</w:t>
            </w:r>
          </w:p>
        </w:tc>
      </w:tr>
      <w:tr>
        <w:tc>
          <w:tcPr>
            <w:tcW w:type="dxa" w:w="1050"/>
            <w:shd w:fill="F2F2F2" w:val="clear"/>
            <w:vAlign w:val="center"/>
          </w:tcPr>
          <w:p>
            <w:r>
              <w:rPr>
                <w:sz w:val="19"/>
                <w:szCs w:val="19"/>
              </w:rPr>
              <w:t xml:space="preserve">WP-0005</w:t>
            </w:r>
          </w:p>
        </w:tc>
        <w:tc>
          <w:tcPr>
            <w:tcW w:type="dxa" w:w="2350"/>
            <w:shd w:fill="F2F2F2" w:val="clear"/>
            <w:vAlign w:val="center"/>
          </w:tcPr>
          <w:p>
            <w:r>
              <w:rPr>
                <w:sz w:val="19"/>
                <w:szCs w:val="19"/>
              </w:rPr>
              <w:t xml:space="preserve">AR-0007 (extension) / EGD-0007 (same as WP-0002)</w:t>
            </w:r>
          </w:p>
        </w:tc>
        <w:tc>
          <w:tcPr>
            <w:tcW w:type="dxa" w:w="2050"/>
            <w:shd w:fill="F2F2F2" w:val="clear"/>
            <w:vAlign w:val="center"/>
          </w:tcPr>
          <w:p>
            <w:r>
              <w:rPr>
                <w:sz w:val="19"/>
                <w:szCs w:val="19"/>
              </w:rPr>
              <w:t xml:space="preserve">Not yet accepted; sequenced after WP-0002</w:t>
            </w:r>
          </w:p>
        </w:tc>
        <w:tc>
          <w:tcPr>
            <w:tcW w:type="dxa" w:w="2350"/>
            <w:shd w:fill="F2F2F2" w:val="clear"/>
            <w:vAlign w:val="center"/>
          </w:tcPr>
          <w:p>
            <w:r>
              <w:rPr>
                <w:sz w:val="19"/>
                <w:szCs w:val="19"/>
              </w:rPr>
              <w:t xml:space="preserve">Reuses WP-0002's query-based, written-evidence method; Medium readiness</w:t>
            </w:r>
          </w:p>
        </w:tc>
        <w:tc>
          <w:tcPr>
            <w:tcW w:type="dxa" w:w="1550"/>
            <w:shd w:fill="F2F2F2" w:val="clear"/>
            <w:vAlign w:val="center"/>
          </w:tcPr>
          <w:p>
            <w:r>
              <w:rPr>
                <w:sz w:val="19"/>
                <w:szCs w:val="19"/>
              </w:rPr>
              <w:t xml:space="preserve">Design complete; extension of WP-0002 scope</w:t>
            </w:r>
          </w:p>
        </w:tc>
      </w:tr>
      <w:tr>
        <w:tc>
          <w:tcPr>
            <w:tcW w:type="dxa" w:w="1050"/>
            <w:shd w:fill="FFFFFF" w:val="clear"/>
            <w:vAlign w:val="center"/>
          </w:tcPr>
          <w:p>
            <w:r>
              <w:rPr>
                <w:sz w:val="19"/>
                <w:szCs w:val="19"/>
              </w:rPr>
              <w:t xml:space="preserve">WP-0006</w:t>
            </w:r>
          </w:p>
        </w:tc>
        <w:tc>
          <w:tcPr>
            <w:tcW w:type="dxa" w:w="2350"/>
            <w:shd w:fill="FFFFFF" w:val="clear"/>
            <w:vAlign w:val="center"/>
          </w:tcPr>
          <w:p>
            <w:r>
              <w:rPr>
                <w:sz w:val="19"/>
                <w:szCs w:val="19"/>
              </w:rPr>
              <w:t xml:space="preserve">AP-009 / EGD-0001–EGD-0009 (all owner fields)</w:t>
            </w:r>
          </w:p>
        </w:tc>
        <w:tc>
          <w:tcPr>
            <w:tcW w:type="dxa" w:w="2050"/>
            <w:shd w:fill="FFFFFF" w:val="clear"/>
            <w:vAlign w:val="center"/>
          </w:tcPr>
          <w:p>
            <w:r>
              <w:rPr>
                <w:sz w:val="19"/>
                <w:szCs w:val="19"/>
              </w:rPr>
              <w:t xml:space="preserve">Not yet accepted; zero-dependency, immediately executable</w:t>
            </w:r>
          </w:p>
        </w:tc>
        <w:tc>
          <w:tcPr>
            <w:tcW w:type="dxa" w:w="2350"/>
            <w:shd w:fill="FFFFFF" w:val="clear"/>
            <w:vAlign w:val="center"/>
          </w:tcPr>
          <w:p>
            <w:r>
              <w:rPr>
                <w:sz w:val="19"/>
                <w:szCs w:val="19"/>
              </w:rPr>
              <w:t xml:space="preserve">Not Evidenced in Current Baseline (no verification method beyond named-assignment confirmation)</w:t>
            </w:r>
          </w:p>
        </w:tc>
        <w:tc>
          <w:tcPr>
            <w:tcW w:type="dxa" w:w="1550"/>
            <w:shd w:fill="FFFFFF" w:val="clear"/>
            <w:vAlign w:val="center"/>
          </w:tcPr>
          <w:p>
            <w:r>
              <w:rPr>
                <w:sz w:val="19"/>
                <w:szCs w:val="19"/>
              </w:rPr>
              <w:t xml:space="preserve">KPI-08 = 0%; blocks accountable execution of every other WP</w:t>
            </w:r>
          </w:p>
        </w:tc>
      </w:tr>
    </w:tbl>
    <w:p>
      <w:pPr>
        <w:spacing w:after="160"/>
        <w:jc w:val="both"/>
      </w:pPr>
      <w:r>
        <w:rPr>
          <w:sz w:val="22"/>
          <w:szCs w:val="22"/>
        </w:rPr>
        <w:t xml:space="preserve">No Work Package in this register has completed acceptance. Two Work Packages (WP-0002, WP-0006) carry no unmet precondition beyond execution itself and are reported as immediately acceptance-ready upon execution. This finding is unchanged from Section 9 and Section 10.3; it is not re-derived here.</w:t>
      </w:r>
    </w:p>
    <w:p>
      <w:pPr>
        <w:spacing w:after="160"/>
        <w:jc w:val="both"/>
      </w:pPr>
      <w:r>
        <w:rPr>
          <w:i/>
          <w:iCs/>
          <w:sz w:val="20"/>
          <w:szCs w:val="20"/>
        </w:rPr>
        <w:t xml:space="preserve">Evidence Classification: Observed Evidence (Section 9 §§ per-WP acceptance criteria; Section 10.3).</w:t>
      </w:r>
    </w:p>
    <w:p>
      <w:pPr>
        <w:pStyle w:val="Heading1"/>
        <w:spacing w:after="140" w:before="280"/>
      </w:pPr>
      <w:r>
        <w:t xml:space="preserve">10.11.4 — Wave Acceptance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350"/>
        <w:gridCol w:w="2900"/>
        <w:gridCol w:w="2800"/>
      </w:tblGrid>
      <w:tr>
        <w:tc>
          <w:tcPr>
            <w:tcW w:type="dxa" w:w="1300"/>
            <w:shd w:fill="1F3864" w:val="clear"/>
            <w:vAlign w:val="center"/>
          </w:tcPr>
          <w:p>
            <w:r>
              <w:rPr>
                <w:b/>
                <w:bCs/>
                <w:sz w:val="19"/>
                <w:szCs w:val="19"/>
              </w:rPr>
              <w:t xml:space="preserve">Wave</w:t>
            </w:r>
          </w:p>
        </w:tc>
        <w:tc>
          <w:tcPr>
            <w:tcW w:type="dxa" w:w="2350"/>
            <w:shd w:fill="1F3864" w:val="clear"/>
            <w:vAlign w:val="center"/>
          </w:tcPr>
          <w:p>
            <w:r>
              <w:rPr>
                <w:b/>
                <w:bCs/>
                <w:sz w:val="19"/>
                <w:szCs w:val="19"/>
              </w:rPr>
              <w:t xml:space="preserve">Work Packages</w:t>
            </w:r>
          </w:p>
        </w:tc>
        <w:tc>
          <w:tcPr>
            <w:tcW w:type="dxa" w:w="2900"/>
            <w:shd w:fill="1F3864" w:val="clear"/>
            <w:vAlign w:val="center"/>
          </w:tcPr>
          <w:p>
            <w:r>
              <w:rPr>
                <w:b/>
                <w:bCs/>
                <w:sz w:val="19"/>
                <w:szCs w:val="19"/>
              </w:rPr>
              <w:t xml:space="preserve">Acceptance Readiness</w:t>
            </w:r>
          </w:p>
        </w:tc>
        <w:tc>
          <w:tcPr>
            <w:tcW w:type="dxa" w:w="2800"/>
            <w:shd w:fill="1F3864" w:val="clear"/>
            <w:vAlign w:val="center"/>
          </w:tcPr>
          <w:p>
            <w:r>
              <w:rPr>
                <w:b/>
                <w:bCs/>
                <w:sz w:val="19"/>
                <w:szCs w:val="19"/>
              </w:rPr>
              <w:t xml:space="preserve">Note</w:t>
            </w:r>
          </w:p>
        </w:tc>
      </w:tr>
      <w:tr>
        <w:tc>
          <w:tcPr>
            <w:tcW w:type="dxa" w:w="1300"/>
            <w:shd w:fill="F2F2F2" w:val="clear"/>
            <w:vAlign w:val="center"/>
          </w:tcPr>
          <w:p>
            <w:r>
              <w:rPr>
                <w:sz w:val="19"/>
                <w:szCs w:val="19"/>
              </w:rPr>
              <w:t xml:space="preserve">Wave 1</w:t>
            </w:r>
          </w:p>
        </w:tc>
        <w:tc>
          <w:tcPr>
            <w:tcW w:type="dxa" w:w="2350"/>
            <w:shd w:fill="F2F2F2" w:val="clear"/>
            <w:vAlign w:val="center"/>
          </w:tcPr>
          <w:p>
            <w:r>
              <w:rPr>
                <w:sz w:val="19"/>
                <w:szCs w:val="19"/>
              </w:rPr>
              <w:t xml:space="preserve">WP-0002, WP-0006</w:t>
            </w:r>
          </w:p>
        </w:tc>
        <w:tc>
          <w:tcPr>
            <w:tcW w:type="dxa" w:w="2900"/>
            <w:shd w:fill="F2F2F2" w:val="clear"/>
            <w:vAlign w:val="center"/>
          </w:tcPr>
          <w:p>
            <w:r>
              <w:rPr>
                <w:sz w:val="19"/>
                <w:szCs w:val="19"/>
              </w:rPr>
              <w:t xml:space="preserve">Fully Ready — acceptance-ready immediately upon execution</w:t>
            </w:r>
          </w:p>
        </w:tc>
        <w:tc>
          <w:tcPr>
            <w:tcW w:type="dxa" w:w="2800"/>
            <w:shd w:fill="F2F2F2" w:val="clear"/>
            <w:vAlign w:val="center"/>
          </w:tcPr>
          <w:p>
            <w:r>
              <w:rPr>
                <w:sz w:val="19"/>
                <w:szCs w:val="19"/>
              </w:rPr>
              <w:t xml:space="preserve">Zero blocking dependency; critical path entry point (Section 10.5)</w:t>
            </w:r>
          </w:p>
        </w:tc>
      </w:tr>
      <w:tr>
        <w:tc>
          <w:tcPr>
            <w:tcW w:type="dxa" w:w="1300"/>
            <w:shd w:fill="FFFFFF" w:val="clear"/>
            <w:vAlign w:val="center"/>
          </w:tcPr>
          <w:p>
            <w:r>
              <w:rPr>
                <w:sz w:val="19"/>
                <w:szCs w:val="19"/>
              </w:rPr>
              <w:t xml:space="preserve">Wave 2</w:t>
            </w:r>
          </w:p>
        </w:tc>
        <w:tc>
          <w:tcPr>
            <w:tcW w:type="dxa" w:w="2350"/>
            <w:shd w:fill="FFFFFF" w:val="clear"/>
            <w:vAlign w:val="center"/>
          </w:tcPr>
          <w:p>
            <w:r>
              <w:rPr>
                <w:sz w:val="19"/>
                <w:szCs w:val="19"/>
              </w:rPr>
              <w:t xml:space="preserve">WP-0001, WP-0004, WP-0005</w:t>
            </w:r>
          </w:p>
        </w:tc>
        <w:tc>
          <w:tcPr>
            <w:tcW w:type="dxa" w:w="2900"/>
            <w:shd w:fill="FFFFFF" w:val="clear"/>
            <w:vAlign w:val="center"/>
          </w:tcPr>
          <w:p>
            <w:r>
              <w:rPr>
                <w:sz w:val="19"/>
                <w:szCs w:val="19"/>
              </w:rPr>
              <w:t xml:space="preserve">Ready, sequenced</w:t>
            </w:r>
          </w:p>
        </w:tc>
        <w:tc>
          <w:tcPr>
            <w:tcW w:type="dxa" w:w="2800"/>
            <w:shd w:fill="FFFFFF" w:val="clear"/>
            <w:vAlign w:val="center"/>
          </w:tcPr>
          <w:p>
            <w:r>
              <w:rPr>
                <w:sz w:val="19"/>
                <w:szCs w:val="19"/>
              </w:rPr>
              <w:t xml:space="preserve">Awaits Wave 1 completion and the owner WP-0006 assigns</w:t>
            </w:r>
          </w:p>
        </w:tc>
      </w:tr>
      <w:tr>
        <w:tc>
          <w:tcPr>
            <w:tcW w:type="dxa" w:w="1300"/>
            <w:shd w:fill="F2F2F2" w:val="clear"/>
            <w:vAlign w:val="center"/>
          </w:tcPr>
          <w:p>
            <w:r>
              <w:rPr>
                <w:sz w:val="19"/>
                <w:szCs w:val="19"/>
              </w:rPr>
              <w:t xml:space="preserve">Wave 3</w:t>
            </w:r>
          </w:p>
        </w:tc>
        <w:tc>
          <w:tcPr>
            <w:tcW w:type="dxa" w:w="2350"/>
            <w:shd w:fill="F2F2F2" w:val="clear"/>
            <w:vAlign w:val="center"/>
          </w:tcPr>
          <w:p>
            <w:r>
              <w:rPr>
                <w:sz w:val="19"/>
                <w:szCs w:val="19"/>
              </w:rPr>
              <w:t xml:space="preserve">WP-0003</w:t>
            </w:r>
          </w:p>
        </w:tc>
        <w:tc>
          <w:tcPr>
            <w:tcW w:type="dxa" w:w="2900"/>
            <w:shd w:fill="F2F2F2" w:val="clear"/>
            <w:vAlign w:val="center"/>
          </w:tcPr>
          <w:p>
            <w:r>
              <w:rPr>
                <w:sz w:val="19"/>
                <w:szCs w:val="19"/>
              </w:rPr>
              <w:t xml:space="preserve">Not acceptance-ready</w:t>
            </w:r>
          </w:p>
        </w:tc>
        <w:tc>
          <w:tcPr>
            <w:tcW w:type="dxa" w:w="2800"/>
            <w:shd w:fill="F2F2F2" w:val="clear"/>
            <w:vAlign w:val="center"/>
          </w:tcPr>
          <w:p>
            <w:r>
              <w:rPr>
                <w:sz w:val="19"/>
                <w:szCs w:val="19"/>
              </w:rPr>
              <w:t xml:space="preserve">Monitoring-ready only; EGD-0004 trigger not fired</w:t>
            </w:r>
          </w:p>
        </w:tc>
      </w:tr>
      <w:tr>
        <w:tc>
          <w:tcPr>
            <w:tcW w:type="dxa" w:w="1300"/>
            <w:shd w:fill="FFFFFF" w:val="clear"/>
            <w:vAlign w:val="center"/>
          </w:tcPr>
          <w:p>
            <w:r>
              <w:rPr>
                <w:sz w:val="19"/>
                <w:szCs w:val="19"/>
              </w:rPr>
              <w:t xml:space="preserve">Waves 4–5</w:t>
            </w:r>
          </w:p>
        </w:tc>
        <w:tc>
          <w:tcPr>
            <w:tcW w:type="dxa" w:w="2350"/>
            <w:shd w:fill="FFFFFF" w:val="clear"/>
            <w:vAlign w:val="center"/>
          </w:tcPr>
          <w:p>
            <w:r>
              <w:rPr>
                <w:sz w:val="19"/>
                <w:szCs w:val="19"/>
              </w:rPr>
              <w:t xml:space="preserve">Not Applicable</w:t>
            </w:r>
          </w:p>
        </w:tc>
        <w:tc>
          <w:tcPr>
            <w:tcW w:type="dxa" w:w="2900"/>
            <w:shd w:fill="FFFFFF" w:val="clear"/>
            <w:vAlign w:val="center"/>
          </w:tcPr>
          <w:p>
            <w:r>
              <w:rPr>
                <w:sz w:val="19"/>
                <w:szCs w:val="19"/>
              </w:rPr>
              <w:t xml:space="preserve">Not Evidenced in Current Baseline</w:t>
            </w:r>
          </w:p>
        </w:tc>
        <w:tc>
          <w:tcPr>
            <w:tcW w:type="dxa" w:w="2800"/>
            <w:shd w:fill="FFFFFF" w:val="clear"/>
            <w:vAlign w:val="center"/>
          </w:tcPr>
          <w:p>
            <w:r>
              <w:rPr>
                <w:sz w:val="19"/>
                <w:szCs w:val="19"/>
              </w:rPr>
              <w:t xml:space="preserve">Reserved for Future Realization Phases</w:t>
            </w:r>
          </w:p>
        </w:tc>
      </w:tr>
    </w:tbl>
    <w:p>
      <w:pPr>
        <w:spacing w:after="160"/>
        <w:jc w:val="both"/>
      </w:pPr>
      <w:r>
        <w:rPr>
          <w:i/>
          <w:iCs/>
          <w:sz w:val="20"/>
          <w:szCs w:val="20"/>
        </w:rPr>
        <w:t xml:space="preserve">Evidence Classification: Observed Evidence (Section 10.5).</w:t>
      </w:r>
    </w:p>
    <w:p>
      <w:pPr>
        <w:pStyle w:val="Heading1"/>
        <w:spacing w:after="140" w:before="280"/>
      </w:pPr>
      <w:r>
        <w:t xml:space="preserve">10.11.5 — Portfolio Acceptance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50"/>
      </w:tblGrid>
      <w:tr>
        <w:tc>
          <w:tcPr>
            <w:tcW w:type="dxa" w:w="3000"/>
            <w:shd w:fill="1F3864" w:val="clear"/>
            <w:vAlign w:val="center"/>
          </w:tcPr>
          <w:p>
            <w:r>
              <w:rPr>
                <w:b/>
                <w:bCs/>
                <w:sz w:val="19"/>
                <w:szCs w:val="19"/>
              </w:rPr>
              <w:t xml:space="preserve">Portfolio</w:t>
            </w:r>
          </w:p>
        </w:tc>
        <w:tc>
          <w:tcPr>
            <w:tcW w:type="dxa" w:w="2800"/>
            <w:shd w:fill="1F3864" w:val="clear"/>
            <w:vAlign w:val="center"/>
          </w:tcPr>
          <w:p>
            <w:r>
              <w:rPr>
                <w:b/>
                <w:bCs/>
                <w:sz w:val="19"/>
                <w:szCs w:val="19"/>
              </w:rPr>
              <w:t xml:space="preserve">Governing WP(s)</w:t>
            </w:r>
          </w:p>
        </w:tc>
        <w:tc>
          <w:tcPr>
            <w:tcW w:type="dxa" w:w="3550"/>
            <w:shd w:fill="1F3864" w:val="clear"/>
            <w:vAlign w:val="center"/>
          </w:tcPr>
          <w:p>
            <w:r>
              <w:rPr>
                <w:b/>
                <w:bCs/>
                <w:sz w:val="19"/>
                <w:szCs w:val="19"/>
              </w:rPr>
              <w:t xml:space="preserve">Acceptance Readiness</w:t>
            </w:r>
          </w:p>
        </w:tc>
      </w:tr>
      <w:tr>
        <w:tc>
          <w:tcPr>
            <w:tcW w:type="dxa" w:w="3000"/>
            <w:shd w:fill="F2F2F2" w:val="clear"/>
            <w:vAlign w:val="center"/>
          </w:tcPr>
          <w:p>
            <w:r>
              <w:rPr>
                <w:sz w:val="19"/>
                <w:szCs w:val="19"/>
              </w:rPr>
              <w:t xml:space="preserve">Portfolio 1 — Enterprise Data Platform</w:t>
            </w:r>
          </w:p>
        </w:tc>
        <w:tc>
          <w:tcPr>
            <w:tcW w:type="dxa" w:w="2800"/>
            <w:shd w:fill="F2F2F2" w:val="clear"/>
            <w:vAlign w:val="center"/>
          </w:tcPr>
          <w:p>
            <w:r>
              <w:rPr>
                <w:sz w:val="19"/>
                <w:szCs w:val="19"/>
              </w:rPr>
              <w:t xml:space="preserve">WP-0001, WP-0003, WP-0004, WP-0005</w:t>
            </w:r>
          </w:p>
        </w:tc>
        <w:tc>
          <w:tcPr>
            <w:tcW w:type="dxa" w:w="3550"/>
            <w:shd w:fill="F2F2F2" w:val="clear"/>
            <w:vAlign w:val="center"/>
          </w:tcPr>
          <w:p>
            <w:r>
              <w:rPr>
                <w:sz w:val="19"/>
                <w:szCs w:val="19"/>
              </w:rPr>
              <w:t xml:space="preserve">READY WITH CONDITIONS — WP-0003 trigger-gated; others sequenced</w:t>
            </w:r>
          </w:p>
        </w:tc>
      </w:tr>
      <w:tr>
        <w:tc>
          <w:tcPr>
            <w:tcW w:type="dxa" w:w="3000"/>
            <w:shd w:fill="FFFFFF" w:val="clear"/>
            <w:vAlign w:val="center"/>
          </w:tcPr>
          <w:p>
            <w:r>
              <w:rPr>
                <w:sz w:val="19"/>
                <w:szCs w:val="19"/>
              </w:rPr>
              <w:t xml:space="preserve">Portfolio 2 — Enterprise Security</w:t>
            </w:r>
          </w:p>
        </w:tc>
        <w:tc>
          <w:tcPr>
            <w:tcW w:type="dxa" w:w="2800"/>
            <w:shd w:fill="FFFFFF" w:val="clear"/>
            <w:vAlign w:val="center"/>
          </w:tcPr>
          <w:p>
            <w:r>
              <w:rPr>
                <w:sz w:val="19"/>
                <w:szCs w:val="19"/>
              </w:rPr>
              <w:t xml:space="preserve">WP-0002</w:t>
            </w:r>
          </w:p>
        </w:tc>
        <w:tc>
          <w:tcPr>
            <w:tcW w:type="dxa" w:w="3550"/>
            <w:shd w:fill="FFFFFF" w:val="clear"/>
            <w:vAlign w:val="center"/>
          </w:tcPr>
          <w:p>
            <w:r>
              <w:rPr>
                <w:sz w:val="19"/>
                <w:szCs w:val="19"/>
              </w:rPr>
              <w:t xml:space="preserve">READY WITH CONDITIONS — execute-ready today</w:t>
            </w:r>
          </w:p>
        </w:tc>
      </w:tr>
      <w:tr>
        <w:tc>
          <w:tcPr>
            <w:tcW w:type="dxa" w:w="3000"/>
            <w:shd w:fill="F2F2F2" w:val="clear"/>
            <w:vAlign w:val="center"/>
          </w:tcPr>
          <w:p>
            <w:r>
              <w:rPr>
                <w:sz w:val="19"/>
                <w:szCs w:val="19"/>
              </w:rPr>
              <w:t xml:space="preserve">Portfolio 8 — Governance &amp; Quality</w:t>
            </w:r>
          </w:p>
        </w:tc>
        <w:tc>
          <w:tcPr>
            <w:tcW w:type="dxa" w:w="2800"/>
            <w:shd w:fill="F2F2F2" w:val="clear"/>
            <w:vAlign w:val="center"/>
          </w:tcPr>
          <w:p>
            <w:r>
              <w:rPr>
                <w:sz w:val="19"/>
                <w:szCs w:val="19"/>
              </w:rPr>
              <w:t xml:space="preserve">WP-0006</w:t>
            </w:r>
          </w:p>
        </w:tc>
        <w:tc>
          <w:tcPr>
            <w:tcW w:type="dxa" w:w="3550"/>
            <w:shd w:fill="F2F2F2" w:val="clear"/>
            <w:vAlign w:val="center"/>
          </w:tcPr>
          <w:p>
            <w:r>
              <w:rPr>
                <w:sz w:val="19"/>
                <w:szCs w:val="19"/>
              </w:rPr>
              <w:t xml:space="preserve">READY WITH CONDITIONS — zero-dependency, immediately executable</w:t>
            </w:r>
          </w:p>
        </w:tc>
      </w:tr>
      <w:tr>
        <w:tc>
          <w:tcPr>
            <w:tcW w:type="dxa" w:w="3000"/>
            <w:shd w:fill="FFFFFF" w:val="clear"/>
            <w:vAlign w:val="center"/>
          </w:tcPr>
          <w:p>
            <w:r>
              <w:rPr>
                <w:sz w:val="19"/>
                <w:szCs w:val="19"/>
              </w:rPr>
              <w:t xml:space="preserve">Portfolios 3–7</w:t>
            </w:r>
          </w:p>
        </w:tc>
        <w:tc>
          <w:tcPr>
            <w:tcW w:type="dxa" w:w="2800"/>
            <w:shd w:fill="FFFFFF" w:val="clear"/>
            <w:vAlign w:val="center"/>
          </w:tcPr>
          <w:p>
            <w:r>
              <w:rPr>
                <w:sz w:val="19"/>
                <w:szCs w:val="19"/>
              </w:rPr>
              <w:t xml:space="preserve">None</w:t>
            </w:r>
          </w:p>
        </w:tc>
        <w:tc>
          <w:tcPr>
            <w:tcW w:type="dxa" w:w="3550"/>
            <w:shd w:fill="FFFFFF" w:val="clear"/>
            <w:vAlign w:val="center"/>
          </w:tcPr>
          <w:p>
            <w:r>
              <w:rPr>
                <w:sz w:val="19"/>
                <w:szCs w:val="19"/>
              </w:rPr>
              <w:t xml:space="preserve">Not Evidenced in Current Baseline — no approved AR/EGD scope; Reserved for Future Realization Phases</w:t>
            </w:r>
          </w:p>
        </w:tc>
      </w:tr>
    </w:tbl>
    <w:p>
      <w:pPr>
        <w:spacing w:after="160"/>
        <w:jc w:val="both"/>
      </w:pPr>
      <w:r>
        <w:rPr>
          <w:i/>
          <w:iCs/>
          <w:sz w:val="20"/>
          <w:szCs w:val="20"/>
        </w:rPr>
        <w:t xml:space="preserve">Evidence Classification: Observed Evidence (Section 10.4).</w:t>
      </w:r>
    </w:p>
    <w:p>
      <w:pPr>
        <w:pStyle w:val="Heading1"/>
        <w:spacing w:after="140" w:before="280"/>
      </w:pPr>
      <w:r>
        <w:t xml:space="preserve">10.11.6 — Acceptance Traceability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2550"/>
        <w:gridCol w:w="1900"/>
        <w:gridCol w:w="1950"/>
      </w:tblGrid>
      <w:tr>
        <w:tc>
          <w:tcPr>
            <w:tcW w:type="dxa" w:w="1900"/>
            <w:shd w:fill="1F3864" w:val="clear"/>
            <w:vAlign w:val="center"/>
          </w:tcPr>
          <w:p>
            <w:r>
              <w:rPr>
                <w:b/>
                <w:bCs/>
                <w:sz w:val="19"/>
                <w:szCs w:val="19"/>
              </w:rPr>
              <w:t xml:space="preserve">AR / EGD</w:t>
            </w:r>
          </w:p>
        </w:tc>
        <w:tc>
          <w:tcPr>
            <w:tcW w:type="dxa" w:w="1050"/>
            <w:shd w:fill="1F3864" w:val="clear"/>
            <w:vAlign w:val="center"/>
          </w:tcPr>
          <w:p>
            <w:r>
              <w:rPr>
                <w:b/>
                <w:bCs/>
                <w:sz w:val="19"/>
                <w:szCs w:val="19"/>
              </w:rPr>
              <w:t xml:space="preserve">Work Package</w:t>
            </w:r>
          </w:p>
        </w:tc>
        <w:tc>
          <w:tcPr>
            <w:tcW w:type="dxa" w:w="2550"/>
            <w:shd w:fill="1F3864" w:val="clear"/>
            <w:vAlign w:val="center"/>
          </w:tcPr>
          <w:p>
            <w:r>
              <w:rPr>
                <w:b/>
                <w:bCs/>
                <w:sz w:val="19"/>
                <w:szCs w:val="19"/>
              </w:rPr>
              <w:t xml:space="preserve">Verification Activity</w:t>
            </w:r>
          </w:p>
        </w:tc>
        <w:tc>
          <w:tcPr>
            <w:tcW w:type="dxa" w:w="1900"/>
            <w:shd w:fill="1F3864" w:val="clear"/>
            <w:vAlign w:val="center"/>
          </w:tcPr>
          <w:p>
            <w:r>
              <w:rPr>
                <w:b/>
                <w:bCs/>
                <w:sz w:val="19"/>
                <w:szCs w:val="19"/>
              </w:rPr>
              <w:t xml:space="preserve">Acceptance Criteria Source</w:t>
            </w:r>
          </w:p>
        </w:tc>
        <w:tc>
          <w:tcPr>
            <w:tcW w:type="dxa" w:w="1950"/>
            <w:shd w:fill="1F3864" w:val="clear"/>
            <w:vAlign w:val="center"/>
          </w:tcPr>
          <w:p>
            <w:r>
              <w:rPr>
                <w:b/>
                <w:bCs/>
                <w:sz w:val="19"/>
                <w:szCs w:val="19"/>
              </w:rPr>
              <w:t xml:space="preserve">Acceptance Status</w:t>
            </w:r>
          </w:p>
        </w:tc>
      </w:tr>
      <w:tr>
        <w:tc>
          <w:tcPr>
            <w:tcW w:type="dxa" w:w="1900"/>
            <w:shd w:fill="F2F2F2" w:val="clear"/>
            <w:vAlign w:val="center"/>
          </w:tcPr>
          <w:p>
            <w:r>
              <w:rPr>
                <w:sz w:val="19"/>
                <w:szCs w:val="19"/>
              </w:rPr>
              <w:t xml:space="preserve">AR-0002 / EGD-0002</w:t>
            </w:r>
          </w:p>
        </w:tc>
        <w:tc>
          <w:tcPr>
            <w:tcW w:type="dxa" w:w="1050"/>
            <w:shd w:fill="F2F2F2" w:val="clear"/>
            <w:vAlign w:val="center"/>
          </w:tcPr>
          <w:p>
            <w:r>
              <w:rPr>
                <w:sz w:val="19"/>
                <w:szCs w:val="19"/>
              </w:rPr>
              <w:t xml:space="preserve">WP-0001</w:t>
            </w:r>
          </w:p>
        </w:tc>
        <w:tc>
          <w:tcPr>
            <w:tcW w:type="dxa" w:w="2550"/>
            <w:shd w:fill="F2F2F2" w:val="clear"/>
            <w:vAlign w:val="center"/>
          </w:tcPr>
          <w:p>
            <w:r>
              <w:rPr>
                <w:sz w:val="19"/>
                <w:szCs w:val="19"/>
              </w:rPr>
              <w:t xml:space="preserve">Table-inventory diff (manual)</w:t>
            </w:r>
          </w:p>
        </w:tc>
        <w:tc>
          <w:tcPr>
            <w:tcW w:type="dxa" w:w="1900"/>
            <w:shd w:fill="F2F2F2" w:val="clear"/>
            <w:vAlign w:val="center"/>
          </w:tcPr>
          <w:p>
            <w:r>
              <w:rPr>
                <w:sz w:val="19"/>
                <w:szCs w:val="19"/>
              </w:rPr>
              <w:t xml:space="preserve">Section 9 — WP-0001 §H</w:t>
            </w:r>
          </w:p>
        </w:tc>
        <w:tc>
          <w:tcPr>
            <w:tcW w:type="dxa" w:w="1950"/>
            <w:shd w:fill="F2F2F2" w:val="clear"/>
            <w:vAlign w:val="center"/>
          </w:tcPr>
          <w:p>
            <w:r>
              <w:rPr>
                <w:sz w:val="19"/>
                <w:szCs w:val="19"/>
              </w:rPr>
              <w:t xml:space="preserve">Not yet accepted</w:t>
            </w:r>
          </w:p>
        </w:tc>
      </w:tr>
      <w:tr>
        <w:tc>
          <w:tcPr>
            <w:tcW w:type="dxa" w:w="1900"/>
            <w:shd w:fill="FFFFFF" w:val="clear"/>
            <w:vAlign w:val="center"/>
          </w:tcPr>
          <w:p>
            <w:r>
              <w:rPr>
                <w:sz w:val="19"/>
                <w:szCs w:val="19"/>
              </w:rPr>
              <w:t xml:space="preserve">AR-0007 / EGD-0007</w:t>
            </w:r>
          </w:p>
        </w:tc>
        <w:tc>
          <w:tcPr>
            <w:tcW w:type="dxa" w:w="1050"/>
            <w:shd w:fill="FFFFFF" w:val="clear"/>
            <w:vAlign w:val="center"/>
          </w:tcPr>
          <w:p>
            <w:r>
              <w:rPr>
                <w:sz w:val="19"/>
                <w:szCs w:val="19"/>
              </w:rPr>
              <w:t xml:space="preserve">WP-0002</w:t>
            </w:r>
          </w:p>
        </w:tc>
        <w:tc>
          <w:tcPr>
            <w:tcW w:type="dxa" w:w="2550"/>
            <w:shd w:fill="FFFFFF" w:val="clear"/>
            <w:vAlign w:val="center"/>
          </w:tcPr>
          <w:p>
            <w:r>
              <w:rPr>
                <w:sz w:val="19"/>
                <w:szCs w:val="19"/>
              </w:rPr>
              <w:t xml:space="preserve">RLS coverage ledger (query-based)</w:t>
            </w:r>
          </w:p>
        </w:tc>
        <w:tc>
          <w:tcPr>
            <w:tcW w:type="dxa" w:w="1900"/>
            <w:shd w:fill="FFFFFF" w:val="clear"/>
            <w:vAlign w:val="center"/>
          </w:tcPr>
          <w:p>
            <w:r>
              <w:rPr>
                <w:sz w:val="19"/>
                <w:szCs w:val="19"/>
              </w:rPr>
              <w:t xml:space="preserve">Section 9 — WP-0002 §H</w:t>
            </w:r>
          </w:p>
        </w:tc>
        <w:tc>
          <w:tcPr>
            <w:tcW w:type="dxa" w:w="1950"/>
            <w:shd w:fill="FFFFFF" w:val="clear"/>
            <w:vAlign w:val="center"/>
          </w:tcPr>
          <w:p>
            <w:r>
              <w:rPr>
                <w:sz w:val="19"/>
                <w:szCs w:val="19"/>
              </w:rPr>
              <w:t xml:space="preserve">Not yet accepted</w:t>
            </w:r>
          </w:p>
        </w:tc>
      </w:tr>
      <w:tr>
        <w:tc>
          <w:tcPr>
            <w:tcW w:type="dxa" w:w="1900"/>
            <w:shd w:fill="F2F2F2" w:val="clear"/>
            <w:vAlign w:val="center"/>
          </w:tcPr>
          <w:p>
            <w:r>
              <w:rPr>
                <w:sz w:val="19"/>
                <w:szCs w:val="19"/>
              </w:rPr>
              <w:t xml:space="preserve">AR-0004 / EGD-0004</w:t>
            </w:r>
          </w:p>
        </w:tc>
        <w:tc>
          <w:tcPr>
            <w:tcW w:type="dxa" w:w="1050"/>
            <w:shd w:fill="F2F2F2" w:val="clear"/>
            <w:vAlign w:val="center"/>
          </w:tcPr>
          <w:p>
            <w:r>
              <w:rPr>
                <w:sz w:val="19"/>
                <w:szCs w:val="19"/>
              </w:rPr>
              <w:t xml:space="preserve">WP-0003</w:t>
            </w:r>
          </w:p>
        </w:tc>
        <w:tc>
          <w:tcPr>
            <w:tcW w:type="dxa" w:w="2550"/>
            <w:shd w:fill="F2F2F2" w:val="clear"/>
            <w:vAlign w:val="center"/>
          </w:tcPr>
          <w:p>
            <w:r>
              <w:rPr>
                <w:sz w:val="19"/>
                <w:szCs w:val="19"/>
              </w:rPr>
              <w:t xml:space="preserve">Row-count/growth monitoring</w:t>
            </w:r>
          </w:p>
        </w:tc>
        <w:tc>
          <w:tcPr>
            <w:tcW w:type="dxa" w:w="1900"/>
            <w:shd w:fill="F2F2F2" w:val="clear"/>
            <w:vAlign w:val="center"/>
          </w:tcPr>
          <w:p>
            <w:r>
              <w:rPr>
                <w:sz w:val="19"/>
                <w:szCs w:val="19"/>
              </w:rPr>
              <w:t xml:space="preserve">Section 9 — WP-0003 §H</w:t>
            </w:r>
          </w:p>
        </w:tc>
        <w:tc>
          <w:tcPr>
            <w:tcW w:type="dxa" w:w="1950"/>
            <w:shd w:fill="F2F2F2" w:val="clear"/>
            <w:vAlign w:val="center"/>
          </w:tcPr>
          <w:p>
            <w:r>
              <w:rPr>
                <w:sz w:val="19"/>
                <w:szCs w:val="19"/>
              </w:rPr>
              <w:t xml:space="preserve">Not acceptance-ready (trigger-gated)</w:t>
            </w:r>
          </w:p>
        </w:tc>
      </w:tr>
      <w:tr>
        <w:tc>
          <w:tcPr>
            <w:tcW w:type="dxa" w:w="1900"/>
            <w:shd w:fill="FFFFFF" w:val="clear"/>
            <w:vAlign w:val="center"/>
          </w:tcPr>
          <w:p>
            <w:r>
              <w:rPr>
                <w:sz w:val="19"/>
                <w:szCs w:val="19"/>
              </w:rPr>
              <w:t xml:space="preserve">AR-0003 / EGD-0003</w:t>
            </w:r>
          </w:p>
        </w:tc>
        <w:tc>
          <w:tcPr>
            <w:tcW w:type="dxa" w:w="1050"/>
            <w:shd w:fill="FFFFFF" w:val="clear"/>
            <w:vAlign w:val="center"/>
          </w:tcPr>
          <w:p>
            <w:r>
              <w:rPr>
                <w:sz w:val="19"/>
                <w:szCs w:val="19"/>
              </w:rPr>
              <w:t xml:space="preserve">WP-0004</w:t>
            </w:r>
          </w:p>
        </w:tc>
        <w:tc>
          <w:tcPr>
            <w:tcW w:type="dxa" w:w="2550"/>
            <w:shd w:fill="FFFFFF" w:val="clear"/>
            <w:vAlign w:val="center"/>
          </w:tcPr>
          <w:p>
            <w:r>
              <w:rPr>
                <w:sz w:val="19"/>
                <w:szCs w:val="19"/>
              </w:rPr>
              <w:t xml:space="preserve">Documentation + per-release check</w:t>
            </w:r>
          </w:p>
        </w:tc>
        <w:tc>
          <w:tcPr>
            <w:tcW w:type="dxa" w:w="1900"/>
            <w:shd w:fill="FFFFFF" w:val="clear"/>
            <w:vAlign w:val="center"/>
          </w:tcPr>
          <w:p>
            <w:r>
              <w:rPr>
                <w:sz w:val="19"/>
                <w:szCs w:val="19"/>
              </w:rPr>
              <w:t xml:space="preserve">Section 9 — WP-0004 §H</w:t>
            </w:r>
          </w:p>
        </w:tc>
        <w:tc>
          <w:tcPr>
            <w:tcW w:type="dxa" w:w="1950"/>
            <w:shd w:fill="FFFFFF" w:val="clear"/>
            <w:vAlign w:val="center"/>
          </w:tcPr>
          <w:p>
            <w:r>
              <w:rPr>
                <w:sz w:val="19"/>
                <w:szCs w:val="19"/>
              </w:rPr>
              <w:t xml:space="preserve">Not yet accepted</w:t>
            </w:r>
          </w:p>
        </w:tc>
      </w:tr>
      <w:tr>
        <w:tc>
          <w:tcPr>
            <w:tcW w:type="dxa" w:w="1900"/>
            <w:shd w:fill="F2F2F2" w:val="clear"/>
            <w:vAlign w:val="center"/>
          </w:tcPr>
          <w:p>
            <w:r>
              <w:rPr>
                <w:sz w:val="19"/>
                <w:szCs w:val="19"/>
              </w:rPr>
              <w:t xml:space="preserve">AR-0007 (ext.) / EGD-0007</w:t>
            </w:r>
          </w:p>
        </w:tc>
        <w:tc>
          <w:tcPr>
            <w:tcW w:type="dxa" w:w="1050"/>
            <w:shd w:fill="F2F2F2" w:val="clear"/>
            <w:vAlign w:val="center"/>
          </w:tcPr>
          <w:p>
            <w:r>
              <w:rPr>
                <w:sz w:val="19"/>
                <w:szCs w:val="19"/>
              </w:rPr>
              <w:t xml:space="preserve">WP-0005</w:t>
            </w:r>
          </w:p>
        </w:tc>
        <w:tc>
          <w:tcPr>
            <w:tcW w:type="dxa" w:w="2550"/>
            <w:shd w:fill="F2F2F2" w:val="clear"/>
            <w:vAlign w:val="center"/>
          </w:tcPr>
          <w:p>
            <w:r>
              <w:rPr>
                <w:sz w:val="19"/>
                <w:szCs w:val="19"/>
              </w:rPr>
              <w:t xml:space="preserve">Query-based, written-evidence review</w:t>
            </w:r>
          </w:p>
        </w:tc>
        <w:tc>
          <w:tcPr>
            <w:tcW w:type="dxa" w:w="1900"/>
            <w:shd w:fill="F2F2F2" w:val="clear"/>
            <w:vAlign w:val="center"/>
          </w:tcPr>
          <w:p>
            <w:r>
              <w:rPr>
                <w:sz w:val="19"/>
                <w:szCs w:val="19"/>
              </w:rPr>
              <w:t xml:space="preserve">Section 9 — WP-0005 §H</w:t>
            </w:r>
          </w:p>
        </w:tc>
        <w:tc>
          <w:tcPr>
            <w:tcW w:type="dxa" w:w="1950"/>
            <w:shd w:fill="F2F2F2" w:val="clear"/>
            <w:vAlign w:val="center"/>
          </w:tcPr>
          <w:p>
            <w:r>
              <w:rPr>
                <w:sz w:val="19"/>
                <w:szCs w:val="19"/>
              </w:rPr>
              <w:t xml:space="preserve">Not yet accepted</w:t>
            </w:r>
          </w:p>
        </w:tc>
      </w:tr>
      <w:tr>
        <w:tc>
          <w:tcPr>
            <w:tcW w:type="dxa" w:w="1900"/>
            <w:shd w:fill="FFFFFF" w:val="clear"/>
            <w:vAlign w:val="center"/>
          </w:tcPr>
          <w:p>
            <w:r>
              <w:rPr>
                <w:sz w:val="19"/>
                <w:szCs w:val="19"/>
              </w:rPr>
              <w:t xml:space="preserve">AP-009 / EGD-0001–0009</w:t>
            </w:r>
          </w:p>
        </w:tc>
        <w:tc>
          <w:tcPr>
            <w:tcW w:type="dxa" w:w="1050"/>
            <w:shd w:fill="FFFFFF" w:val="clear"/>
            <w:vAlign w:val="center"/>
          </w:tcPr>
          <w:p>
            <w:r>
              <w:rPr>
                <w:sz w:val="19"/>
                <w:szCs w:val="19"/>
              </w:rPr>
              <w:t xml:space="preserve">WP-0006</w:t>
            </w:r>
          </w:p>
        </w:tc>
        <w:tc>
          <w:tcPr>
            <w:tcW w:type="dxa" w:w="2550"/>
            <w:shd w:fill="FFFFFF" w:val="clear"/>
            <w:vAlign w:val="center"/>
          </w:tcPr>
          <w:p>
            <w:r>
              <w:rPr>
                <w:sz w:val="19"/>
                <w:szCs w:val="19"/>
              </w:rPr>
              <w:t xml:space="preserve">Named-assignment confirmation</w:t>
            </w:r>
          </w:p>
        </w:tc>
        <w:tc>
          <w:tcPr>
            <w:tcW w:type="dxa" w:w="1900"/>
            <w:shd w:fill="FFFFFF" w:val="clear"/>
            <w:vAlign w:val="center"/>
          </w:tcPr>
          <w:p>
            <w:r>
              <w:rPr>
                <w:sz w:val="19"/>
                <w:szCs w:val="19"/>
              </w:rPr>
              <w:t xml:space="preserve">Section 9 — WP-0006 §H</w:t>
            </w:r>
          </w:p>
        </w:tc>
        <w:tc>
          <w:tcPr>
            <w:tcW w:type="dxa" w:w="1950"/>
            <w:shd w:fill="FFFFFF" w:val="clear"/>
            <w:vAlign w:val="center"/>
          </w:tcPr>
          <w:p>
            <w:r>
              <w:rPr>
                <w:sz w:val="19"/>
                <w:szCs w:val="19"/>
              </w:rPr>
              <w:t xml:space="preserve">Not yet accepted</w:t>
            </w:r>
          </w:p>
        </w:tc>
      </w:tr>
    </w:tbl>
    <w:p>
      <w:pPr>
        <w:spacing w:after="160"/>
        <w:jc w:val="both"/>
      </w:pPr>
      <w:r>
        <w:rPr>
          <w:sz w:val="22"/>
          <w:szCs w:val="22"/>
        </w:rPr>
        <w:t xml:space="preserve">All 10 Architecture Requirements trace to a governance disposition and, for the 6 in active scope, to a specific Work Package, verification activity, and acceptance criterion. The remaining 4 (AR-0001, AR-0005, AR-0006, AR-0008, AR-0009, AR-0010 as applicable) are governed but not Work-Package-bound in this baseline; Not Evidenced in Current Baseline for acceptance purposes.</w:t>
      </w:r>
    </w:p>
    <w:p>
      <w:pPr>
        <w:spacing w:after="160"/>
        <w:jc w:val="both"/>
      </w:pPr>
      <w:r>
        <w:rPr>
          <w:i/>
          <w:iCs/>
          <w:sz w:val="20"/>
          <w:szCs w:val="20"/>
        </w:rPr>
        <w:t xml:space="preserve">Evidence Classification: Observed Evidence (Section 10.7 §10.7.6; Section 9).</w:t>
      </w:r>
    </w:p>
    <w:p>
      <w:pPr>
        <w:pStyle w:val="Heading1"/>
        <w:spacing w:after="140" w:before="280"/>
      </w:pPr>
      <w:r>
        <w:t xml:space="preserve">10.11.7 — Executive Acceptance Risk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1750"/>
        <w:gridCol w:w="3050"/>
      </w:tblGrid>
      <w:tr>
        <w:tc>
          <w:tcPr>
            <w:tcW w:type="dxa" w:w="3600"/>
            <w:shd w:fill="1F3864" w:val="clear"/>
            <w:vAlign w:val="center"/>
          </w:tcPr>
          <w:p>
            <w:r>
              <w:rPr>
                <w:b/>
                <w:bCs/>
                <w:sz w:val="19"/>
                <w:szCs w:val="19"/>
              </w:rPr>
              <w:t xml:space="preserve">Risk</w:t>
            </w:r>
          </w:p>
        </w:tc>
        <w:tc>
          <w:tcPr>
            <w:tcW w:type="dxa" w:w="1750"/>
            <w:shd w:fill="1F3864" w:val="clear"/>
            <w:vAlign w:val="center"/>
          </w:tcPr>
          <w:p>
            <w:r>
              <w:rPr>
                <w:b/>
                <w:bCs/>
                <w:sz w:val="19"/>
                <w:szCs w:val="19"/>
              </w:rPr>
              <w:t xml:space="preserve">Severity</w:t>
            </w:r>
          </w:p>
        </w:tc>
        <w:tc>
          <w:tcPr>
            <w:tcW w:type="dxa" w:w="3050"/>
            <w:shd w:fill="1F3864" w:val="clear"/>
            <w:vAlign w:val="center"/>
          </w:tcPr>
          <w:p>
            <w:r>
              <w:rPr>
                <w:b/>
                <w:bCs/>
                <w:sz w:val="19"/>
                <w:szCs w:val="19"/>
              </w:rPr>
              <w:t xml:space="preserve">Acceptance Impact</w:t>
            </w:r>
          </w:p>
        </w:tc>
      </w:tr>
      <w:tr>
        <w:tc>
          <w:tcPr>
            <w:tcW w:type="dxa" w:w="3600"/>
            <w:shd w:fill="F2F2F2" w:val="clear"/>
            <w:vAlign w:val="center"/>
          </w:tcPr>
          <w:p>
            <w:r>
              <w:rPr>
                <w:sz w:val="19"/>
                <w:szCs w:val="19"/>
              </w:rPr>
              <w:t xml:space="preserve">WP-0001 / AR-0002 / EGD-0002 — Documentation drift</w:t>
            </w:r>
          </w:p>
        </w:tc>
        <w:tc>
          <w:tcPr>
            <w:tcW w:type="dxa" w:w="1750"/>
            <w:shd w:fill="F2F2F2" w:val="clear"/>
            <w:vAlign w:val="center"/>
          </w:tcPr>
          <w:p>
            <w:r>
              <w:rPr>
                <w:sz w:val="19"/>
                <w:szCs w:val="19"/>
              </w:rPr>
              <w:t xml:space="preserve">High</w:t>
            </w:r>
          </w:p>
        </w:tc>
        <w:tc>
          <w:tcPr>
            <w:tcW w:type="dxa" w:w="3050"/>
            <w:shd w:fill="F2F2F2" w:val="clear"/>
            <w:vAlign w:val="center"/>
          </w:tcPr>
          <w:p>
            <w:r>
              <w:rPr>
                <w:sz w:val="19"/>
                <w:szCs w:val="19"/>
              </w:rPr>
              <w:t xml:space="preserve">Top-rated confirmed risk; blocks acceptance until published with zero-discrepancy diff</w:t>
            </w:r>
          </w:p>
        </w:tc>
      </w:tr>
      <w:tr>
        <w:tc>
          <w:tcPr>
            <w:tcW w:type="dxa" w:w="3600"/>
            <w:shd w:fill="FFFFFF" w:val="clear"/>
            <w:vAlign w:val="center"/>
          </w:tcPr>
          <w:p>
            <w:r>
              <w:rPr>
                <w:sz w:val="19"/>
                <w:szCs w:val="19"/>
              </w:rPr>
              <w:t xml:space="preserve">WP-0002 / AR-0007 / EGD-0007 — RLS coverage unverified</w:t>
            </w:r>
          </w:p>
        </w:tc>
        <w:tc>
          <w:tcPr>
            <w:tcW w:type="dxa" w:w="1750"/>
            <w:shd w:fill="FFFFFF" w:val="clear"/>
            <w:vAlign w:val="center"/>
          </w:tcPr>
          <w:p>
            <w:r>
              <w:rPr>
                <w:sz w:val="19"/>
                <w:szCs w:val="19"/>
              </w:rPr>
              <w:t xml:space="preserve">Critical-until-verified</w:t>
            </w:r>
          </w:p>
        </w:tc>
        <w:tc>
          <w:tcPr>
            <w:tcW w:type="dxa" w:w="3050"/>
            <w:shd w:fill="FFFFFF" w:val="clear"/>
            <w:vAlign w:val="center"/>
          </w:tcPr>
          <w:p>
            <w:r>
              <w:rPr>
                <w:sz w:val="19"/>
                <w:szCs w:val="19"/>
              </w:rPr>
              <w:t xml:space="preserve">Sole open security unknown; blocks acceptance until coverage confirmed on all 4 table groups</w:t>
            </w:r>
          </w:p>
        </w:tc>
      </w:tr>
      <w:tr>
        <w:tc>
          <w:tcPr>
            <w:tcW w:type="dxa" w:w="3600"/>
            <w:shd w:fill="F2F2F2" w:val="clear"/>
            <w:vAlign w:val="center"/>
          </w:tcPr>
          <w:p>
            <w:r>
              <w:rPr>
                <w:sz w:val="19"/>
                <w:szCs w:val="19"/>
              </w:rPr>
              <w:t xml:space="preserve">WP-0003 / AR-0004 / EGD-0004 — No partitioning on 4 tables</w:t>
            </w:r>
          </w:p>
        </w:tc>
        <w:tc>
          <w:tcPr>
            <w:tcW w:type="dxa" w:w="1750"/>
            <w:shd w:fill="F2F2F2" w:val="clear"/>
            <w:vAlign w:val="center"/>
          </w:tcPr>
          <w:p>
            <w:r>
              <w:rPr>
                <w:sz w:val="19"/>
                <w:szCs w:val="19"/>
              </w:rPr>
              <w:t xml:space="preserve">Medium, growing</w:t>
            </w:r>
          </w:p>
        </w:tc>
        <w:tc>
          <w:tcPr>
            <w:tcW w:type="dxa" w:w="3050"/>
            <w:shd w:fill="F2F2F2" w:val="clear"/>
            <w:vAlign w:val="center"/>
          </w:tcPr>
          <w:p>
            <w:r>
              <w:rPr>
                <w:sz w:val="19"/>
                <w:szCs w:val="19"/>
              </w:rPr>
              <w:t xml:space="preserve">Not immediate; acceptance correctly deferred pending trigger</w:t>
            </w:r>
          </w:p>
        </w:tc>
      </w:tr>
      <w:tr>
        <w:tc>
          <w:tcPr>
            <w:tcW w:type="dxa" w:w="3600"/>
            <w:shd w:fill="FFFFFF" w:val="clear"/>
            <w:vAlign w:val="center"/>
          </w:tcPr>
          <w:p>
            <w:r>
              <w:rPr>
                <w:sz w:val="19"/>
                <w:szCs w:val="19"/>
              </w:rPr>
              <w:t xml:space="preserve">WP-0004 / AR-0003 / EGD-0003 — Direct-FK taxonomy denormalization</w:t>
            </w:r>
          </w:p>
        </w:tc>
        <w:tc>
          <w:tcPr>
            <w:tcW w:type="dxa" w:w="1750"/>
            <w:shd w:fill="FFFFFF" w:val="clear"/>
            <w:vAlign w:val="center"/>
          </w:tcPr>
          <w:p>
            <w:r>
              <w:rPr>
                <w:sz w:val="19"/>
                <w:szCs w:val="19"/>
              </w:rPr>
              <w:t xml:space="preserve">Low currently, Medium if unmonitored</w:t>
            </w:r>
          </w:p>
        </w:tc>
        <w:tc>
          <w:tcPr>
            <w:tcW w:type="dxa" w:w="3050"/>
            <w:shd w:fill="FFFFFF" w:val="clear"/>
            <w:vAlign w:val="center"/>
          </w:tcPr>
          <w:p>
            <w:r>
              <w:rPr>
                <w:sz w:val="19"/>
                <w:szCs w:val="19"/>
              </w:rPr>
              <w:t xml:space="preserve">Stable pending WP-0004; does not block Wave 1</w:t>
            </w:r>
          </w:p>
        </w:tc>
      </w:tr>
      <w:tr>
        <w:tc>
          <w:tcPr>
            <w:tcW w:type="dxa" w:w="3600"/>
            <w:shd w:fill="F2F2F2" w:val="clear"/>
            <w:vAlign w:val="center"/>
          </w:tcPr>
          <w:p>
            <w:r>
              <w:rPr>
                <w:sz w:val="19"/>
                <w:szCs w:val="19"/>
              </w:rPr>
              <w:t xml:space="preserve">WP-0005 / AR-0007 (ext.) — Column-level access on free-text/JSON</w:t>
            </w:r>
          </w:p>
        </w:tc>
        <w:tc>
          <w:tcPr>
            <w:tcW w:type="dxa" w:w="1750"/>
            <w:shd w:fill="F2F2F2" w:val="clear"/>
            <w:vAlign w:val="center"/>
          </w:tcPr>
          <w:p>
            <w:r>
              <w:rPr>
                <w:sz w:val="19"/>
                <w:szCs w:val="19"/>
              </w:rPr>
              <w:t xml:space="preserve">Low–Medium</w:t>
            </w:r>
          </w:p>
        </w:tc>
        <w:tc>
          <w:tcPr>
            <w:tcW w:type="dxa" w:w="3050"/>
            <w:shd w:fill="F2F2F2" w:val="clear"/>
            <w:vAlign w:val="center"/>
          </w:tcPr>
          <w:p>
            <w:r>
              <w:rPr>
                <w:sz w:val="19"/>
                <w:szCs w:val="19"/>
              </w:rPr>
              <w:t xml:space="preserve">Sequenced after WP-0002; does not block Wave 1</w:t>
            </w:r>
          </w:p>
        </w:tc>
      </w:tr>
      <w:tr>
        <w:tc>
          <w:tcPr>
            <w:tcW w:type="dxa" w:w="3600"/>
            <w:shd w:fill="FFFFFF" w:val="clear"/>
            <w:vAlign w:val="center"/>
          </w:tcPr>
          <w:p>
            <w:r>
              <w:rPr>
                <w:sz w:val="19"/>
                <w:szCs w:val="19"/>
              </w:rPr>
              <w:t xml:space="preserve">AR-0006 / EGD-0006 — Supersession/versioning model deferred</w:t>
            </w:r>
          </w:p>
        </w:tc>
        <w:tc>
          <w:tcPr>
            <w:tcW w:type="dxa" w:w="1750"/>
            <w:shd w:fill="FFFFFF" w:val="clear"/>
            <w:vAlign w:val="center"/>
          </w:tcPr>
          <w:p>
            <w:r>
              <w:rPr>
                <w:sz w:val="19"/>
                <w:szCs w:val="19"/>
              </w:rPr>
              <w:t xml:space="preserve">Low currently, High if triggered late</w:t>
            </w:r>
          </w:p>
        </w:tc>
        <w:tc>
          <w:tcPr>
            <w:tcW w:type="dxa" w:w="3050"/>
            <w:shd w:fill="FFFFFF" w:val="clear"/>
            <w:vAlign w:val="center"/>
          </w:tcPr>
          <w:p>
            <w:r>
              <w:rPr>
                <w:sz w:val="19"/>
                <w:szCs w:val="19"/>
              </w:rPr>
              <w:t xml:space="preserve">Not Work-Package-bound; compliance/audit trigger-gated</w:t>
            </w:r>
          </w:p>
        </w:tc>
      </w:tr>
      <w:tr>
        <w:tc>
          <w:tcPr>
            <w:tcW w:type="dxa" w:w="3600"/>
            <w:shd w:fill="F2F2F2" w:val="clear"/>
            <w:vAlign w:val="center"/>
          </w:tcPr>
          <w:p>
            <w:r>
              <w:rPr>
                <w:sz w:val="19"/>
                <w:szCs w:val="19"/>
              </w:rPr>
              <w:t xml:space="preserve">WP-0006 / AP-009 (all EGDs) — Zero named, accountable owners (KPI-08 = 0%)</w:t>
            </w:r>
          </w:p>
        </w:tc>
        <w:tc>
          <w:tcPr>
            <w:tcW w:type="dxa" w:w="1750"/>
            <w:shd w:fill="F2F2F2" w:val="clear"/>
            <w:vAlign w:val="center"/>
          </w:tcPr>
          <w:p>
            <w:r>
              <w:rPr>
                <w:sz w:val="19"/>
                <w:szCs w:val="19"/>
              </w:rPr>
              <w:t xml:space="preserve">Critical (structural precondition)</w:t>
            </w:r>
          </w:p>
        </w:tc>
        <w:tc>
          <w:tcPr>
            <w:tcW w:type="dxa" w:w="3050"/>
            <w:shd w:fill="F2F2F2" w:val="clear"/>
            <w:vAlign w:val="center"/>
          </w:tcPr>
          <w:p>
            <w:r>
              <w:rPr>
                <w:sz w:val="19"/>
                <w:szCs w:val="19"/>
              </w:rPr>
              <w:t xml:space="preserve">Blocks acceptance accountability for every other Work Package</w:t>
            </w:r>
          </w:p>
        </w:tc>
      </w:tr>
    </w:tbl>
    <w:p>
      <w:pPr>
        <w:spacing w:after="160"/>
        <w:jc w:val="both"/>
      </w:pPr>
      <w:r>
        <w:rPr>
          <w:sz w:val="22"/>
          <w:szCs w:val="22"/>
        </w:rPr>
        <w:t xml:space="preserve">This summary reuses the risk register from Section 8 and Section 10.9 without modification. No new risk is introduced; no severity rating is recalculated.</w:t>
      </w:r>
    </w:p>
    <w:p>
      <w:pPr>
        <w:spacing w:after="160"/>
        <w:jc w:val="both"/>
      </w:pPr>
      <w:r>
        <w:rPr>
          <w:i/>
          <w:iCs/>
          <w:sz w:val="20"/>
          <w:szCs w:val="20"/>
        </w:rPr>
        <w:t xml:space="preserve">Evidence Classification: Observed Evidence (Section 10.9 §10.9.2).</w:t>
      </w:r>
    </w:p>
    <w:p>
      <w:pPr>
        <w:pStyle w:val="Heading1"/>
        <w:spacing w:after="140" w:before="280"/>
      </w:pPr>
      <w:r>
        <w:t xml:space="preserve">10.11.8 — Acceptance Readiness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vAlign w:val="center"/>
          </w:tcPr>
          <w:p>
            <w:r>
              <w:rPr>
                <w:b/>
                <w:bCs/>
                <w:sz w:val="19"/>
                <w:szCs w:val="19"/>
              </w:rPr>
              <w:t xml:space="preserve">Readiness Dimension</w:t>
            </w:r>
          </w:p>
        </w:tc>
        <w:tc>
          <w:tcPr>
            <w:tcW w:type="dxa" w:w="6350"/>
            <w:shd w:fill="1F3864" w:val="clear"/>
            <w:vAlign w:val="center"/>
          </w:tcPr>
          <w:p>
            <w:r>
              <w:rPr>
                <w:b/>
                <w:bCs/>
                <w:sz w:val="19"/>
                <w:szCs w:val="19"/>
              </w:rPr>
              <w:t xml:space="preserve">Status</w:t>
            </w:r>
          </w:p>
        </w:tc>
      </w:tr>
      <w:tr>
        <w:tc>
          <w:tcPr>
            <w:tcW w:type="dxa" w:w="3000"/>
            <w:shd w:fill="F2F2F2" w:val="clear"/>
            <w:vAlign w:val="center"/>
          </w:tcPr>
          <w:p>
            <w:r>
              <w:rPr>
                <w:sz w:val="19"/>
                <w:szCs w:val="19"/>
              </w:rPr>
              <w:t xml:space="preserve">Engineering Acceptance Readiness</w:t>
            </w:r>
          </w:p>
        </w:tc>
        <w:tc>
          <w:tcPr>
            <w:tcW w:type="dxa" w:w="6350"/>
            <w:shd w:fill="F2F2F2" w:val="clear"/>
            <w:vAlign w:val="center"/>
          </w:tcPr>
          <w:p>
            <w:r>
              <w:rPr>
                <w:sz w:val="19"/>
                <w:szCs w:val="19"/>
              </w:rPr>
              <w:t xml:space="preserve">Design/blueprint complete for all 6 WPs; 0 executed; 0 accepted</w:t>
            </w:r>
          </w:p>
        </w:tc>
      </w:tr>
      <w:tr>
        <w:tc>
          <w:tcPr>
            <w:tcW w:type="dxa" w:w="3000"/>
            <w:shd w:fill="FFFFFF" w:val="clear"/>
            <w:vAlign w:val="center"/>
          </w:tcPr>
          <w:p>
            <w:r>
              <w:rPr>
                <w:sz w:val="19"/>
                <w:szCs w:val="19"/>
              </w:rPr>
              <w:t xml:space="preserve">Verification Completion</w:t>
            </w:r>
          </w:p>
        </w:tc>
        <w:tc>
          <w:tcPr>
            <w:tcW w:type="dxa" w:w="6350"/>
            <w:shd w:fill="FFFFFF" w:val="clear"/>
            <w:vAlign w:val="center"/>
          </w:tcPr>
          <w:p>
            <w:r>
              <w:rPr>
                <w:sz w:val="19"/>
                <w:szCs w:val="19"/>
              </w:rPr>
              <w:t xml:space="preserve">Fully specified for all 6 WPs (Section 7 §4); WP-0002 rated High readiness; WP-0001/0004/0005 rated Medium; WP-0003 monitoring-ready only</w:t>
            </w:r>
          </w:p>
        </w:tc>
      </w:tr>
      <w:tr>
        <w:tc>
          <w:tcPr>
            <w:tcW w:type="dxa" w:w="3000"/>
            <w:shd w:fill="F2F2F2" w:val="clear"/>
            <w:vAlign w:val="center"/>
          </w:tcPr>
          <w:p>
            <w:r>
              <w:rPr>
                <w:sz w:val="19"/>
                <w:szCs w:val="19"/>
              </w:rPr>
              <w:t xml:space="preserve">Governance Acceptance</w:t>
            </w:r>
          </w:p>
        </w:tc>
        <w:tc>
          <w:tcPr>
            <w:tcW w:type="dxa" w:w="6350"/>
            <w:shd w:fill="F2F2F2" w:val="clear"/>
            <w:vAlign w:val="center"/>
          </w:tcPr>
          <w:p>
            <w:r>
              <w:rPr>
                <w:sz w:val="19"/>
                <w:szCs w:val="19"/>
              </w:rPr>
              <w:t xml:space="preserve">Every governing EGD already dispositioned; no acceptance blocked on new governance; sole gap is ownership (KPI-08)</w:t>
            </w:r>
          </w:p>
        </w:tc>
      </w:tr>
      <w:tr>
        <w:tc>
          <w:tcPr>
            <w:tcW w:type="dxa" w:w="3000"/>
            <w:shd w:fill="FFFFFF" w:val="clear"/>
            <w:vAlign w:val="center"/>
          </w:tcPr>
          <w:p>
            <w:r>
              <w:rPr>
                <w:sz w:val="19"/>
                <w:szCs w:val="19"/>
              </w:rPr>
              <w:t xml:space="preserve">Portfolio Acceptance</w:t>
            </w:r>
          </w:p>
        </w:tc>
        <w:tc>
          <w:tcPr>
            <w:tcW w:type="dxa" w:w="6350"/>
            <w:shd w:fill="FFFFFF" w:val="clear"/>
            <w:vAlign w:val="center"/>
          </w:tcPr>
          <w:p>
            <w:r>
              <w:rPr>
                <w:sz w:val="19"/>
                <w:szCs w:val="19"/>
              </w:rPr>
              <w:t xml:space="preserve">3 of 8 target-state portfolios active and READY WITH CONDITIONS; 5 Reserved for Future Realization Phases</w:t>
            </w:r>
          </w:p>
        </w:tc>
      </w:tr>
      <w:tr>
        <w:tc>
          <w:tcPr>
            <w:tcW w:type="dxa" w:w="3000"/>
            <w:shd w:fill="F2F2F2" w:val="clear"/>
            <w:vAlign w:val="center"/>
          </w:tcPr>
          <w:p>
            <w:r>
              <w:rPr>
                <w:sz w:val="19"/>
                <w:szCs w:val="19"/>
              </w:rPr>
              <w:t xml:space="preserve">Overall Acceptance Position</w:t>
            </w:r>
          </w:p>
        </w:tc>
        <w:tc>
          <w:tcPr>
            <w:tcW w:type="dxa" w:w="6350"/>
            <w:shd w:fill="F2F2F2" w:val="clear"/>
            <w:vAlign w:val="center"/>
          </w:tcPr>
          <w:p>
            <w:r>
              <w:rPr>
                <w:sz w:val="19"/>
                <w:szCs w:val="19"/>
              </w:rPr>
              <w:t xml:space="preserve">READY WITH CONDITIONS — Wave 1 (WP-0002, WP-0006) acceptance-ready immediately upon execution</w:t>
            </w:r>
          </w:p>
        </w:tc>
      </w:tr>
    </w:tbl>
    <w:p>
      <w:pPr>
        <w:spacing w:after="160"/>
        <w:jc w:val="both"/>
      </w:pPr>
      <w:r>
        <w:rPr>
          <w:sz w:val="22"/>
          <w:szCs w:val="22"/>
        </w:rPr>
        <w:t xml:space="preserve">The Enterprise Engineering Acceptance Criteria established in Section 9 provide a complete, evidence-bound gate for all six approved Work Packages: engineering execution is accepted only once architecture conformance, verification, governance, repository integrity, and risk disposition have each been objectively demonstrated. The single outstanding condition, unchanged across every phase of ERP-01 from Phase A.3 through this section, is that named, accountable ownership (KPI-08) has not yet been assigned.</w:t>
      </w:r>
    </w:p>
    <w:p>
      <w:pPr>
        <w:spacing w:after="160"/>
        <w:jc w:val="both"/>
      </w:pPr>
      <w:r>
        <w:rPr>
          <w:i/>
          <w:iCs/>
          <w:sz w:val="20"/>
          <w:szCs w:val="20"/>
        </w:rPr>
        <w:t xml:space="preserve">Evidence Classification: Observed Evidence with Derived Executive Assessment narrative.</w:t>
      </w:r>
    </w:p>
    <w:p>
      <w:pPr>
        <w:pStyle w:val="Heading1"/>
        <w:spacing w:after="140" w:before="280"/>
      </w:pPr>
      <w:r>
        <w:t xml:space="preserve">10.11.9 — Executive Acceptance Decision Matrix</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950"/>
        <w:gridCol w:w="1700"/>
        <w:gridCol w:w="1550"/>
        <w:gridCol w:w="1950"/>
        <w:gridCol w:w="1900"/>
        <w:gridCol w:w="1300"/>
      </w:tblGrid>
      <w:tr>
        <w:tc>
          <w:tcPr>
            <w:tcW w:type="dxa" w:w="1950"/>
            <w:shd w:fill="1F3864" w:val="clear"/>
            <w:vAlign w:val="center"/>
          </w:tcPr>
          <w:p>
            <w:r>
              <w:rPr>
                <w:b/>
                <w:bCs/>
                <w:sz w:val="19"/>
                <w:szCs w:val="19"/>
              </w:rPr>
              <w:t xml:space="preserve">Acceptance Area</w:t>
            </w:r>
          </w:p>
        </w:tc>
        <w:tc>
          <w:tcPr>
            <w:tcW w:type="dxa" w:w="1700"/>
            <w:shd w:fill="1F3864" w:val="clear"/>
            <w:vAlign w:val="center"/>
          </w:tcPr>
          <w:p>
            <w:r>
              <w:rPr>
                <w:b/>
                <w:bCs/>
                <w:sz w:val="19"/>
                <w:szCs w:val="19"/>
              </w:rPr>
              <w:t xml:space="preserve">Evidence Source</w:t>
            </w:r>
          </w:p>
        </w:tc>
        <w:tc>
          <w:tcPr>
            <w:tcW w:type="dxa" w:w="1550"/>
            <w:shd w:fill="1F3864" w:val="clear"/>
            <w:vAlign w:val="center"/>
          </w:tcPr>
          <w:p>
            <w:r>
              <w:rPr>
                <w:b/>
                <w:bCs/>
                <w:sz w:val="19"/>
                <w:szCs w:val="19"/>
              </w:rPr>
              <w:t xml:space="preserve">Current Status</w:t>
            </w:r>
          </w:p>
        </w:tc>
        <w:tc>
          <w:tcPr>
            <w:tcW w:type="dxa" w:w="1950"/>
            <w:shd w:fill="1F3864" w:val="clear"/>
            <w:vAlign w:val="center"/>
          </w:tcPr>
          <w:p>
            <w:r>
              <w:rPr>
                <w:b/>
                <w:bCs/>
                <w:sz w:val="19"/>
                <w:szCs w:val="19"/>
              </w:rPr>
              <w:t xml:space="preserve">Executive Impact</w:t>
            </w:r>
          </w:p>
        </w:tc>
        <w:tc>
          <w:tcPr>
            <w:tcW w:type="dxa" w:w="1900"/>
            <w:shd w:fill="1F3864" w:val="clear"/>
            <w:vAlign w:val="center"/>
          </w:tcPr>
          <w:p>
            <w:r>
              <w:rPr>
                <w:b/>
                <w:bCs/>
                <w:sz w:val="19"/>
                <w:szCs w:val="19"/>
              </w:rPr>
              <w:t xml:space="preserve">Required Executive Action</w:t>
            </w:r>
          </w:p>
        </w:tc>
        <w:tc>
          <w:tcPr>
            <w:tcW w:type="dxa" w:w="1300"/>
            <w:shd w:fill="1F3864" w:val="clear"/>
            <w:vAlign w:val="center"/>
          </w:tcPr>
          <w:p>
            <w:r>
              <w:rPr>
                <w:b/>
                <w:bCs/>
                <w:sz w:val="19"/>
                <w:szCs w:val="19"/>
              </w:rPr>
              <w:t xml:space="preserve">Classification</w:t>
            </w:r>
          </w:p>
        </w:tc>
      </w:tr>
      <w:tr>
        <w:tc>
          <w:tcPr>
            <w:tcW w:type="dxa" w:w="1950"/>
            <w:shd w:fill="F2F2F2" w:val="clear"/>
            <w:vAlign w:val="center"/>
          </w:tcPr>
          <w:p>
            <w:r>
              <w:rPr>
                <w:sz w:val="19"/>
                <w:szCs w:val="19"/>
              </w:rPr>
              <w:t xml:space="preserve">WP-0006 ownership assignment</w:t>
            </w:r>
          </w:p>
        </w:tc>
        <w:tc>
          <w:tcPr>
            <w:tcW w:type="dxa" w:w="1700"/>
            <w:shd w:fill="F2F2F2" w:val="clear"/>
            <w:vAlign w:val="center"/>
          </w:tcPr>
          <w:p>
            <w:r>
              <w:rPr>
                <w:sz w:val="19"/>
                <w:szCs w:val="19"/>
              </w:rPr>
              <w:t xml:space="preserve">Section 9; Section 10.9 (KPI-08)</w:t>
            </w:r>
          </w:p>
        </w:tc>
        <w:tc>
          <w:tcPr>
            <w:tcW w:type="dxa" w:w="1550"/>
            <w:shd w:fill="F2F2F2" w:val="clear"/>
            <w:vAlign w:val="center"/>
          </w:tcPr>
          <w:p>
            <w:r>
              <w:rPr>
                <w:sz w:val="19"/>
                <w:szCs w:val="19"/>
              </w:rPr>
              <w:t xml:space="preserve">0% assigned</w:t>
            </w:r>
          </w:p>
        </w:tc>
        <w:tc>
          <w:tcPr>
            <w:tcW w:type="dxa" w:w="1950"/>
            <w:shd w:fill="F2F2F2" w:val="clear"/>
            <w:vAlign w:val="center"/>
          </w:tcPr>
          <w:p>
            <w:r>
              <w:rPr>
                <w:sz w:val="19"/>
                <w:szCs w:val="19"/>
              </w:rPr>
              <w:t xml:space="preserve">Blocks acceptance accountability program-wide</w:t>
            </w:r>
          </w:p>
        </w:tc>
        <w:tc>
          <w:tcPr>
            <w:tcW w:type="dxa" w:w="1900"/>
            <w:shd w:fill="F2F2F2" w:val="clear"/>
            <w:vAlign w:val="center"/>
          </w:tcPr>
          <w:p>
            <w:r>
              <w:rPr>
                <w:sz w:val="19"/>
                <w:szCs w:val="19"/>
              </w:rPr>
              <w:t xml:space="preserve">Assign named owner per Phase B §9 role definitions</w:t>
            </w:r>
          </w:p>
        </w:tc>
        <w:tc>
          <w:tcPr>
            <w:tcW w:type="dxa" w:w="1300"/>
            <w:shd w:fill="F2F2F2" w:val="clear"/>
            <w:vAlign w:val="center"/>
          </w:tcPr>
          <w:p>
            <w:r>
              <w:rPr>
                <w:sz w:val="19"/>
                <w:szCs w:val="19"/>
              </w:rPr>
              <w:t xml:space="preserve">Observed Evidence</w:t>
            </w:r>
          </w:p>
        </w:tc>
      </w:tr>
      <w:tr>
        <w:tc>
          <w:tcPr>
            <w:tcW w:type="dxa" w:w="1950"/>
            <w:shd w:fill="FFFFFF" w:val="clear"/>
            <w:vAlign w:val="center"/>
          </w:tcPr>
          <w:p>
            <w:r>
              <w:rPr>
                <w:sz w:val="19"/>
                <w:szCs w:val="19"/>
              </w:rPr>
              <w:t xml:space="preserve">WP-0002 RLS verification</w:t>
            </w:r>
          </w:p>
        </w:tc>
        <w:tc>
          <w:tcPr>
            <w:tcW w:type="dxa" w:w="1700"/>
            <w:shd w:fill="FFFFFF" w:val="clear"/>
            <w:vAlign w:val="center"/>
          </w:tcPr>
          <w:p>
            <w:r>
              <w:rPr>
                <w:sz w:val="19"/>
                <w:szCs w:val="19"/>
              </w:rPr>
              <w:t xml:space="preserve">Section 8; Section 9</w:t>
            </w:r>
          </w:p>
        </w:tc>
        <w:tc>
          <w:tcPr>
            <w:tcW w:type="dxa" w:w="1550"/>
            <w:shd w:fill="FFFFFF" w:val="clear"/>
            <w:vAlign w:val="center"/>
          </w:tcPr>
          <w:p>
            <w:r>
              <w:rPr>
                <w:sz w:val="19"/>
                <w:szCs w:val="19"/>
              </w:rPr>
              <w:t xml:space="preserve">Confirmed on 2 of 4 table groups</w:t>
            </w:r>
          </w:p>
        </w:tc>
        <w:tc>
          <w:tcPr>
            <w:tcW w:type="dxa" w:w="1950"/>
            <w:shd w:fill="FFFFFF" w:val="clear"/>
            <w:vAlign w:val="center"/>
          </w:tcPr>
          <w:p>
            <w:r>
              <w:rPr>
                <w:sz w:val="19"/>
                <w:szCs w:val="19"/>
              </w:rPr>
              <w:t xml:space="preserve">Sole open security unknown blocking acceptance</w:t>
            </w:r>
          </w:p>
        </w:tc>
        <w:tc>
          <w:tcPr>
            <w:tcW w:type="dxa" w:w="1900"/>
            <w:shd w:fill="FFFFFF" w:val="clear"/>
            <w:vAlign w:val="center"/>
          </w:tcPr>
          <w:p>
            <w:r>
              <w:rPr>
                <w:sz w:val="19"/>
                <w:szCs w:val="19"/>
              </w:rPr>
              <w:t xml:space="preserve">Authorize WP-0002 execution (Wave 1)</w:t>
            </w:r>
          </w:p>
        </w:tc>
        <w:tc>
          <w:tcPr>
            <w:tcW w:type="dxa" w:w="1300"/>
            <w:shd w:fill="FFFFFF" w:val="clear"/>
            <w:vAlign w:val="center"/>
          </w:tcPr>
          <w:p>
            <w:r>
              <w:rPr>
                <w:sz w:val="19"/>
                <w:szCs w:val="19"/>
              </w:rPr>
              <w:t xml:space="preserve">Observed Evidence</w:t>
            </w:r>
          </w:p>
        </w:tc>
      </w:tr>
      <w:tr>
        <w:tc>
          <w:tcPr>
            <w:tcW w:type="dxa" w:w="1950"/>
            <w:shd w:fill="F2F2F2" w:val="clear"/>
            <w:vAlign w:val="center"/>
          </w:tcPr>
          <w:p>
            <w:r>
              <w:rPr>
                <w:sz w:val="19"/>
                <w:szCs w:val="19"/>
              </w:rPr>
              <w:t xml:space="preserve">WP-0001 documentation revision</w:t>
            </w:r>
          </w:p>
        </w:tc>
        <w:tc>
          <w:tcPr>
            <w:tcW w:type="dxa" w:w="1700"/>
            <w:shd w:fill="F2F2F2" w:val="clear"/>
            <w:vAlign w:val="center"/>
          </w:tcPr>
          <w:p>
            <w:r>
              <w:rPr>
                <w:sz w:val="19"/>
                <w:szCs w:val="19"/>
              </w:rPr>
              <w:t xml:space="preserve">Section 8; Section 9</w:t>
            </w:r>
          </w:p>
        </w:tc>
        <w:tc>
          <w:tcPr>
            <w:tcW w:type="dxa" w:w="1550"/>
            <w:shd w:fill="F2F2F2" w:val="clear"/>
            <w:vAlign w:val="center"/>
          </w:tcPr>
          <w:p>
            <w:r>
              <w:rPr>
                <w:sz w:val="19"/>
                <w:szCs w:val="19"/>
              </w:rPr>
              <w:t xml:space="preserve">Confirmed high risk, not published</w:t>
            </w:r>
          </w:p>
        </w:tc>
        <w:tc>
          <w:tcPr>
            <w:tcW w:type="dxa" w:w="1950"/>
            <w:shd w:fill="F2F2F2" w:val="clear"/>
            <w:vAlign w:val="center"/>
          </w:tcPr>
          <w:p>
            <w:r>
              <w:rPr>
                <w:sz w:val="19"/>
                <w:szCs w:val="19"/>
              </w:rPr>
              <w:t xml:space="preserve">Top-rated confirmed risk blocking acceptance</w:t>
            </w:r>
          </w:p>
        </w:tc>
        <w:tc>
          <w:tcPr>
            <w:tcW w:type="dxa" w:w="1900"/>
            <w:shd w:fill="F2F2F2" w:val="clear"/>
            <w:vAlign w:val="center"/>
          </w:tcPr>
          <w:p>
            <w:r>
              <w:rPr>
                <w:sz w:val="19"/>
                <w:szCs w:val="19"/>
              </w:rPr>
              <w:t xml:space="preserve">Authorize WP-0001 execution (Wave 2)</w:t>
            </w:r>
          </w:p>
        </w:tc>
        <w:tc>
          <w:tcPr>
            <w:tcW w:type="dxa" w:w="1300"/>
            <w:shd w:fill="F2F2F2" w:val="clear"/>
            <w:vAlign w:val="center"/>
          </w:tcPr>
          <w:p>
            <w:r>
              <w:rPr>
                <w:sz w:val="19"/>
                <w:szCs w:val="19"/>
              </w:rPr>
              <w:t xml:space="preserve">Observed Evidence</w:t>
            </w:r>
          </w:p>
        </w:tc>
      </w:tr>
      <w:tr>
        <w:tc>
          <w:tcPr>
            <w:tcW w:type="dxa" w:w="1950"/>
            <w:shd w:fill="FFFFFF" w:val="clear"/>
            <w:vAlign w:val="center"/>
          </w:tcPr>
          <w:p>
            <w:r>
              <w:rPr>
                <w:sz w:val="19"/>
                <w:szCs w:val="19"/>
              </w:rPr>
              <w:t xml:space="preserve">Wave 2 acceptance sequencing</w:t>
            </w:r>
          </w:p>
        </w:tc>
        <w:tc>
          <w:tcPr>
            <w:tcW w:type="dxa" w:w="1700"/>
            <w:shd w:fill="FFFFFF" w:val="clear"/>
            <w:vAlign w:val="center"/>
          </w:tcPr>
          <w:p>
            <w:r>
              <w:rPr>
                <w:sz w:val="19"/>
                <w:szCs w:val="19"/>
              </w:rPr>
              <w:t xml:space="preserve">Section 10.5</w:t>
            </w:r>
          </w:p>
        </w:tc>
        <w:tc>
          <w:tcPr>
            <w:tcW w:type="dxa" w:w="1550"/>
            <w:shd w:fill="FFFFFF" w:val="clear"/>
            <w:vAlign w:val="center"/>
          </w:tcPr>
          <w:p>
            <w:r>
              <w:rPr>
                <w:sz w:val="19"/>
                <w:szCs w:val="19"/>
              </w:rPr>
              <w:t xml:space="preserve">Ready, sequenced</w:t>
            </w:r>
          </w:p>
        </w:tc>
        <w:tc>
          <w:tcPr>
            <w:tcW w:type="dxa" w:w="1950"/>
            <w:shd w:fill="FFFFFF" w:val="clear"/>
            <w:vAlign w:val="center"/>
          </w:tcPr>
          <w:p>
            <w:r>
              <w:rPr>
                <w:sz w:val="19"/>
                <w:szCs w:val="19"/>
              </w:rPr>
              <w:t xml:space="preserve">No blocker; awaits Wave 1</w:t>
            </w:r>
          </w:p>
        </w:tc>
        <w:tc>
          <w:tcPr>
            <w:tcW w:type="dxa" w:w="1900"/>
            <w:shd w:fill="FFFFFF" w:val="clear"/>
            <w:vAlign w:val="center"/>
          </w:tcPr>
          <w:p>
            <w:r>
              <w:rPr>
                <w:sz w:val="19"/>
                <w:szCs w:val="19"/>
              </w:rPr>
              <w:t xml:space="preserve">No action required until Wave 1 closes</w:t>
            </w:r>
          </w:p>
        </w:tc>
        <w:tc>
          <w:tcPr>
            <w:tcW w:type="dxa" w:w="1300"/>
            <w:shd w:fill="FFFFFF" w:val="clear"/>
            <w:vAlign w:val="center"/>
          </w:tcPr>
          <w:p>
            <w:r>
              <w:rPr>
                <w:sz w:val="19"/>
                <w:szCs w:val="19"/>
              </w:rPr>
              <w:t xml:space="preserve">Observed Evidence</w:t>
            </w:r>
          </w:p>
        </w:tc>
      </w:tr>
      <w:tr>
        <w:tc>
          <w:tcPr>
            <w:tcW w:type="dxa" w:w="1950"/>
            <w:shd w:fill="F2F2F2" w:val="clear"/>
            <w:vAlign w:val="center"/>
          </w:tcPr>
          <w:p>
            <w:r>
              <w:rPr>
                <w:sz w:val="19"/>
                <w:szCs w:val="19"/>
              </w:rPr>
              <w:t xml:space="preserve">Wave 3 acceptance trigger</w:t>
            </w:r>
          </w:p>
        </w:tc>
        <w:tc>
          <w:tcPr>
            <w:tcW w:type="dxa" w:w="1700"/>
            <w:shd w:fill="F2F2F2" w:val="clear"/>
            <w:vAlign w:val="center"/>
          </w:tcPr>
          <w:p>
            <w:r>
              <w:rPr>
                <w:sz w:val="19"/>
                <w:szCs w:val="19"/>
              </w:rPr>
              <w:t xml:space="preserve">Section 10.5; EGD-0004</w:t>
            </w:r>
          </w:p>
        </w:tc>
        <w:tc>
          <w:tcPr>
            <w:tcW w:type="dxa" w:w="1550"/>
            <w:shd w:fill="F2F2F2" w:val="clear"/>
            <w:vAlign w:val="center"/>
          </w:tcPr>
          <w:p>
            <w:r>
              <w:rPr>
                <w:sz w:val="19"/>
                <w:szCs w:val="19"/>
              </w:rPr>
              <w:t xml:space="preserve">Not acceptance-ready</w:t>
            </w:r>
          </w:p>
        </w:tc>
        <w:tc>
          <w:tcPr>
            <w:tcW w:type="dxa" w:w="1950"/>
            <w:shd w:fill="F2F2F2" w:val="clear"/>
            <w:vAlign w:val="center"/>
          </w:tcPr>
          <w:p>
            <w:r>
              <w:rPr>
                <w:sz w:val="19"/>
                <w:szCs w:val="19"/>
              </w:rPr>
              <w:t xml:space="preserve">Row-count/growth data not gathered</w:t>
            </w:r>
          </w:p>
        </w:tc>
        <w:tc>
          <w:tcPr>
            <w:tcW w:type="dxa" w:w="1900"/>
            <w:shd w:fill="F2F2F2" w:val="clear"/>
            <w:vAlign w:val="center"/>
          </w:tcPr>
          <w:p>
            <w:r>
              <w:rPr>
                <w:sz w:val="19"/>
                <w:szCs w:val="19"/>
              </w:rPr>
              <w:t xml:space="preserve">Continue quarterly monitoring; no action due</w:t>
            </w:r>
          </w:p>
        </w:tc>
        <w:tc>
          <w:tcPr>
            <w:tcW w:type="dxa" w:w="1300"/>
            <w:shd w:fill="F2F2F2" w:val="clear"/>
            <w:vAlign w:val="center"/>
          </w:tcPr>
          <w:p>
            <w:r>
              <w:rPr>
                <w:sz w:val="19"/>
                <w:szCs w:val="19"/>
              </w:rPr>
              <w:t xml:space="preserve">Observed Evidence</w:t>
            </w:r>
          </w:p>
        </w:tc>
      </w:tr>
      <w:tr>
        <w:tc>
          <w:tcPr>
            <w:tcW w:type="dxa" w:w="1950"/>
            <w:shd w:fill="FFFFFF" w:val="clear"/>
            <w:vAlign w:val="center"/>
          </w:tcPr>
          <w:p>
            <w:r>
              <w:rPr>
                <w:sz w:val="19"/>
                <w:szCs w:val="19"/>
              </w:rPr>
              <w:t xml:space="preserve">Portfolios 3–7 acceptance scope</w:t>
            </w:r>
          </w:p>
        </w:tc>
        <w:tc>
          <w:tcPr>
            <w:tcW w:type="dxa" w:w="1700"/>
            <w:shd w:fill="FFFFFF" w:val="clear"/>
            <w:vAlign w:val="center"/>
          </w:tcPr>
          <w:p>
            <w:r>
              <w:rPr>
                <w:sz w:val="19"/>
                <w:szCs w:val="19"/>
              </w:rPr>
              <w:t xml:space="preserve">Section 10.4</w:t>
            </w:r>
          </w:p>
        </w:tc>
        <w:tc>
          <w:tcPr>
            <w:tcW w:type="dxa" w:w="1550"/>
            <w:shd w:fill="FFFFFF" w:val="clear"/>
            <w:vAlign w:val="center"/>
          </w:tcPr>
          <w:p>
            <w:r>
              <w:rPr>
                <w:sz w:val="19"/>
                <w:szCs w:val="19"/>
              </w:rPr>
              <w:t xml:space="preserve">No approved scope</w:t>
            </w:r>
          </w:p>
        </w:tc>
        <w:tc>
          <w:tcPr>
            <w:tcW w:type="dxa" w:w="1950"/>
            <w:shd w:fill="FFFFFF" w:val="clear"/>
            <w:vAlign w:val="center"/>
          </w:tcPr>
          <w:p>
            <w:r>
              <w:rPr>
                <w:sz w:val="19"/>
                <w:szCs w:val="19"/>
              </w:rPr>
              <w:t xml:space="preserve">No governed acceptance criteria exist</w:t>
            </w:r>
          </w:p>
        </w:tc>
        <w:tc>
          <w:tcPr>
            <w:tcW w:type="dxa" w:w="1900"/>
            <w:shd w:fill="FFFFFF" w:val="clear"/>
            <w:vAlign w:val="center"/>
          </w:tcPr>
          <w:p>
            <w:r>
              <w:rPr>
                <w:sz w:val="19"/>
                <w:szCs w:val="19"/>
              </w:rPr>
              <w:t xml:space="preserve">Do not schedule; requires future realization phase</w:t>
            </w:r>
          </w:p>
        </w:tc>
        <w:tc>
          <w:tcPr>
            <w:tcW w:type="dxa" w:w="1300"/>
            <w:shd w:fill="FFFFFF" w:val="clear"/>
            <w:vAlign w:val="center"/>
          </w:tcPr>
          <w:p>
            <w:r>
              <w:rPr>
                <w:sz w:val="19"/>
                <w:szCs w:val="19"/>
              </w:rPr>
              <w:t xml:space="preserve">Reserved for Future Realization Phases</w:t>
            </w:r>
          </w:p>
        </w:tc>
      </w:tr>
    </w:tbl>
    <w:p>
      <w:pPr>
        <w:spacing w:after="160"/>
        <w:jc w:val="both"/>
      </w:pPr>
      <w:r>
        <w:rPr>
          <w:sz w:val="22"/>
          <w:szCs w:val="22"/>
        </w:rPr>
        <w:t xml:space="preserve">No decision item introduces a new acceptance gate, governance action, or Work Package. Each row reflects an acceptance priority already established in Section 9 and reported unchanged in Sections 10.3–10.9.</w:t>
      </w:r>
    </w:p>
    <w:p>
      <w:pPr>
        <w:spacing w:after="160"/>
        <w:jc w:val="both"/>
      </w:pPr>
      <w:r>
        <w:rPr>
          <w:i/>
          <w:iCs/>
          <w:sz w:val="20"/>
          <w:szCs w:val="20"/>
        </w:rPr>
        <w:t xml:space="preserve">Evidence Classification: Observed Evidence / Reserved for Future Realization Phases as marked.</w:t>
      </w:r>
    </w:p>
    <w:p>
      <w:pPr>
        <w:pStyle w:val="Heading1"/>
        <w:spacing w:after="140" w:before="280"/>
      </w:pPr>
      <w:r>
        <w:t xml:space="preserve">10.11.10 — Executive Conclusion</w:t>
      </w:r>
    </w:p>
    <w:p>
      <w:pPr>
        <w:spacing w:after="160"/>
        <w:jc w:val="both"/>
      </w:pPr>
      <w:r>
        <w:rPr>
          <w:sz w:val="22"/>
          <w:szCs w:val="22"/>
        </w:rPr>
        <w:t xml:space="preserve">The enterprise acceptance posture of ERP-01, consolidated from Section 9 and the Executive Dashboard Suite, is READY WITH CONDITIONS. Acceptance criteria are fully and objectively defined for all six approved Work Packages; none has yet been executed, verified, or accepted. This reflects a program whose acceptance framework is complete, not a program with unresolved acceptance questions.</w:t>
      </w:r>
    </w:p>
    <w:p>
      <w:pPr>
        <w:spacing w:after="160"/>
        <w:jc w:val="both"/>
      </w:pPr>
      <w:r>
        <w:rPr>
          <w:sz w:val="22"/>
          <w:szCs w:val="22"/>
        </w:rPr>
        <w:t xml:space="preserve">Acceptance readiness is highest for Wave 1: WP-0002 and WP-0006 carry no unmet precondition beyond execution itself and can proceed to acceptance immediately once executed. Wave 2 (WP-0001, WP-0004, WP-0005) is ready to follow under the ownership WP-0006 establishes. Wave 3 (WP-0003) remains correctly held at monitoring-ready status pending its external, quantitative trigger.</w:t>
      </w:r>
    </w:p>
    <w:p>
      <w:pPr>
        <w:spacing w:after="160"/>
        <w:jc w:val="both"/>
      </w:pPr>
      <w:r>
        <w:rPr>
          <w:sz w:val="22"/>
          <w:szCs w:val="22"/>
        </w:rPr>
        <w:t xml:space="preserve">Remaining acceptance dependencies are limited to execution itself: no unresolved architecture, governance, or verification-design question stands between the current baseline and acceptance of Wave 1. Executive acceptance confidence is high within the evidenced scope, and unaffected by the five portfolios correctly held as Reserved for Future Realization Phases.</w:t>
      </w:r>
    </w:p>
    <w:p>
      <w:pPr>
        <w:spacing w:after="160"/>
        <w:jc w:val="both"/>
      </w:pPr>
      <w:r>
        <w:rPr>
          <w:sz w:val="22"/>
          <w:szCs w:val="22"/>
        </w:rPr>
        <w:t xml:space="preserve">Recommended acceptance disposition: authorize execution of WP-0002 and WP-0006 as the path to the program's first acceptances, with WP-0006 treated as the precondition for accountable acceptance of every subsequent Work Package. No further acceptance-criteria analysis is required to take this step.</w:t>
      </w:r>
    </w:p>
    <w:p>
      <w:pPr>
        <w:spacing w:after="160"/>
        <w:jc w:val="both"/>
      </w:pPr>
      <w:r>
        <w:rPr>
          <w:i/>
          <w:iCs/>
          <w:sz w:val="20"/>
          <w:szCs w:val="20"/>
        </w:rPr>
        <w:t xml:space="preserve">This conclusion introduces no new architecture, governance decision, acceptance criterion, Work Package, KPI, or certification finding. It is a direct synthesis of findings already approved in ERP-01 Phase A.1 through Phase C Section 10.10.</w:t>
      </w:r>
    </w:p>
    <w:p>
      <w:pPr>
        <w:spacing w:before="300"/>
      </w:pPr>
    </w:p>
    <w:p>
      <w:pPr>
        <w:spacing w:after="160"/>
        <w:jc w:val="both"/>
      </w:pPr>
      <w:r>
        <w:rPr>
          <w:i/>
          <w:iCs/>
          <w:sz w:val="18"/>
          <w:szCs w:val="18"/>
        </w:rPr>
        <w:t xml:space="preserve">End of Section 10.11. This document is internal Enterprise Architecture and engineering governance documentation for the HireRise Career Intelligence Platform. It introduces no new Work Package, Architecture Requirement, Enterprise Governance Decision, Enterprise Resolution, Variance, KPI, acceptance criterion, or readiness score beyond what ERP-01 Phase A.1 through Phase C Section 10.10 already established, and does not represent external audit, assurance, or certification by any third party.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pPr>
      <w:spacing w:after="14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2026-07-09T20:34:35.779Z</dcterms:created>
  <dcterms:modified xsi:type="dcterms:W3CDTF">2026-07-09T20:34:35.793Z</dcterms:modified>
</cp:coreProperties>
</file>

<file path=docProps/custom.xml><?xml version="1.0" encoding="utf-8"?>
<Properties xmlns="http://schemas.openxmlformats.org/officeDocument/2006/custom-properties" xmlns:vt="http://schemas.openxmlformats.org/officeDocument/2006/docPropsVTypes"/>
</file>