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26"/>
          <w:szCs w:val="26"/>
        </w:rPr>
        <w:t xml:space="preserve">ERP-01 — Phase C</w:t>
      </w:r>
    </w:p>
    <w:p>
      <w:pPr>
        <w:spacing w:after="100"/>
      </w:pPr>
      <w:r>
        <w:rPr>
          <w:b/>
          <w:bCs/>
          <w:color w:val="1F3864"/>
          <w:sz w:val="44"/>
          <w:szCs w:val="44"/>
        </w:rPr>
        <w:t xml:space="preserve">Section 10.12</w:t>
      </w:r>
    </w:p>
    <w:p>
      <w:pPr>
        <w:spacing w:after="200"/>
      </w:pPr>
      <w:r>
        <w:rPr>
          <w:b/>
          <w:bCs/>
          <w:sz w:val="32"/>
          <w:szCs w:val="32"/>
        </w:rPr>
        <w:t xml:space="preserve">Executive Readiness Assessment</w:t>
      </w:r>
    </w:p>
    <w:p>
      <w:pPr>
        <w:spacing w:after="60"/>
      </w:pPr>
      <w:r>
        <w:rPr>
          <w:i/>
          <w:iCs/>
          <w:sz w:val="24"/>
          <w:szCs w:val="24"/>
        </w:rPr>
        <w:t xml:space="preserve">HireRise Career Intelligence Platform</w:t>
      </w:r>
    </w:p>
    <w:p>
      <w:pPr>
        <w:spacing w:after="60"/>
      </w:pPr>
      <w:r>
        <w:rPr>
          <w:i/>
          <w:iCs/>
          <w:sz w:val="20"/>
          <w:szCs w:val="20"/>
        </w:rPr>
        <w:t xml:space="preserve">Internal Enterprise Architecture &amp; Engineering Governance Documentation</w:t>
      </w:r>
    </w:p>
    <w:p>
      <w:pPr>
        <w:spacing w:after="300"/>
      </w:pPr>
      <w:r>
        <w:rPr>
          <w:sz w:val="20"/>
          <w:szCs w:val="20"/>
        </w:rPr>
        <w:t xml:space="preserve">Version 1.0 | Status: DRAFT FOR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50"/>
              <w:left w:type="dxa" w:w="150"/>
              <w:bottom w:type="dxa" w:w="150"/>
              <w:right w:type="dxa" w:w="150"/>
            </w:tcMar>
          </w:tcPr>
          <w:p>
            <w:pPr>
              <w:spacing w:after="100"/>
            </w:pPr>
            <w:r>
              <w:rPr>
                <w:b/>
                <w:bCs/>
                <w:sz w:val="20"/>
                <w:szCs w:val="20"/>
              </w:rPr>
              <w:t xml:space="preserve">Document Classification &amp; Scope Notice</w:t>
            </w:r>
          </w:p>
          <w:p>
            <w:pPr>
              <w:spacing w:after="100"/>
            </w:pPr>
            <w:r>
              <w:rPr>
                <w:b w:val="false"/>
                <w:bCs w:val="false"/>
                <w:sz w:val="20"/>
                <w:szCs w:val="20"/>
              </w:rPr>
              <w:t xml:space="preserve">This document is internal Enterprise Architecture and Engineering Governance documentation produced by and for the HireRise engineering function. It is not an external audit, independent assurance report, third-party consulting engagement, or third-party certification. No content in this document should be read as a representation that Deloitte, Gartner, Accenture, PwC, KPMG, or any other external party has reviewed, approved, certified, or audited the ERP-01 program.</w:t>
            </w:r>
          </w:p>
          <w:p>
            <w:pPr>
              <w:spacing w:after="100"/>
            </w:pPr>
            <w:r>
              <w:rPr>
                <w:b w:val="false"/>
                <w:bCs w:val="false"/>
                <w:sz w:val="20"/>
                <w:szCs w:val="20"/>
              </w:rPr>
              <w:t xml:space="preserve">References to an "Enterprise Architecture Board," "Portfolio Governance Board," "Executive Steering Committee," or "PMO Leadership" describe target-state governance roles defined in ERP-01 Phase B §9 and do not imply such bodies currently exist or are currently convened.</w:t>
            </w:r>
          </w:p>
          <w:p>
            <w:pPr>
              <w:spacing w:after="0"/>
            </w:pPr>
            <w:r>
              <w:rPr>
                <w:b w:val="false"/>
                <w:bCs w:val="false"/>
                <w:sz w:val="20"/>
                <w:szCs w:val="20"/>
              </w:rPr>
              <w:t xml:space="preserve">This document reports readiness, not implementation success. Every status is either reused verbatim from an approved ERP-01 finding or a direct, non-speculative consolidation. Where evidence does not exist, this document states "Not Evidenced in Current Baseline." Where content belongs to future scope, it states "Reserved for Future Realization Phases."</w:t>
            </w:r>
          </w:p>
        </w:tc>
      </w:tr>
    </w:tbl>
    <w:p>
      <w:r>
        <w:br w:type="page"/>
      </w:r>
    </w:p>
    <w:p>
      <w:pPr>
        <w:pStyle w:val="Heading1"/>
        <w:spacing w:after="140" w:before="280"/>
      </w:pPr>
      <w:r>
        <w:t xml:space="preserve">10.12.1 — Executive Readiness Overview</w:t>
      </w:r>
    </w:p>
    <w:p>
      <w:pPr>
        <w:spacing w:after="160"/>
        <w:jc w:val="both"/>
      </w:pPr>
      <w:r>
        <w:rPr>
          <w:sz w:val="22"/>
          <w:szCs w:val="22"/>
        </w:rPr>
        <w:t xml:space="preserve">Section 10.10.5 provides a one-page readiness summary as one of several executive viewpoints consolidated within the Section 10.10 capstone repository. Section 10.12 is a different instrument: it is the dedicated, detailed readiness dashboard that Section 10.10.5's summary rests on. Where Section 10.10.5 states a single readiness rating per dimension, Section 10.12 shows the individual pieces of evidence — down to the level of each of the ten Architecture Requirements, nine Enterprise Governance Decisions, and six Work Packages — that those ratings are built from.</w:t>
      </w:r>
    </w:p>
    <w:p>
      <w:pPr>
        <w:spacing w:after="160"/>
        <w:jc w:val="both"/>
      </w:pPr>
      <w:r>
        <w:rPr>
          <w:sz w:val="22"/>
          <w:szCs w:val="22"/>
        </w:rPr>
        <w:t xml:space="preserve">This document does not redefine readiness methodology. It applies no new formula, weighting, or maturity model. Its analytical contribution is exclusively one of granularity and cross-sectional traceability: assembling, in one place, the readiness-relevant evidence that is otherwise distributed across Sections 8, 9, and 10.2 through 10.11.</w:t>
      </w:r>
    </w:p>
    <w:p>
      <w:pPr>
        <w:spacing w:after="160"/>
        <w:jc w:val="both"/>
      </w:pPr>
      <w:r>
        <w:rPr>
          <w:sz w:val="22"/>
          <w:szCs w:val="22"/>
        </w:rPr>
        <w:t xml:space="preserve">The intended use is diagnostic rather than summary: a reader who wants to know why a readiness dimension carries the rating Section 10.10.5 reports can trace that rating to its individual supporting facts here, without needing to open every underlying Phase A, B, and C document separately.</w:t>
      </w:r>
    </w:p>
    <w:p>
      <w:pPr>
        <w:spacing w:after="160"/>
        <w:jc w:val="both"/>
      </w:pPr>
      <w:r>
        <w:rPr>
          <w:i/>
          <w:iCs/>
          <w:sz w:val="20"/>
          <w:szCs w:val="20"/>
        </w:rPr>
        <w:t xml:space="preserve">Evidence Classification: Derived Executive Assessment.</w:t>
      </w:r>
    </w:p>
    <w:p>
      <w:pPr>
        <w:pStyle w:val="Heading1"/>
        <w:spacing w:after="140" w:before="280"/>
      </w:pPr>
      <w:r>
        <w:t xml:space="preserve">10.12.2 — Enterprise Readiness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50"/>
        <w:gridCol w:w="3800"/>
      </w:tblGrid>
      <w:tr>
        <w:tc>
          <w:tcPr>
            <w:tcW w:type="dxa" w:w="2600"/>
            <w:shd w:fill="1F3864" w:val="clear"/>
            <w:vAlign w:val="center"/>
          </w:tcPr>
          <w:p>
            <w:r>
              <w:rPr>
                <w:b/>
                <w:bCs/>
                <w:sz w:val="18"/>
                <w:szCs w:val="18"/>
              </w:rPr>
              <w:t xml:space="preserve">Readiness Dimension</w:t>
            </w:r>
          </w:p>
        </w:tc>
        <w:tc>
          <w:tcPr>
            <w:tcW w:type="dxa" w:w="2950"/>
            <w:shd w:fill="1F3864" w:val="clear"/>
            <w:vAlign w:val="center"/>
          </w:tcPr>
          <w:p>
            <w:r>
              <w:rPr>
                <w:b/>
                <w:bCs/>
                <w:sz w:val="18"/>
                <w:szCs w:val="18"/>
              </w:rPr>
              <w:t xml:space="preserve">Rating</w:t>
            </w:r>
          </w:p>
        </w:tc>
        <w:tc>
          <w:tcPr>
            <w:tcW w:type="dxa" w:w="3800"/>
            <w:shd w:fill="1F3864" w:val="clear"/>
            <w:vAlign w:val="center"/>
          </w:tcPr>
          <w:p>
            <w:r>
              <w:rPr>
                <w:b/>
                <w:bCs/>
                <w:sz w:val="18"/>
                <w:szCs w:val="18"/>
              </w:rPr>
              <w:t xml:space="preserve">Basis (evidence count)</w:t>
            </w:r>
          </w:p>
        </w:tc>
      </w:tr>
      <w:tr>
        <w:tc>
          <w:tcPr>
            <w:tcW w:type="dxa" w:w="2600"/>
            <w:shd w:fill="F2F2F2" w:val="clear"/>
            <w:vAlign w:val="center"/>
          </w:tcPr>
          <w:p>
            <w:r>
              <w:rPr>
                <w:sz w:val="18"/>
                <w:szCs w:val="18"/>
              </w:rPr>
              <w:t xml:space="preserve">Engineering Readiness</w:t>
            </w:r>
          </w:p>
        </w:tc>
        <w:tc>
          <w:tcPr>
            <w:tcW w:type="dxa" w:w="2950"/>
            <w:shd w:fill="F2F2F2" w:val="clear"/>
            <w:vAlign w:val="center"/>
          </w:tcPr>
          <w:p>
            <w:r>
              <w:rPr>
                <w:sz w:val="18"/>
                <w:szCs w:val="18"/>
              </w:rPr>
              <w:t xml:space="preserve">Design-complete, execution-pending</w:t>
            </w:r>
          </w:p>
        </w:tc>
        <w:tc>
          <w:tcPr>
            <w:tcW w:type="dxa" w:w="3800"/>
            <w:shd w:fill="F2F2F2" w:val="clear"/>
            <w:vAlign w:val="center"/>
          </w:tcPr>
          <w:p>
            <w:r>
              <w:rPr>
                <w:sz w:val="18"/>
                <w:szCs w:val="18"/>
              </w:rPr>
              <w:t xml:space="preserve">6 of 6 WPs fully designed and blueprinted; 0 executed</w:t>
            </w:r>
          </w:p>
        </w:tc>
      </w:tr>
      <w:tr>
        <w:tc>
          <w:tcPr>
            <w:tcW w:type="dxa" w:w="2600"/>
            <w:shd w:fill="FFFFFF" w:val="clear"/>
            <w:vAlign w:val="center"/>
          </w:tcPr>
          <w:p>
            <w:r>
              <w:rPr>
                <w:sz w:val="18"/>
                <w:szCs w:val="18"/>
              </w:rPr>
              <w:t xml:space="preserve">Architecture Readiness</w:t>
            </w:r>
          </w:p>
        </w:tc>
        <w:tc>
          <w:tcPr>
            <w:tcW w:type="dxa" w:w="2950"/>
            <w:shd w:fill="FFFFFF" w:val="clear"/>
            <w:vAlign w:val="center"/>
          </w:tcPr>
          <w:p>
            <w:r>
              <w:rPr>
                <w:sz w:val="18"/>
                <w:szCs w:val="18"/>
              </w:rPr>
              <w:t xml:space="preserve">L1–L3 MET; L4–L5 NOT MET</w:t>
            </w:r>
          </w:p>
        </w:tc>
        <w:tc>
          <w:tcPr>
            <w:tcW w:type="dxa" w:w="3800"/>
            <w:shd w:fill="FFFFFF" w:val="clear"/>
            <w:vAlign w:val="center"/>
          </w:tcPr>
          <w:p>
            <w:r>
              <w:rPr>
                <w:sz w:val="18"/>
                <w:szCs w:val="18"/>
              </w:rPr>
              <w:t xml:space="preserve">10 of 10 ARs dispositioned; 3 of 10 already at L4 (met)</w:t>
            </w:r>
          </w:p>
        </w:tc>
      </w:tr>
      <w:tr>
        <w:tc>
          <w:tcPr>
            <w:tcW w:type="dxa" w:w="2600"/>
            <w:shd w:fill="F2F2F2" w:val="clear"/>
            <w:vAlign w:val="center"/>
          </w:tcPr>
          <w:p>
            <w:r>
              <w:rPr>
                <w:sz w:val="18"/>
                <w:szCs w:val="18"/>
              </w:rPr>
              <w:t xml:space="preserve">Repository Readiness</w:t>
            </w:r>
          </w:p>
        </w:tc>
        <w:tc>
          <w:tcPr>
            <w:tcW w:type="dxa" w:w="2950"/>
            <w:shd w:fill="F2F2F2" w:val="clear"/>
            <w:vAlign w:val="center"/>
          </w:tcPr>
          <w:p>
            <w:r>
              <w:rPr>
                <w:sz w:val="18"/>
                <w:szCs w:val="18"/>
              </w:rPr>
              <w:t xml:space="preserve">Partial — 3 of an unscoped set evidenced</w:t>
            </w:r>
          </w:p>
        </w:tc>
        <w:tc>
          <w:tcPr>
            <w:tcW w:type="dxa" w:w="3800"/>
            <w:shd w:fill="F2F2F2" w:val="clear"/>
            <w:vAlign w:val="center"/>
          </w:tcPr>
          <w:p>
            <w:r>
              <w:rPr>
                <w:sz w:val="18"/>
                <w:szCs w:val="18"/>
              </w:rPr>
              <w:t xml:space="preserve">Documentation, Database, Test sound; Backend/Frontend/Infrastructure Not Evidenced</w:t>
            </w:r>
          </w:p>
        </w:tc>
      </w:tr>
      <w:tr>
        <w:tc>
          <w:tcPr>
            <w:tcW w:type="dxa" w:w="2600"/>
            <w:shd w:fill="FFFFFF" w:val="clear"/>
            <w:vAlign w:val="center"/>
          </w:tcPr>
          <w:p>
            <w:r>
              <w:rPr>
                <w:sz w:val="18"/>
                <w:szCs w:val="18"/>
              </w:rPr>
              <w:t xml:space="preserve">Governance Readiness</w:t>
            </w:r>
          </w:p>
        </w:tc>
        <w:tc>
          <w:tcPr>
            <w:tcW w:type="dxa" w:w="2950"/>
            <w:shd w:fill="FFFFFF" w:val="clear"/>
            <w:vAlign w:val="center"/>
          </w:tcPr>
          <w:p>
            <w:r>
              <w:rPr>
                <w:sz w:val="18"/>
                <w:szCs w:val="18"/>
              </w:rPr>
              <w:t xml:space="preserve">Complete — zero undispositioned gaps</w:t>
            </w:r>
          </w:p>
        </w:tc>
        <w:tc>
          <w:tcPr>
            <w:tcW w:type="dxa" w:w="3800"/>
            <w:shd w:fill="FFFFFF" w:val="clear"/>
            <w:vAlign w:val="center"/>
          </w:tcPr>
          <w:p>
            <w:r>
              <w:rPr>
                <w:sz w:val="18"/>
                <w:szCs w:val="18"/>
              </w:rPr>
              <w:t xml:space="preserve">9 of 9 EGDs dispositioned; 10 of 10 ERs recorded</w:t>
            </w:r>
          </w:p>
        </w:tc>
      </w:tr>
      <w:tr>
        <w:tc>
          <w:tcPr>
            <w:tcW w:type="dxa" w:w="2600"/>
            <w:shd w:fill="F2F2F2" w:val="clear"/>
            <w:vAlign w:val="center"/>
          </w:tcPr>
          <w:p>
            <w:r>
              <w:rPr>
                <w:sz w:val="18"/>
                <w:szCs w:val="18"/>
              </w:rPr>
              <w:t xml:space="preserve">Portfolio Readiness</w:t>
            </w:r>
          </w:p>
        </w:tc>
        <w:tc>
          <w:tcPr>
            <w:tcW w:type="dxa" w:w="2950"/>
            <w:shd w:fill="F2F2F2" w:val="clear"/>
            <w:vAlign w:val="center"/>
          </w:tcPr>
          <w:p>
            <w:r>
              <w:rPr>
                <w:sz w:val="18"/>
                <w:szCs w:val="18"/>
              </w:rPr>
              <w:t xml:space="preserve">3 of 8 active, READY WITH CONDITIONS</w:t>
            </w:r>
          </w:p>
        </w:tc>
        <w:tc>
          <w:tcPr>
            <w:tcW w:type="dxa" w:w="3800"/>
            <w:shd w:fill="F2F2F2" w:val="clear"/>
            <w:vAlign w:val="center"/>
          </w:tcPr>
          <w:p>
            <w:r>
              <w:rPr>
                <w:sz w:val="18"/>
                <w:szCs w:val="18"/>
              </w:rPr>
              <w:t xml:space="preserve">Portfolios 1, 2, 8 carry approved scope; 5 Reserved</w:t>
            </w:r>
          </w:p>
        </w:tc>
      </w:tr>
      <w:tr>
        <w:tc>
          <w:tcPr>
            <w:tcW w:type="dxa" w:w="2600"/>
            <w:shd w:fill="FFFFFF" w:val="clear"/>
            <w:vAlign w:val="center"/>
          </w:tcPr>
          <w:p>
            <w:r>
              <w:rPr>
                <w:sz w:val="18"/>
                <w:szCs w:val="18"/>
              </w:rPr>
              <w:t xml:space="preserve">Wave Readiness</w:t>
            </w:r>
          </w:p>
        </w:tc>
        <w:tc>
          <w:tcPr>
            <w:tcW w:type="dxa" w:w="2950"/>
            <w:shd w:fill="FFFFFF" w:val="clear"/>
            <w:vAlign w:val="center"/>
          </w:tcPr>
          <w:p>
            <w:r>
              <w:rPr>
                <w:sz w:val="18"/>
                <w:szCs w:val="18"/>
              </w:rPr>
              <w:t xml:space="preserve">Wave 1 Fully Ready; Wave 2 Ready; Wave 3 Not Ready</w:t>
            </w:r>
          </w:p>
        </w:tc>
        <w:tc>
          <w:tcPr>
            <w:tcW w:type="dxa" w:w="3800"/>
            <w:shd w:fill="FFFFFF" w:val="clear"/>
            <w:vAlign w:val="center"/>
          </w:tcPr>
          <w:p>
            <w:r>
              <w:rPr>
                <w:sz w:val="18"/>
                <w:szCs w:val="18"/>
              </w:rPr>
              <w:t xml:space="preserve">Critical path unblocked from WP-0006 through Production Ready</w:t>
            </w:r>
          </w:p>
        </w:tc>
      </w:tr>
      <w:tr>
        <w:tc>
          <w:tcPr>
            <w:tcW w:type="dxa" w:w="2600"/>
            <w:shd w:fill="F2F2F2" w:val="clear"/>
            <w:vAlign w:val="center"/>
          </w:tcPr>
          <w:p>
            <w:r>
              <w:rPr>
                <w:sz w:val="18"/>
                <w:szCs w:val="18"/>
              </w:rPr>
              <w:t xml:space="preserve">Verification Readiness</w:t>
            </w:r>
          </w:p>
        </w:tc>
        <w:tc>
          <w:tcPr>
            <w:tcW w:type="dxa" w:w="2950"/>
            <w:shd w:fill="F2F2F2" w:val="clear"/>
            <w:vAlign w:val="center"/>
          </w:tcPr>
          <w:p>
            <w:r>
              <w:rPr>
                <w:sz w:val="18"/>
                <w:szCs w:val="18"/>
              </w:rPr>
              <w:t xml:space="preserve">Design-complete, execution-pending</w:t>
            </w:r>
          </w:p>
        </w:tc>
        <w:tc>
          <w:tcPr>
            <w:tcW w:type="dxa" w:w="3800"/>
            <w:shd w:fill="F2F2F2" w:val="clear"/>
            <w:vAlign w:val="center"/>
          </w:tcPr>
          <w:p>
            <w:r>
              <w:rPr>
                <w:sz w:val="18"/>
                <w:szCs w:val="18"/>
              </w:rPr>
              <w:t xml:space="preserve">Verification method defined for all 6 WPs and all 10 ARs</w:t>
            </w:r>
          </w:p>
        </w:tc>
      </w:tr>
      <w:tr>
        <w:tc>
          <w:tcPr>
            <w:tcW w:type="dxa" w:w="2600"/>
            <w:shd w:fill="FFFFFF" w:val="clear"/>
            <w:vAlign w:val="center"/>
          </w:tcPr>
          <w:p>
            <w:r>
              <w:rPr>
                <w:sz w:val="18"/>
                <w:szCs w:val="18"/>
              </w:rPr>
              <w:t xml:space="preserve">Acceptance Readiness</w:t>
            </w:r>
          </w:p>
        </w:tc>
        <w:tc>
          <w:tcPr>
            <w:tcW w:type="dxa" w:w="2950"/>
            <w:shd w:fill="FFFFFF" w:val="clear"/>
            <w:vAlign w:val="center"/>
          </w:tcPr>
          <w:p>
            <w:r>
              <w:rPr>
                <w:sz w:val="18"/>
                <w:szCs w:val="18"/>
              </w:rPr>
              <w:t xml:space="preserve">READY WITH CONDITIONS</w:t>
            </w:r>
          </w:p>
        </w:tc>
        <w:tc>
          <w:tcPr>
            <w:tcW w:type="dxa" w:w="3800"/>
            <w:shd w:fill="FFFFFF" w:val="clear"/>
            <w:vAlign w:val="center"/>
          </w:tcPr>
          <w:p>
            <w:r>
              <w:rPr>
                <w:sz w:val="18"/>
                <w:szCs w:val="18"/>
              </w:rPr>
              <w:t xml:space="preserve">0 of 6 WPs accepted; 2 (WP-0002, WP-0006) acceptance-ready today</w:t>
            </w:r>
          </w:p>
        </w:tc>
      </w:tr>
      <w:tr>
        <w:tc>
          <w:tcPr>
            <w:tcW w:type="dxa" w:w="2600"/>
            <w:shd w:fill="F2F2F2" w:val="clear"/>
            <w:vAlign w:val="center"/>
          </w:tcPr>
          <w:p>
            <w:r>
              <w:rPr>
                <w:sz w:val="18"/>
                <w:szCs w:val="18"/>
              </w:rPr>
              <w:t xml:space="preserve">Risk Readiness</w:t>
            </w:r>
          </w:p>
        </w:tc>
        <w:tc>
          <w:tcPr>
            <w:tcW w:type="dxa" w:w="2950"/>
            <w:shd w:fill="F2F2F2" w:val="clear"/>
            <w:vAlign w:val="center"/>
          </w:tcPr>
          <w:p>
            <w:r>
              <w:rPr>
                <w:sz w:val="18"/>
                <w:szCs w:val="18"/>
              </w:rPr>
              <w:t xml:space="preserve">READY WITH CONDITIONS</w:t>
            </w:r>
          </w:p>
        </w:tc>
        <w:tc>
          <w:tcPr>
            <w:tcW w:type="dxa" w:w="3800"/>
            <w:shd w:fill="F2F2F2" w:val="clear"/>
            <w:vAlign w:val="center"/>
          </w:tcPr>
          <w:p>
            <w:r>
              <w:rPr>
                <w:sz w:val="18"/>
                <w:szCs w:val="18"/>
              </w:rPr>
              <w:t xml:space="preserve">7 risks evidenced; all carry a mitigating WP or monitoring cadence</w:t>
            </w:r>
          </w:p>
        </w:tc>
      </w:tr>
      <w:tr>
        <w:tc>
          <w:tcPr>
            <w:tcW w:type="dxa" w:w="2600"/>
            <w:shd w:fill="FFFFFF" w:val="clear"/>
            <w:vAlign w:val="center"/>
          </w:tcPr>
          <w:p>
            <w:r>
              <w:rPr>
                <w:sz w:val="18"/>
                <w:szCs w:val="18"/>
              </w:rPr>
              <w:t xml:space="preserve">Overall Enterprise Readiness</w:t>
            </w:r>
          </w:p>
        </w:tc>
        <w:tc>
          <w:tcPr>
            <w:tcW w:type="dxa" w:w="2950"/>
            <w:shd w:fill="FFFFFF" w:val="clear"/>
            <w:vAlign w:val="center"/>
          </w:tcPr>
          <w:p>
            <w:r>
              <w:rPr>
                <w:sz w:val="18"/>
                <w:szCs w:val="18"/>
              </w:rPr>
              <w:t xml:space="preserve">READY WITH CONDITIONS</w:t>
            </w:r>
          </w:p>
        </w:tc>
        <w:tc>
          <w:tcPr>
            <w:tcW w:type="dxa" w:w="3800"/>
            <w:shd w:fill="FFFFFF" w:val="clear"/>
            <w:vAlign w:val="center"/>
          </w:tcPr>
          <w:p>
            <w:r>
              <w:rPr>
                <w:sz w:val="18"/>
                <w:szCs w:val="18"/>
              </w:rPr>
              <w:t xml:space="preserve">Single cross-cutting condition: KPI-08 (Ownership Assignment %) = 0%</w:t>
            </w:r>
          </w:p>
        </w:tc>
      </w:tr>
    </w:tbl>
    <w:p>
      <w:pPr>
        <w:spacing w:after="160"/>
        <w:jc w:val="both"/>
      </w:pPr>
      <w:r>
        <w:rPr>
          <w:i/>
          <w:iCs/>
          <w:sz w:val="20"/>
          <w:szCs w:val="20"/>
        </w:rPr>
        <w:t xml:space="preserve">Evidence Classification: Observed Evidence (Section 10.2 §10.2.14; Section 10.10.5).</w:t>
      </w:r>
    </w:p>
    <w:p>
      <w:pPr>
        <w:pStyle w:val="Heading1"/>
        <w:spacing w:after="140" w:before="280"/>
      </w:pPr>
      <w:r>
        <w:t xml:space="preserve">10.12.3 — Engineering Readiness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170"/>
        <w:gridCol w:w="1170"/>
        <w:gridCol w:w="1170"/>
        <w:gridCol w:w="1170"/>
        <w:gridCol w:w="1170"/>
        <w:gridCol w:w="1150"/>
      </w:tblGrid>
      <w:tr>
        <w:tc>
          <w:tcPr>
            <w:tcW w:type="dxa" w:w="2350"/>
            <w:shd w:fill="1F3864" w:val="clear"/>
            <w:vAlign w:val="center"/>
          </w:tcPr>
          <w:p>
            <w:r>
              <w:rPr>
                <w:b/>
                <w:bCs/>
                <w:sz w:val="18"/>
                <w:szCs w:val="18"/>
              </w:rPr>
              <w:t xml:space="preserve">Engineering Facet</w:t>
            </w:r>
          </w:p>
        </w:tc>
        <w:tc>
          <w:tcPr>
            <w:tcW w:type="dxa" w:w="1170"/>
            <w:shd w:fill="1F3864" w:val="clear"/>
            <w:vAlign w:val="center"/>
          </w:tcPr>
          <w:p>
            <w:r>
              <w:rPr>
                <w:b/>
                <w:bCs/>
                <w:sz w:val="18"/>
                <w:szCs w:val="18"/>
              </w:rPr>
              <w:t xml:space="preserve">WP-0001</w:t>
            </w:r>
          </w:p>
        </w:tc>
        <w:tc>
          <w:tcPr>
            <w:tcW w:type="dxa" w:w="1170"/>
            <w:shd w:fill="1F3864" w:val="clear"/>
            <w:vAlign w:val="center"/>
          </w:tcPr>
          <w:p>
            <w:r>
              <w:rPr>
                <w:b/>
                <w:bCs/>
                <w:sz w:val="18"/>
                <w:szCs w:val="18"/>
              </w:rPr>
              <w:t xml:space="preserve">WP-0002</w:t>
            </w:r>
          </w:p>
        </w:tc>
        <w:tc>
          <w:tcPr>
            <w:tcW w:type="dxa" w:w="1170"/>
            <w:shd w:fill="1F3864" w:val="clear"/>
            <w:vAlign w:val="center"/>
          </w:tcPr>
          <w:p>
            <w:r>
              <w:rPr>
                <w:b/>
                <w:bCs/>
                <w:sz w:val="18"/>
                <w:szCs w:val="18"/>
              </w:rPr>
              <w:t xml:space="preserve">WP-0003</w:t>
            </w:r>
          </w:p>
        </w:tc>
        <w:tc>
          <w:tcPr>
            <w:tcW w:type="dxa" w:w="1170"/>
            <w:shd w:fill="1F3864" w:val="clear"/>
            <w:vAlign w:val="center"/>
          </w:tcPr>
          <w:p>
            <w:r>
              <w:rPr>
                <w:b/>
                <w:bCs/>
                <w:sz w:val="18"/>
                <w:szCs w:val="18"/>
              </w:rPr>
              <w:t xml:space="preserve">WP-0004</w:t>
            </w:r>
          </w:p>
        </w:tc>
        <w:tc>
          <w:tcPr>
            <w:tcW w:type="dxa" w:w="1170"/>
            <w:shd w:fill="1F3864" w:val="clear"/>
            <w:vAlign w:val="center"/>
          </w:tcPr>
          <w:p>
            <w:r>
              <w:rPr>
                <w:b/>
                <w:bCs/>
                <w:sz w:val="18"/>
                <w:szCs w:val="18"/>
              </w:rPr>
              <w:t xml:space="preserve">WP-0005</w:t>
            </w:r>
          </w:p>
        </w:tc>
        <w:tc>
          <w:tcPr>
            <w:tcW w:type="dxa" w:w="1150"/>
            <w:shd w:fill="1F3864" w:val="clear"/>
            <w:vAlign w:val="center"/>
          </w:tcPr>
          <w:p>
            <w:r>
              <w:rPr>
                <w:b/>
                <w:bCs/>
                <w:sz w:val="18"/>
                <w:szCs w:val="18"/>
              </w:rPr>
              <w:t xml:space="preserve">WP-0006</w:t>
            </w:r>
          </w:p>
        </w:tc>
      </w:tr>
      <w:tr>
        <w:tc>
          <w:tcPr>
            <w:tcW w:type="dxa" w:w="2350"/>
            <w:shd w:fill="F2F2F2" w:val="clear"/>
            <w:vAlign w:val="center"/>
          </w:tcPr>
          <w:p>
            <w:r>
              <w:rPr>
                <w:sz w:val="18"/>
                <w:szCs w:val="18"/>
              </w:rPr>
              <w:t xml:space="preserve">Engineering Design (Section 4)</w:t>
            </w:r>
          </w:p>
        </w:tc>
        <w:tc>
          <w:tcPr>
            <w:tcW w:type="dxa" w:w="1170"/>
            <w:shd w:fill="F2F2F2" w:val="clear"/>
            <w:vAlign w:val="center"/>
          </w:tcPr>
          <w:p>
            <w:r>
              <w:rPr>
                <w:sz w:val="18"/>
                <w:szCs w:val="18"/>
              </w:rPr>
              <w:t xml:space="preserve">Complete</w:t>
            </w:r>
          </w:p>
        </w:tc>
        <w:tc>
          <w:tcPr>
            <w:tcW w:type="dxa" w:w="1170"/>
            <w:shd w:fill="F2F2F2" w:val="clear"/>
            <w:vAlign w:val="center"/>
          </w:tcPr>
          <w:p>
            <w:r>
              <w:rPr>
                <w:sz w:val="18"/>
                <w:szCs w:val="18"/>
              </w:rPr>
              <w:t xml:space="preserve">Complete</w:t>
            </w:r>
          </w:p>
        </w:tc>
        <w:tc>
          <w:tcPr>
            <w:tcW w:type="dxa" w:w="1170"/>
            <w:shd w:fill="F2F2F2" w:val="clear"/>
            <w:vAlign w:val="center"/>
          </w:tcPr>
          <w:p>
            <w:r>
              <w:rPr>
                <w:sz w:val="18"/>
                <w:szCs w:val="18"/>
              </w:rPr>
              <w:t xml:space="preserve">Complete</w:t>
            </w:r>
          </w:p>
        </w:tc>
        <w:tc>
          <w:tcPr>
            <w:tcW w:type="dxa" w:w="1170"/>
            <w:shd w:fill="F2F2F2" w:val="clear"/>
            <w:vAlign w:val="center"/>
          </w:tcPr>
          <w:p>
            <w:r>
              <w:rPr>
                <w:sz w:val="18"/>
                <w:szCs w:val="18"/>
              </w:rPr>
              <w:t xml:space="preserve">Complete</w:t>
            </w:r>
          </w:p>
        </w:tc>
        <w:tc>
          <w:tcPr>
            <w:tcW w:type="dxa" w:w="1170"/>
            <w:shd w:fill="F2F2F2" w:val="clear"/>
            <w:vAlign w:val="center"/>
          </w:tcPr>
          <w:p>
            <w:r>
              <w:rPr>
                <w:sz w:val="18"/>
                <w:szCs w:val="18"/>
              </w:rPr>
              <w:t xml:space="preserve">Complete</w:t>
            </w:r>
          </w:p>
        </w:tc>
        <w:tc>
          <w:tcPr>
            <w:tcW w:type="dxa" w:w="1150"/>
            <w:shd w:fill="F2F2F2" w:val="clear"/>
            <w:vAlign w:val="center"/>
          </w:tcPr>
          <w:p>
            <w:r>
              <w:rPr>
                <w:sz w:val="18"/>
                <w:szCs w:val="18"/>
              </w:rPr>
              <w:t xml:space="preserve">Complete</w:t>
            </w:r>
          </w:p>
        </w:tc>
      </w:tr>
      <w:tr>
        <w:tc>
          <w:tcPr>
            <w:tcW w:type="dxa" w:w="2350"/>
            <w:shd w:fill="FFFFFF" w:val="clear"/>
            <w:vAlign w:val="center"/>
          </w:tcPr>
          <w:p>
            <w:r>
              <w:rPr>
                <w:sz w:val="18"/>
                <w:szCs w:val="18"/>
              </w:rPr>
              <w:t xml:space="preserve">Implementation Blueprint (Section 5)</w:t>
            </w:r>
          </w:p>
        </w:tc>
        <w:tc>
          <w:tcPr>
            <w:tcW w:type="dxa" w:w="1170"/>
            <w:shd w:fill="FFFFFF" w:val="clear"/>
            <w:vAlign w:val="center"/>
          </w:tcPr>
          <w:p>
            <w:r>
              <w:rPr>
                <w:sz w:val="18"/>
                <w:szCs w:val="18"/>
              </w:rPr>
              <w:t xml:space="preserve">Complete</w:t>
            </w:r>
          </w:p>
        </w:tc>
        <w:tc>
          <w:tcPr>
            <w:tcW w:type="dxa" w:w="1170"/>
            <w:shd w:fill="FFFFFF" w:val="clear"/>
            <w:vAlign w:val="center"/>
          </w:tcPr>
          <w:p>
            <w:r>
              <w:rPr>
                <w:sz w:val="18"/>
                <w:szCs w:val="18"/>
              </w:rPr>
              <w:t xml:space="preserve">Complete</w:t>
            </w:r>
          </w:p>
        </w:tc>
        <w:tc>
          <w:tcPr>
            <w:tcW w:type="dxa" w:w="1170"/>
            <w:shd w:fill="FFFFFF" w:val="clear"/>
            <w:vAlign w:val="center"/>
          </w:tcPr>
          <w:p>
            <w:r>
              <w:rPr>
                <w:sz w:val="18"/>
                <w:szCs w:val="18"/>
              </w:rPr>
              <w:t xml:space="preserve">Complete</w:t>
            </w:r>
          </w:p>
        </w:tc>
        <w:tc>
          <w:tcPr>
            <w:tcW w:type="dxa" w:w="1170"/>
            <w:shd w:fill="FFFFFF" w:val="clear"/>
            <w:vAlign w:val="center"/>
          </w:tcPr>
          <w:p>
            <w:r>
              <w:rPr>
                <w:sz w:val="18"/>
                <w:szCs w:val="18"/>
              </w:rPr>
              <w:t xml:space="preserve">Complete</w:t>
            </w:r>
          </w:p>
        </w:tc>
        <w:tc>
          <w:tcPr>
            <w:tcW w:type="dxa" w:w="1170"/>
            <w:shd w:fill="FFFFFF" w:val="clear"/>
            <w:vAlign w:val="center"/>
          </w:tcPr>
          <w:p>
            <w:r>
              <w:rPr>
                <w:sz w:val="18"/>
                <w:szCs w:val="18"/>
              </w:rPr>
              <w:t xml:space="preserve">Complete</w:t>
            </w:r>
          </w:p>
        </w:tc>
        <w:tc>
          <w:tcPr>
            <w:tcW w:type="dxa" w:w="1150"/>
            <w:shd w:fill="FFFFFF" w:val="clear"/>
            <w:vAlign w:val="center"/>
          </w:tcPr>
          <w:p>
            <w:r>
              <w:rPr>
                <w:sz w:val="18"/>
                <w:szCs w:val="18"/>
              </w:rPr>
              <w:t xml:space="preserve">Complete</w:t>
            </w:r>
          </w:p>
        </w:tc>
      </w:tr>
      <w:tr>
        <w:tc>
          <w:tcPr>
            <w:tcW w:type="dxa" w:w="2350"/>
            <w:shd w:fill="F2F2F2" w:val="clear"/>
            <w:vAlign w:val="center"/>
          </w:tcPr>
          <w:p>
            <w:r>
              <w:rPr>
                <w:sz w:val="18"/>
                <w:szCs w:val="18"/>
              </w:rPr>
              <w:t xml:space="preserve">Repository Engineering (Section 3)</w:t>
            </w:r>
          </w:p>
        </w:tc>
        <w:tc>
          <w:tcPr>
            <w:tcW w:type="dxa" w:w="1170"/>
            <w:shd w:fill="F2F2F2" w:val="clear"/>
            <w:vAlign w:val="center"/>
          </w:tcPr>
          <w:p>
            <w:r>
              <w:rPr>
                <w:sz w:val="18"/>
                <w:szCs w:val="18"/>
              </w:rPr>
              <w:t xml:space="preserve">Documentation</w:t>
            </w:r>
          </w:p>
        </w:tc>
        <w:tc>
          <w:tcPr>
            <w:tcW w:type="dxa" w:w="1170"/>
            <w:shd w:fill="F2F2F2" w:val="clear"/>
            <w:vAlign w:val="center"/>
          </w:tcPr>
          <w:p>
            <w:r>
              <w:rPr>
                <w:sz w:val="18"/>
                <w:szCs w:val="18"/>
              </w:rPr>
              <w:t xml:space="preserve">Database, Test</w:t>
            </w:r>
          </w:p>
        </w:tc>
        <w:tc>
          <w:tcPr>
            <w:tcW w:type="dxa" w:w="1170"/>
            <w:shd w:fill="F2F2F2" w:val="clear"/>
            <w:vAlign w:val="center"/>
          </w:tcPr>
          <w:p>
            <w:r>
              <w:rPr>
                <w:sz w:val="18"/>
                <w:szCs w:val="18"/>
              </w:rPr>
              <w:t xml:space="preserve">Database</w:t>
            </w:r>
          </w:p>
        </w:tc>
        <w:tc>
          <w:tcPr>
            <w:tcW w:type="dxa" w:w="1170"/>
            <w:shd w:fill="F2F2F2" w:val="clear"/>
            <w:vAlign w:val="center"/>
          </w:tcPr>
          <w:p>
            <w:r>
              <w:rPr>
                <w:sz w:val="18"/>
                <w:szCs w:val="18"/>
              </w:rPr>
              <w:t xml:space="preserve">Database, Test</w:t>
            </w:r>
          </w:p>
        </w:tc>
        <w:tc>
          <w:tcPr>
            <w:tcW w:type="dxa" w:w="1170"/>
            <w:shd w:fill="F2F2F2" w:val="clear"/>
            <w:vAlign w:val="center"/>
          </w:tcPr>
          <w:p>
            <w:r>
              <w:rPr>
                <w:sz w:val="18"/>
                <w:szCs w:val="18"/>
              </w:rPr>
              <w:t xml:space="preserve">Database, Test</w:t>
            </w:r>
          </w:p>
        </w:tc>
        <w:tc>
          <w:tcPr>
            <w:tcW w:type="dxa" w:w="1150"/>
            <w:shd w:fill="F2F2F2" w:val="clear"/>
            <w:vAlign w:val="center"/>
          </w:tcPr>
          <w:p>
            <w:r>
              <w:rPr>
                <w:sz w:val="18"/>
                <w:szCs w:val="18"/>
              </w:rPr>
              <w:t xml:space="preserve">Not Applicable</w:t>
            </w:r>
          </w:p>
        </w:tc>
      </w:tr>
      <w:tr>
        <w:tc>
          <w:tcPr>
            <w:tcW w:type="dxa" w:w="2350"/>
            <w:shd w:fill="FFFFFF" w:val="clear"/>
            <w:vAlign w:val="center"/>
          </w:tcPr>
          <w:p>
            <w:r>
              <w:rPr>
                <w:sz w:val="18"/>
                <w:szCs w:val="18"/>
              </w:rPr>
              <w:t xml:space="preserve">Execution Preparedness</w:t>
            </w:r>
          </w:p>
        </w:tc>
        <w:tc>
          <w:tcPr>
            <w:tcW w:type="dxa" w:w="1170"/>
            <w:shd w:fill="FFFFFF" w:val="clear"/>
            <w:vAlign w:val="center"/>
          </w:tcPr>
          <w:p>
            <w:r>
              <w:rPr>
                <w:sz w:val="18"/>
                <w:szCs w:val="18"/>
              </w:rPr>
              <w:t xml:space="preserve">Ready — Wave 2</w:t>
            </w:r>
          </w:p>
        </w:tc>
        <w:tc>
          <w:tcPr>
            <w:tcW w:type="dxa" w:w="1170"/>
            <w:shd w:fill="FFFFFF" w:val="clear"/>
            <w:vAlign w:val="center"/>
          </w:tcPr>
          <w:p>
            <w:r>
              <w:rPr>
                <w:sz w:val="18"/>
                <w:szCs w:val="18"/>
              </w:rPr>
              <w:t xml:space="preserve">Ready — Wave 1</w:t>
            </w:r>
          </w:p>
        </w:tc>
        <w:tc>
          <w:tcPr>
            <w:tcW w:type="dxa" w:w="1170"/>
            <w:shd w:fill="FFFFFF" w:val="clear"/>
            <w:vAlign w:val="center"/>
          </w:tcPr>
          <w:p>
            <w:r>
              <w:rPr>
                <w:sz w:val="18"/>
                <w:szCs w:val="18"/>
              </w:rPr>
              <w:t xml:space="preserve">Trigger-gated</w:t>
            </w:r>
          </w:p>
        </w:tc>
        <w:tc>
          <w:tcPr>
            <w:tcW w:type="dxa" w:w="1170"/>
            <w:shd w:fill="FFFFFF" w:val="clear"/>
            <w:vAlign w:val="center"/>
          </w:tcPr>
          <w:p>
            <w:r>
              <w:rPr>
                <w:sz w:val="18"/>
                <w:szCs w:val="18"/>
              </w:rPr>
              <w:t xml:space="preserve">Ready — Wave 2</w:t>
            </w:r>
          </w:p>
        </w:tc>
        <w:tc>
          <w:tcPr>
            <w:tcW w:type="dxa" w:w="1170"/>
            <w:shd w:fill="FFFFFF" w:val="clear"/>
            <w:vAlign w:val="center"/>
          </w:tcPr>
          <w:p>
            <w:r>
              <w:rPr>
                <w:sz w:val="18"/>
                <w:szCs w:val="18"/>
              </w:rPr>
              <w:t xml:space="preserve">Ready — Wave 2</w:t>
            </w:r>
          </w:p>
        </w:tc>
        <w:tc>
          <w:tcPr>
            <w:tcW w:type="dxa" w:w="1150"/>
            <w:shd w:fill="FFFFFF" w:val="clear"/>
            <w:vAlign w:val="center"/>
          </w:tcPr>
          <w:p>
            <w:r>
              <w:rPr>
                <w:sz w:val="18"/>
                <w:szCs w:val="18"/>
              </w:rPr>
              <w:t xml:space="preserve">Ready — Wave 1</w:t>
            </w:r>
          </w:p>
        </w:tc>
      </w:tr>
    </w:tbl>
    <w:p>
      <w:pPr>
        <w:spacing w:after="160"/>
        <w:jc w:val="both"/>
      </w:pPr>
      <w:r>
        <w:rPr>
          <w:sz w:val="22"/>
          <w:szCs w:val="22"/>
        </w:rPr>
        <w:t xml:space="preserve">All six Work Packages have completed engineering design and implementation blueprinting; none has begun execution (Phase B §12). Execution preparedness is highest for Wave 1 (WP-0002, WP-0006), which carries zero blocking dependency. WP-0003 remains engineering-complete but execution-gated pending its EGD-0004 trigger.</w:t>
      </w:r>
    </w:p>
    <w:p>
      <w:pPr>
        <w:spacing w:after="160"/>
        <w:jc w:val="both"/>
      </w:pPr>
      <w:r>
        <w:rPr>
          <w:i/>
          <w:iCs/>
          <w:sz w:val="20"/>
          <w:szCs w:val="20"/>
        </w:rPr>
        <w:t xml:space="preserve">Evidence Classification: Observed Evidence (Section 4; Section 5; Section 10.3).</w:t>
      </w:r>
    </w:p>
    <w:p>
      <w:pPr>
        <w:pStyle w:val="Heading1"/>
        <w:spacing w:after="140" w:before="280"/>
      </w:pPr>
      <w:r>
        <w:t xml:space="preserve">10.12.4 — Governance Readiness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1F3864" w:val="clear"/>
            <w:vAlign w:val="center"/>
          </w:tcPr>
          <w:p>
            <w:r>
              <w:rPr>
                <w:b/>
                <w:bCs/>
                <w:sz w:val="18"/>
                <w:szCs w:val="18"/>
              </w:rPr>
              <w:t xml:space="preserve">Governance Facet</w:t>
            </w:r>
          </w:p>
        </w:tc>
        <w:tc>
          <w:tcPr>
            <w:tcW w:type="dxa" w:w="6850"/>
            <w:shd w:fill="1F3864" w:val="clear"/>
            <w:vAlign w:val="center"/>
          </w:tcPr>
          <w:p>
            <w:r>
              <w:rPr>
                <w:b/>
                <w:bCs/>
                <w:sz w:val="18"/>
                <w:szCs w:val="18"/>
              </w:rPr>
              <w:t xml:space="preserve">Status</w:t>
            </w:r>
          </w:p>
        </w:tc>
      </w:tr>
      <w:tr>
        <w:tc>
          <w:tcPr>
            <w:tcW w:type="dxa" w:w="2500"/>
            <w:shd w:fill="F2F2F2" w:val="clear"/>
            <w:vAlign w:val="center"/>
          </w:tcPr>
          <w:p>
            <w:r>
              <w:rPr>
                <w:sz w:val="18"/>
                <w:szCs w:val="18"/>
              </w:rPr>
              <w:t xml:space="preserve">Architecture Governance</w:t>
            </w:r>
          </w:p>
        </w:tc>
        <w:tc>
          <w:tcPr>
            <w:tcW w:type="dxa" w:w="6850"/>
            <w:shd w:fill="F2F2F2" w:val="clear"/>
            <w:vAlign w:val="center"/>
          </w:tcPr>
          <w:p>
            <w:r>
              <w:rPr>
                <w:sz w:val="18"/>
                <w:szCs w:val="18"/>
              </w:rPr>
              <w:t xml:space="preserve">10 of 10 Architecture Requirements carry an explicit disposition (Phase A.3 §7–8)</w:t>
            </w:r>
          </w:p>
        </w:tc>
      </w:tr>
      <w:tr>
        <w:tc>
          <w:tcPr>
            <w:tcW w:type="dxa" w:w="2500"/>
            <w:shd w:fill="FFFFFF" w:val="clear"/>
            <w:vAlign w:val="center"/>
          </w:tcPr>
          <w:p>
            <w:r>
              <w:rPr>
                <w:sz w:val="18"/>
                <w:szCs w:val="18"/>
              </w:rPr>
              <w:t xml:space="preserve">Enterprise Governance Decisions</w:t>
            </w:r>
          </w:p>
        </w:tc>
        <w:tc>
          <w:tcPr>
            <w:tcW w:type="dxa" w:w="6850"/>
            <w:shd w:fill="FFFFFF" w:val="clear"/>
            <w:vAlign w:val="center"/>
          </w:tcPr>
          <w:p>
            <w:r>
              <w:rPr>
                <w:sz w:val="18"/>
                <w:szCs w:val="18"/>
              </w:rPr>
              <w:t xml:space="preserve">9 of 9 EGDs recorded: EGD-0001/0004/0005/0006 Deferred; EGD-0002 Accepted (Supersede); EGD-0003 Accepted (conditional); EGD-0007 Accepted (Realize, in progress); EGD-0008/0009 Accepted (standing)</w:t>
            </w:r>
          </w:p>
        </w:tc>
      </w:tr>
      <w:tr>
        <w:tc>
          <w:tcPr>
            <w:tcW w:type="dxa" w:w="2500"/>
            <w:shd w:fill="F2F2F2" w:val="clear"/>
            <w:vAlign w:val="center"/>
          </w:tcPr>
          <w:p>
            <w:r>
              <w:rPr>
                <w:sz w:val="18"/>
                <w:szCs w:val="18"/>
              </w:rPr>
              <w:t xml:space="preserve">Enterprise Resolutions</w:t>
            </w:r>
          </w:p>
        </w:tc>
        <w:tc>
          <w:tcPr>
            <w:tcW w:type="dxa" w:w="6850"/>
            <w:shd w:fill="F2F2F2" w:val="clear"/>
            <w:vAlign w:val="center"/>
          </w:tcPr>
          <w:p>
            <w:r>
              <w:rPr>
                <w:sz w:val="18"/>
                <w:szCs w:val="18"/>
              </w:rPr>
              <w:t xml:space="preserve">10 of 10 ERs recorded, each tracing to its governing AR (Phase A.3 §7)</w:t>
            </w:r>
          </w:p>
        </w:tc>
      </w:tr>
      <w:tr>
        <w:tc>
          <w:tcPr>
            <w:tcW w:type="dxa" w:w="2500"/>
            <w:shd w:fill="FFFFFF" w:val="clear"/>
            <w:vAlign w:val="center"/>
          </w:tcPr>
          <w:p>
            <w:r>
              <w:rPr>
                <w:sz w:val="18"/>
                <w:szCs w:val="18"/>
              </w:rPr>
              <w:t xml:space="preserve">Decision Traceability</w:t>
            </w:r>
          </w:p>
        </w:tc>
        <w:tc>
          <w:tcPr>
            <w:tcW w:type="dxa" w:w="6850"/>
            <w:shd w:fill="FFFFFF" w:val="clear"/>
            <w:vAlign w:val="center"/>
          </w:tcPr>
          <w:p>
            <w:r>
              <w:rPr>
                <w:sz w:val="18"/>
                <w:szCs w:val="18"/>
              </w:rPr>
              <w:t xml:space="preserve">100% of EGDs trace to an AR; 6 of 9 additionally trace to an executing Work Package</w:t>
            </w:r>
          </w:p>
        </w:tc>
      </w:tr>
      <w:tr>
        <w:tc>
          <w:tcPr>
            <w:tcW w:type="dxa" w:w="2500"/>
            <w:shd w:fill="F2F2F2" w:val="clear"/>
            <w:vAlign w:val="center"/>
          </w:tcPr>
          <w:p>
            <w:r>
              <w:rPr>
                <w:sz w:val="18"/>
                <w:szCs w:val="18"/>
              </w:rPr>
              <w:t xml:space="preserve">Executive Oversight</w:t>
            </w:r>
          </w:p>
        </w:tc>
        <w:tc>
          <w:tcPr>
            <w:tcW w:type="dxa" w:w="6850"/>
            <w:shd w:fill="F2F2F2" w:val="clear"/>
            <w:vAlign w:val="center"/>
          </w:tcPr>
          <w:p>
            <w:r>
              <w:rPr>
                <w:sz w:val="18"/>
                <w:szCs w:val="18"/>
              </w:rPr>
              <w:t xml:space="preserve">Not Evidenced in Current Baseline — no chartered Enterprise Architecture Board or Executive Steering Committee is currently convened; oversight roles are target-state (Phase B §9)</w:t>
            </w:r>
          </w:p>
        </w:tc>
      </w:tr>
      <w:tr>
        <w:tc>
          <w:tcPr>
            <w:tcW w:type="dxa" w:w="2500"/>
            <w:shd w:fill="FFFFFF" w:val="clear"/>
            <w:vAlign w:val="center"/>
          </w:tcPr>
          <w:p>
            <w:r>
              <w:rPr>
                <w:sz w:val="18"/>
                <w:szCs w:val="18"/>
              </w:rPr>
              <w:t xml:space="preserve">Governance Accountability</w:t>
            </w:r>
          </w:p>
        </w:tc>
        <w:tc>
          <w:tcPr>
            <w:tcW w:type="dxa" w:w="6850"/>
            <w:shd w:fill="FFFFFF" w:val="clear"/>
            <w:vAlign w:val="center"/>
          </w:tcPr>
          <w:p>
            <w:r>
              <w:rPr>
                <w:sz w:val="18"/>
                <w:szCs w:val="18"/>
              </w:rPr>
              <w:t xml:space="preserve">KPI-08 (Ownership Assignment %) = 0% — no EGD, AR, or WP currently carries a named, accountable individual</w:t>
            </w:r>
          </w:p>
        </w:tc>
      </w:tr>
    </w:tbl>
    <w:p>
      <w:pPr>
        <w:spacing w:after="160"/>
        <w:jc w:val="both"/>
      </w:pPr>
      <w:r>
        <w:rPr>
          <w:sz w:val="22"/>
          <w:szCs w:val="22"/>
        </w:rPr>
        <w:t xml:space="preserve">Governance readiness is materially stronger than executive-oversight readiness: every decision the baseline requires has been made and recorded, but the standing bodies and named individuals who would exercise ongoing oversight of those decisions have not yet been convened or assigned. This distinction — decisions complete, oversight structure not yet populated — is consistent across every governance-facing dashboard in this series and is not a new finding.</w:t>
      </w:r>
    </w:p>
    <w:p>
      <w:pPr>
        <w:spacing w:after="160"/>
        <w:jc w:val="both"/>
      </w:pPr>
      <w:r>
        <w:rPr>
          <w:i/>
          <w:iCs/>
          <w:sz w:val="20"/>
          <w:szCs w:val="20"/>
        </w:rPr>
        <w:t xml:space="preserve">Evidence Classification: Observed Evidence (Phase A.3 §4, §7–8; Section 10.4).</w:t>
      </w:r>
    </w:p>
    <w:p>
      <w:pPr>
        <w:pStyle w:val="Heading1"/>
        <w:spacing w:after="140" w:before="280"/>
      </w:pPr>
      <w:r>
        <w:t xml:space="preserve">10.12.5 — Portfolio and Wave Readiness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c>
          <w:tcPr>
            <w:tcW w:type="dxa" w:w="2900"/>
            <w:shd w:fill="1F3864" w:val="clear"/>
            <w:vAlign w:val="center"/>
          </w:tcPr>
          <w:p>
            <w:r>
              <w:rPr>
                <w:b/>
                <w:bCs/>
                <w:sz w:val="18"/>
                <w:szCs w:val="18"/>
              </w:rPr>
              <w:t xml:space="preserve">Portfolio / Wave</w:t>
            </w:r>
          </w:p>
        </w:tc>
        <w:tc>
          <w:tcPr>
            <w:tcW w:type="dxa" w:w="3200"/>
            <w:shd w:fill="1F3864" w:val="clear"/>
            <w:vAlign w:val="center"/>
          </w:tcPr>
          <w:p>
            <w:r>
              <w:rPr>
                <w:b/>
                <w:bCs/>
                <w:sz w:val="18"/>
                <w:szCs w:val="18"/>
              </w:rPr>
              <w:t xml:space="preserve">Governing Evidence</w:t>
            </w:r>
          </w:p>
        </w:tc>
        <w:tc>
          <w:tcPr>
            <w:tcW w:type="dxa" w:w="3250"/>
            <w:shd w:fill="1F3864" w:val="clear"/>
            <w:vAlign w:val="center"/>
          </w:tcPr>
          <w:p>
            <w:r>
              <w:rPr>
                <w:b/>
                <w:bCs/>
                <w:sz w:val="18"/>
                <w:szCs w:val="18"/>
              </w:rPr>
              <w:t xml:space="preserve">Readiness</w:t>
            </w:r>
          </w:p>
        </w:tc>
      </w:tr>
      <w:tr>
        <w:tc>
          <w:tcPr>
            <w:tcW w:type="dxa" w:w="2900"/>
            <w:shd w:fill="F2F2F2" w:val="clear"/>
            <w:vAlign w:val="center"/>
          </w:tcPr>
          <w:p>
            <w:r>
              <w:rPr>
                <w:sz w:val="18"/>
                <w:szCs w:val="18"/>
              </w:rPr>
              <w:t xml:space="preserve">Portfolio 1 — Enterprise Data Platform</w:t>
            </w:r>
          </w:p>
        </w:tc>
        <w:tc>
          <w:tcPr>
            <w:tcW w:type="dxa" w:w="3200"/>
            <w:shd w:fill="F2F2F2" w:val="clear"/>
            <w:vAlign w:val="center"/>
          </w:tcPr>
          <w:p>
            <w:r>
              <w:rPr>
                <w:sz w:val="18"/>
                <w:szCs w:val="18"/>
              </w:rPr>
              <w:t xml:space="preserve">WP-0001, WP-0003, WP-0004, WP-0005</w:t>
            </w:r>
          </w:p>
        </w:tc>
        <w:tc>
          <w:tcPr>
            <w:tcW w:type="dxa" w:w="3250"/>
            <w:shd w:fill="F2F2F2" w:val="clear"/>
            <w:vAlign w:val="center"/>
          </w:tcPr>
          <w:p>
            <w:r>
              <w:rPr>
                <w:sz w:val="18"/>
                <w:szCs w:val="18"/>
              </w:rPr>
              <w:t xml:space="preserve">READY WITH CONDITIONS</w:t>
            </w:r>
          </w:p>
        </w:tc>
      </w:tr>
      <w:tr>
        <w:tc>
          <w:tcPr>
            <w:tcW w:type="dxa" w:w="2900"/>
            <w:shd w:fill="FFFFFF" w:val="clear"/>
            <w:vAlign w:val="center"/>
          </w:tcPr>
          <w:p>
            <w:r>
              <w:rPr>
                <w:sz w:val="18"/>
                <w:szCs w:val="18"/>
              </w:rPr>
              <w:t xml:space="preserve">Portfolio 2 — Enterprise Security</w:t>
            </w:r>
          </w:p>
        </w:tc>
        <w:tc>
          <w:tcPr>
            <w:tcW w:type="dxa" w:w="3200"/>
            <w:shd w:fill="FFFFFF" w:val="clear"/>
            <w:vAlign w:val="center"/>
          </w:tcPr>
          <w:p>
            <w:r>
              <w:rPr>
                <w:sz w:val="18"/>
                <w:szCs w:val="18"/>
              </w:rPr>
              <w:t xml:space="preserve">WP-0002</w:t>
            </w:r>
          </w:p>
        </w:tc>
        <w:tc>
          <w:tcPr>
            <w:tcW w:type="dxa" w:w="3250"/>
            <w:shd w:fill="FFFFFF" w:val="clear"/>
            <w:vAlign w:val="center"/>
          </w:tcPr>
          <w:p>
            <w:r>
              <w:rPr>
                <w:sz w:val="18"/>
                <w:szCs w:val="18"/>
              </w:rPr>
              <w:t xml:space="preserve">READY WITH CONDITIONS — execute-ready today</w:t>
            </w:r>
          </w:p>
        </w:tc>
      </w:tr>
      <w:tr>
        <w:tc>
          <w:tcPr>
            <w:tcW w:type="dxa" w:w="2900"/>
            <w:shd w:fill="F2F2F2" w:val="clear"/>
            <w:vAlign w:val="center"/>
          </w:tcPr>
          <w:p>
            <w:r>
              <w:rPr>
                <w:sz w:val="18"/>
                <w:szCs w:val="18"/>
              </w:rPr>
              <w:t xml:space="preserve">Portfolio 8 — Governance &amp; Quality</w:t>
            </w:r>
          </w:p>
        </w:tc>
        <w:tc>
          <w:tcPr>
            <w:tcW w:type="dxa" w:w="3200"/>
            <w:shd w:fill="F2F2F2" w:val="clear"/>
            <w:vAlign w:val="center"/>
          </w:tcPr>
          <w:p>
            <w:r>
              <w:rPr>
                <w:sz w:val="18"/>
                <w:szCs w:val="18"/>
              </w:rPr>
              <w:t xml:space="preserve">WP-0006</w:t>
            </w:r>
          </w:p>
        </w:tc>
        <w:tc>
          <w:tcPr>
            <w:tcW w:type="dxa" w:w="3250"/>
            <w:shd w:fill="F2F2F2" w:val="clear"/>
            <w:vAlign w:val="center"/>
          </w:tcPr>
          <w:p>
            <w:r>
              <w:rPr>
                <w:sz w:val="18"/>
                <w:szCs w:val="18"/>
              </w:rPr>
              <w:t xml:space="preserve">READY WITH CONDITIONS — zero-dependency</w:t>
            </w:r>
          </w:p>
        </w:tc>
      </w:tr>
      <w:tr>
        <w:tc>
          <w:tcPr>
            <w:tcW w:type="dxa" w:w="2900"/>
            <w:shd w:fill="FFFFFF" w:val="clear"/>
            <w:vAlign w:val="center"/>
          </w:tcPr>
          <w:p>
            <w:r>
              <w:rPr>
                <w:sz w:val="18"/>
                <w:szCs w:val="18"/>
              </w:rPr>
              <w:t xml:space="preserve">Portfolios 3–7</w:t>
            </w:r>
          </w:p>
        </w:tc>
        <w:tc>
          <w:tcPr>
            <w:tcW w:type="dxa" w:w="3200"/>
            <w:shd w:fill="FFFFFF" w:val="clear"/>
            <w:vAlign w:val="center"/>
          </w:tcPr>
          <w:p>
            <w:r>
              <w:rPr>
                <w:sz w:val="18"/>
                <w:szCs w:val="18"/>
              </w:rPr>
              <w:t xml:space="preserve">No approved AR/EGD scope</w:t>
            </w:r>
          </w:p>
        </w:tc>
        <w:tc>
          <w:tcPr>
            <w:tcW w:type="dxa" w:w="3250"/>
            <w:shd w:fill="FFFFFF" w:val="clear"/>
            <w:vAlign w:val="center"/>
          </w:tcPr>
          <w:p>
            <w:r>
              <w:rPr>
                <w:sz w:val="18"/>
                <w:szCs w:val="18"/>
              </w:rPr>
              <w:t xml:space="preserve">Not Evidenced in Current Baseline; Reserved for Future Realization Phases</w:t>
            </w:r>
          </w:p>
        </w:tc>
      </w:tr>
      <w:tr>
        <w:tc>
          <w:tcPr>
            <w:tcW w:type="dxa" w:w="2900"/>
            <w:shd w:fill="F2F2F2" w:val="clear"/>
            <w:vAlign w:val="center"/>
          </w:tcPr>
          <w:p>
            <w:r>
              <w:rPr>
                <w:sz w:val="18"/>
                <w:szCs w:val="18"/>
              </w:rPr>
              <w:t xml:space="preserve">Wave 1</w:t>
            </w:r>
          </w:p>
        </w:tc>
        <w:tc>
          <w:tcPr>
            <w:tcW w:type="dxa" w:w="3200"/>
            <w:shd w:fill="F2F2F2" w:val="clear"/>
            <w:vAlign w:val="center"/>
          </w:tcPr>
          <w:p>
            <w:r>
              <w:rPr>
                <w:sz w:val="18"/>
                <w:szCs w:val="18"/>
              </w:rPr>
              <w:t xml:space="preserve">WP-0002, WP-0006</w:t>
            </w:r>
          </w:p>
        </w:tc>
        <w:tc>
          <w:tcPr>
            <w:tcW w:type="dxa" w:w="3250"/>
            <w:shd w:fill="F2F2F2" w:val="clear"/>
            <w:vAlign w:val="center"/>
          </w:tcPr>
          <w:p>
            <w:r>
              <w:rPr>
                <w:sz w:val="18"/>
                <w:szCs w:val="18"/>
              </w:rPr>
              <w:t xml:space="preserve">Fully Ready</w:t>
            </w:r>
          </w:p>
        </w:tc>
      </w:tr>
      <w:tr>
        <w:tc>
          <w:tcPr>
            <w:tcW w:type="dxa" w:w="2900"/>
            <w:shd w:fill="FFFFFF" w:val="clear"/>
            <w:vAlign w:val="center"/>
          </w:tcPr>
          <w:p>
            <w:r>
              <w:rPr>
                <w:sz w:val="18"/>
                <w:szCs w:val="18"/>
              </w:rPr>
              <w:t xml:space="preserve">Wave 2</w:t>
            </w:r>
          </w:p>
        </w:tc>
        <w:tc>
          <w:tcPr>
            <w:tcW w:type="dxa" w:w="3200"/>
            <w:shd w:fill="FFFFFF" w:val="clear"/>
            <w:vAlign w:val="center"/>
          </w:tcPr>
          <w:p>
            <w:r>
              <w:rPr>
                <w:sz w:val="18"/>
                <w:szCs w:val="18"/>
              </w:rPr>
              <w:t xml:space="preserve">WP-0001, WP-0004, WP-0005</w:t>
            </w:r>
          </w:p>
        </w:tc>
        <w:tc>
          <w:tcPr>
            <w:tcW w:type="dxa" w:w="3250"/>
            <w:shd w:fill="FFFFFF" w:val="clear"/>
            <w:vAlign w:val="center"/>
          </w:tcPr>
          <w:p>
            <w:r>
              <w:rPr>
                <w:sz w:val="18"/>
                <w:szCs w:val="18"/>
              </w:rPr>
              <w:t xml:space="preserve">Ready, sequenced</w:t>
            </w:r>
          </w:p>
        </w:tc>
      </w:tr>
      <w:tr>
        <w:tc>
          <w:tcPr>
            <w:tcW w:type="dxa" w:w="2900"/>
            <w:shd w:fill="F2F2F2" w:val="clear"/>
            <w:vAlign w:val="center"/>
          </w:tcPr>
          <w:p>
            <w:r>
              <w:rPr>
                <w:sz w:val="18"/>
                <w:szCs w:val="18"/>
              </w:rPr>
              <w:t xml:space="preserve">Wave 3</w:t>
            </w:r>
          </w:p>
        </w:tc>
        <w:tc>
          <w:tcPr>
            <w:tcW w:type="dxa" w:w="3200"/>
            <w:shd w:fill="F2F2F2" w:val="clear"/>
            <w:vAlign w:val="center"/>
          </w:tcPr>
          <w:p>
            <w:r>
              <w:rPr>
                <w:sz w:val="18"/>
                <w:szCs w:val="18"/>
              </w:rPr>
              <w:t xml:space="preserve">WP-0003</w:t>
            </w:r>
          </w:p>
        </w:tc>
        <w:tc>
          <w:tcPr>
            <w:tcW w:type="dxa" w:w="3250"/>
            <w:shd w:fill="F2F2F2" w:val="clear"/>
            <w:vAlign w:val="center"/>
          </w:tcPr>
          <w:p>
            <w:r>
              <w:rPr>
                <w:sz w:val="18"/>
                <w:szCs w:val="18"/>
              </w:rPr>
              <w:t xml:space="preserve">Not Ready — EGD-0004 trigger pending</w:t>
            </w:r>
          </w:p>
        </w:tc>
      </w:tr>
      <w:tr>
        <w:tc>
          <w:tcPr>
            <w:tcW w:type="dxa" w:w="2900"/>
            <w:shd w:fill="FFFFFF" w:val="clear"/>
            <w:vAlign w:val="center"/>
          </w:tcPr>
          <w:p>
            <w:r>
              <w:rPr>
                <w:sz w:val="18"/>
                <w:szCs w:val="18"/>
              </w:rPr>
              <w:t xml:space="preserve">Waves 4–5</w:t>
            </w:r>
          </w:p>
        </w:tc>
        <w:tc>
          <w:tcPr>
            <w:tcW w:type="dxa" w:w="3200"/>
            <w:shd w:fill="FFFFFF" w:val="clear"/>
            <w:vAlign w:val="center"/>
          </w:tcPr>
          <w:p>
            <w:r>
              <w:rPr>
                <w:sz w:val="18"/>
                <w:szCs w:val="18"/>
              </w:rPr>
              <w:t xml:space="preserve">No approved scope</w:t>
            </w:r>
          </w:p>
        </w:tc>
        <w:tc>
          <w:tcPr>
            <w:tcW w:type="dxa" w:w="3250"/>
            <w:shd w:fill="FFFFFF" w:val="clear"/>
            <w:vAlign w:val="center"/>
          </w:tcPr>
          <w:p>
            <w:r>
              <w:rPr>
                <w:sz w:val="18"/>
                <w:szCs w:val="18"/>
              </w:rPr>
              <w:t xml:space="preserve">Not Applicable; Reserved for Future Realization Phases</w:t>
            </w:r>
          </w:p>
        </w:tc>
      </w:tr>
    </w:tbl>
    <w:p>
      <w:pPr>
        <w:spacing w:after="160"/>
        <w:jc w:val="both"/>
      </w:pPr>
      <w:r>
        <w:rPr>
          <w:i/>
          <w:iCs/>
          <w:sz w:val="20"/>
          <w:szCs w:val="20"/>
        </w:rPr>
        <w:t xml:space="preserve">Evidence Classification: Observed Evidence (Section 10.4; Section 10.5).</w:t>
      </w:r>
    </w:p>
    <w:p>
      <w:pPr>
        <w:pStyle w:val="Heading1"/>
        <w:spacing w:after="140" w:before="280"/>
      </w:pPr>
      <w:r>
        <w:t xml:space="preserve">10.12.6 — Readiness Traceability Matrix</w:t>
      </w:r>
    </w:p>
    <w:p>
      <w:pPr>
        <w:spacing w:after="160"/>
        <w:jc w:val="both"/>
      </w:pPr>
      <w:r>
        <w:rPr>
          <w:sz w:val="22"/>
          <w:szCs w:val="22"/>
        </w:rPr>
        <w:t xml:space="preserve">This matrix extends the traceability shown in Section 10.7.6 and Section 10.11.6 to all ten Architecture Requirements, not only the six that are Work-Package-bound, providing the full readiness picture at maximum evidenced granularity.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450"/>
        <w:gridCol w:w="2500"/>
        <w:gridCol w:w="1150"/>
        <w:gridCol w:w="1700"/>
      </w:tblGrid>
      <w:tr>
        <w:tc>
          <w:tcPr>
            <w:tcW w:type="dxa" w:w="1000"/>
            <w:shd w:fill="1F3864" w:val="clear"/>
            <w:vAlign w:val="center"/>
          </w:tcPr>
          <w:p>
            <w:r>
              <w:rPr>
                <w:b/>
                <w:bCs/>
                <w:sz w:val="18"/>
                <w:szCs w:val="18"/>
              </w:rPr>
              <w:t xml:space="preserve">AR</w:t>
            </w:r>
          </w:p>
        </w:tc>
        <w:tc>
          <w:tcPr>
            <w:tcW w:type="dxa" w:w="2100"/>
            <w:shd w:fill="1F3864" w:val="clear"/>
            <w:vAlign w:val="center"/>
          </w:tcPr>
          <w:p>
            <w:r>
              <w:rPr>
                <w:b/>
                <w:bCs/>
                <w:sz w:val="18"/>
                <w:szCs w:val="18"/>
              </w:rPr>
              <w:t xml:space="preserve">EGD</w:t>
            </w:r>
          </w:p>
        </w:tc>
        <w:tc>
          <w:tcPr>
            <w:tcW w:type="dxa" w:w="1450"/>
            <w:shd w:fill="1F3864" w:val="clear"/>
            <w:vAlign w:val="center"/>
          </w:tcPr>
          <w:p>
            <w:r>
              <w:rPr>
                <w:b/>
                <w:bCs/>
                <w:sz w:val="18"/>
                <w:szCs w:val="18"/>
              </w:rPr>
              <w:t xml:space="preserve">WP</w:t>
            </w:r>
          </w:p>
        </w:tc>
        <w:tc>
          <w:tcPr>
            <w:tcW w:type="dxa" w:w="2500"/>
            <w:shd w:fill="1F3864" w:val="clear"/>
            <w:vAlign w:val="center"/>
          </w:tcPr>
          <w:p>
            <w:r>
              <w:rPr>
                <w:b/>
                <w:bCs/>
                <w:sz w:val="18"/>
                <w:szCs w:val="18"/>
              </w:rPr>
              <w:t xml:space="preserve">Verification Method</w:t>
            </w:r>
          </w:p>
        </w:tc>
        <w:tc>
          <w:tcPr>
            <w:tcW w:type="dxa" w:w="1150"/>
            <w:shd w:fill="1F3864" w:val="clear"/>
            <w:vAlign w:val="center"/>
          </w:tcPr>
          <w:p>
            <w:r>
              <w:rPr>
                <w:b/>
                <w:bCs/>
                <w:sz w:val="18"/>
                <w:szCs w:val="18"/>
              </w:rPr>
              <w:t xml:space="preserve">Cert. Level</w:t>
            </w:r>
          </w:p>
        </w:tc>
        <w:tc>
          <w:tcPr>
            <w:tcW w:type="dxa" w:w="1700"/>
            <w:shd w:fill="1F3864" w:val="clear"/>
            <w:vAlign w:val="center"/>
          </w:tcPr>
          <w:p>
            <w:r>
              <w:rPr>
                <w:b/>
                <w:bCs/>
                <w:sz w:val="18"/>
                <w:szCs w:val="18"/>
              </w:rPr>
              <w:t xml:space="preserve">Readiness Status</w:t>
            </w:r>
          </w:p>
        </w:tc>
      </w:tr>
      <w:tr>
        <w:tc>
          <w:tcPr>
            <w:tcW w:type="dxa" w:w="1000"/>
            <w:shd w:fill="F2F2F2" w:val="clear"/>
            <w:vAlign w:val="center"/>
          </w:tcPr>
          <w:p>
            <w:r>
              <w:rPr>
                <w:sz w:val="18"/>
                <w:szCs w:val="18"/>
              </w:rPr>
              <w:t xml:space="preserve">AR-0001</w:t>
            </w:r>
          </w:p>
        </w:tc>
        <w:tc>
          <w:tcPr>
            <w:tcW w:type="dxa" w:w="2100"/>
            <w:shd w:fill="F2F2F2" w:val="clear"/>
            <w:vAlign w:val="center"/>
          </w:tcPr>
          <w:p>
            <w:r>
              <w:rPr>
                <w:sz w:val="18"/>
                <w:szCs w:val="18"/>
              </w:rPr>
              <w:t xml:space="preserve">EGD-0001 (Defer)</w:t>
            </w:r>
          </w:p>
        </w:tc>
        <w:tc>
          <w:tcPr>
            <w:tcW w:type="dxa" w:w="1450"/>
            <w:shd w:fill="F2F2F2" w:val="clear"/>
            <w:vAlign w:val="center"/>
          </w:tcPr>
          <w:p>
            <w:r>
              <w:rPr>
                <w:sz w:val="18"/>
                <w:szCs w:val="18"/>
              </w:rPr>
              <w:t xml:space="preserve">—</w:t>
            </w:r>
          </w:p>
        </w:tc>
        <w:tc>
          <w:tcPr>
            <w:tcW w:type="dxa" w:w="2500"/>
            <w:shd w:fill="F2F2F2" w:val="clear"/>
            <w:vAlign w:val="center"/>
          </w:tcPr>
          <w:p>
            <w:r>
              <w:rPr>
                <w:sz w:val="18"/>
                <w:szCs w:val="18"/>
              </w:rPr>
              <w:t xml:space="preserve">Quarterly trigger check (public table count)</w:t>
            </w:r>
          </w:p>
        </w:tc>
        <w:tc>
          <w:tcPr>
            <w:tcW w:type="dxa" w:w="1150"/>
            <w:shd w:fill="F2F2F2" w:val="clear"/>
            <w:vAlign w:val="center"/>
          </w:tcPr>
          <w:p>
            <w:r>
              <w:rPr>
                <w:sz w:val="18"/>
                <w:szCs w:val="18"/>
              </w:rPr>
              <w:t xml:space="preserve">L3</w:t>
            </w:r>
          </w:p>
        </w:tc>
        <w:tc>
          <w:tcPr>
            <w:tcW w:type="dxa" w:w="1700"/>
            <w:shd w:fill="F2F2F2" w:val="clear"/>
            <w:vAlign w:val="center"/>
          </w:tcPr>
          <w:p>
            <w:r>
              <w:rPr>
                <w:sz w:val="18"/>
                <w:szCs w:val="18"/>
              </w:rPr>
              <w:t xml:space="preserve">Ready — monitored, no action due</w:t>
            </w:r>
          </w:p>
        </w:tc>
      </w:tr>
      <w:tr>
        <w:tc>
          <w:tcPr>
            <w:tcW w:type="dxa" w:w="1000"/>
            <w:shd w:fill="FFFFFF" w:val="clear"/>
            <w:vAlign w:val="center"/>
          </w:tcPr>
          <w:p>
            <w:r>
              <w:rPr>
                <w:sz w:val="18"/>
                <w:szCs w:val="18"/>
              </w:rPr>
              <w:t xml:space="preserve">AR-0002</w:t>
            </w:r>
          </w:p>
        </w:tc>
        <w:tc>
          <w:tcPr>
            <w:tcW w:type="dxa" w:w="2100"/>
            <w:shd w:fill="FFFFFF" w:val="clear"/>
            <w:vAlign w:val="center"/>
          </w:tcPr>
          <w:p>
            <w:r>
              <w:rPr>
                <w:sz w:val="18"/>
                <w:szCs w:val="18"/>
              </w:rPr>
              <w:t xml:space="preserve">EGD-0002 (Supersede)</w:t>
            </w:r>
          </w:p>
        </w:tc>
        <w:tc>
          <w:tcPr>
            <w:tcW w:type="dxa" w:w="1450"/>
            <w:shd w:fill="FFFFFF" w:val="clear"/>
            <w:vAlign w:val="center"/>
          </w:tcPr>
          <w:p>
            <w:r>
              <w:rPr>
                <w:sz w:val="18"/>
                <w:szCs w:val="18"/>
              </w:rPr>
              <w:t xml:space="preserve">WP-0001</w:t>
            </w:r>
          </w:p>
        </w:tc>
        <w:tc>
          <w:tcPr>
            <w:tcW w:type="dxa" w:w="2500"/>
            <w:shd w:fill="FFFFFF" w:val="clear"/>
            <w:vAlign w:val="center"/>
          </w:tcPr>
          <w:p>
            <w:r>
              <w:rPr>
                <w:sz w:val="18"/>
                <w:szCs w:val="18"/>
              </w:rPr>
              <w:t xml:space="preserve">Table inventory diff vs. live schema</w:t>
            </w:r>
          </w:p>
        </w:tc>
        <w:tc>
          <w:tcPr>
            <w:tcW w:type="dxa" w:w="1150"/>
            <w:shd w:fill="FFFFFF" w:val="clear"/>
            <w:vAlign w:val="center"/>
          </w:tcPr>
          <w:p>
            <w:r>
              <w:rPr>
                <w:sz w:val="18"/>
                <w:szCs w:val="18"/>
              </w:rPr>
              <w:t xml:space="preserve">L4 (pending)</w:t>
            </w:r>
          </w:p>
        </w:tc>
        <w:tc>
          <w:tcPr>
            <w:tcW w:type="dxa" w:w="1700"/>
            <w:shd w:fill="FFFFFF" w:val="clear"/>
            <w:vAlign w:val="center"/>
          </w:tcPr>
          <w:p>
            <w:r>
              <w:rPr>
                <w:sz w:val="18"/>
                <w:szCs w:val="18"/>
              </w:rPr>
              <w:t xml:space="preserve">Ready to execute — Wave 2</w:t>
            </w:r>
          </w:p>
        </w:tc>
      </w:tr>
      <w:tr>
        <w:tc>
          <w:tcPr>
            <w:tcW w:type="dxa" w:w="1000"/>
            <w:shd w:fill="F2F2F2" w:val="clear"/>
            <w:vAlign w:val="center"/>
          </w:tcPr>
          <w:p>
            <w:r>
              <w:rPr>
                <w:sz w:val="18"/>
                <w:szCs w:val="18"/>
              </w:rPr>
              <w:t xml:space="preserve">AR-0003</w:t>
            </w:r>
          </w:p>
        </w:tc>
        <w:tc>
          <w:tcPr>
            <w:tcW w:type="dxa" w:w="2100"/>
            <w:shd w:fill="F2F2F2" w:val="clear"/>
            <w:vAlign w:val="center"/>
          </w:tcPr>
          <w:p>
            <w:r>
              <w:rPr>
                <w:sz w:val="18"/>
                <w:szCs w:val="18"/>
              </w:rPr>
              <w:t xml:space="preserve">EGD-0003 (Accept, conditional)</w:t>
            </w:r>
          </w:p>
        </w:tc>
        <w:tc>
          <w:tcPr>
            <w:tcW w:type="dxa" w:w="1450"/>
            <w:shd w:fill="F2F2F2" w:val="clear"/>
            <w:vAlign w:val="center"/>
          </w:tcPr>
          <w:p>
            <w:r>
              <w:rPr>
                <w:sz w:val="18"/>
                <w:szCs w:val="18"/>
              </w:rPr>
              <w:t xml:space="preserve">WP-0004</w:t>
            </w:r>
          </w:p>
        </w:tc>
        <w:tc>
          <w:tcPr>
            <w:tcW w:type="dxa" w:w="2500"/>
            <w:shd w:fill="F2F2F2" w:val="clear"/>
            <w:vAlign w:val="center"/>
          </w:tcPr>
          <w:p>
            <w:r>
              <w:rPr>
                <w:sz w:val="18"/>
                <w:szCs w:val="18"/>
              </w:rPr>
              <w:t xml:space="preserve">Per-release automated denormalization check</w:t>
            </w:r>
          </w:p>
        </w:tc>
        <w:tc>
          <w:tcPr>
            <w:tcW w:type="dxa" w:w="1150"/>
            <w:shd w:fill="F2F2F2" w:val="clear"/>
            <w:vAlign w:val="center"/>
          </w:tcPr>
          <w:p>
            <w:r>
              <w:rPr>
                <w:sz w:val="18"/>
                <w:szCs w:val="18"/>
              </w:rPr>
              <w:t xml:space="preserve">L4 (pending)</w:t>
            </w:r>
          </w:p>
        </w:tc>
        <w:tc>
          <w:tcPr>
            <w:tcW w:type="dxa" w:w="1700"/>
            <w:shd w:fill="F2F2F2" w:val="clear"/>
            <w:vAlign w:val="center"/>
          </w:tcPr>
          <w:p>
            <w:r>
              <w:rPr>
                <w:sz w:val="18"/>
                <w:szCs w:val="18"/>
              </w:rPr>
              <w:t xml:space="preserve">Ready to execute — Wave 2</w:t>
            </w:r>
          </w:p>
        </w:tc>
      </w:tr>
      <w:tr>
        <w:tc>
          <w:tcPr>
            <w:tcW w:type="dxa" w:w="1000"/>
            <w:shd w:fill="FFFFFF" w:val="clear"/>
            <w:vAlign w:val="center"/>
          </w:tcPr>
          <w:p>
            <w:r>
              <w:rPr>
                <w:sz w:val="18"/>
                <w:szCs w:val="18"/>
              </w:rPr>
              <w:t xml:space="preserve">AR-0004</w:t>
            </w:r>
          </w:p>
        </w:tc>
        <w:tc>
          <w:tcPr>
            <w:tcW w:type="dxa" w:w="2100"/>
            <w:shd w:fill="FFFFFF" w:val="clear"/>
            <w:vAlign w:val="center"/>
          </w:tcPr>
          <w:p>
            <w:r>
              <w:rPr>
                <w:sz w:val="18"/>
                <w:szCs w:val="18"/>
              </w:rPr>
              <w:t xml:space="preserve">EGD-0004 (Defer)</w:t>
            </w:r>
          </w:p>
        </w:tc>
        <w:tc>
          <w:tcPr>
            <w:tcW w:type="dxa" w:w="1450"/>
            <w:shd w:fill="FFFFFF" w:val="clear"/>
            <w:vAlign w:val="center"/>
          </w:tcPr>
          <w:p>
            <w:r>
              <w:rPr>
                <w:sz w:val="18"/>
                <w:szCs w:val="18"/>
              </w:rPr>
              <w:t xml:space="preserve">WP-0003</w:t>
            </w:r>
          </w:p>
        </w:tc>
        <w:tc>
          <w:tcPr>
            <w:tcW w:type="dxa" w:w="2500"/>
            <w:shd w:fill="FFFFFF" w:val="clear"/>
            <w:vAlign w:val="center"/>
          </w:tcPr>
          <w:p>
            <w:r>
              <w:rPr>
                <w:sz w:val="18"/>
                <w:szCs w:val="18"/>
              </w:rPr>
              <w:t xml:space="preserve">Quarterly row-count/latency check vs. trigger</w:t>
            </w:r>
          </w:p>
        </w:tc>
        <w:tc>
          <w:tcPr>
            <w:tcW w:type="dxa" w:w="1150"/>
            <w:shd w:fill="FFFFFF" w:val="clear"/>
            <w:vAlign w:val="center"/>
          </w:tcPr>
          <w:p>
            <w:r>
              <w:rPr>
                <w:sz w:val="18"/>
                <w:szCs w:val="18"/>
              </w:rPr>
              <w:t xml:space="preserve">L3</w:t>
            </w:r>
          </w:p>
        </w:tc>
        <w:tc>
          <w:tcPr>
            <w:tcW w:type="dxa" w:w="1700"/>
            <w:shd w:fill="FFFFFF" w:val="clear"/>
            <w:vAlign w:val="center"/>
          </w:tcPr>
          <w:p>
            <w:r>
              <w:rPr>
                <w:sz w:val="18"/>
                <w:szCs w:val="18"/>
              </w:rPr>
              <w:t xml:space="preserve">Not Ready — trigger not fired</w:t>
            </w:r>
          </w:p>
        </w:tc>
      </w:tr>
      <w:tr>
        <w:tc>
          <w:tcPr>
            <w:tcW w:type="dxa" w:w="1000"/>
            <w:shd w:fill="F2F2F2" w:val="clear"/>
            <w:vAlign w:val="center"/>
          </w:tcPr>
          <w:p>
            <w:r>
              <w:rPr>
                <w:sz w:val="18"/>
                <w:szCs w:val="18"/>
              </w:rPr>
              <w:t xml:space="preserve">AR-0005</w:t>
            </w:r>
          </w:p>
        </w:tc>
        <w:tc>
          <w:tcPr>
            <w:tcW w:type="dxa" w:w="2100"/>
            <w:shd w:fill="F2F2F2" w:val="clear"/>
            <w:vAlign w:val="center"/>
          </w:tcPr>
          <w:p>
            <w:r>
              <w:rPr>
                <w:sz w:val="18"/>
                <w:szCs w:val="18"/>
              </w:rPr>
              <w:t xml:space="preserve">EGD-0005 (Defer)</w:t>
            </w:r>
          </w:p>
        </w:tc>
        <w:tc>
          <w:tcPr>
            <w:tcW w:type="dxa" w:w="1450"/>
            <w:shd w:fill="F2F2F2" w:val="clear"/>
            <w:vAlign w:val="center"/>
          </w:tcPr>
          <w:p>
            <w:r>
              <w:rPr>
                <w:sz w:val="18"/>
                <w:szCs w:val="18"/>
              </w:rPr>
              <w:t xml:space="preserve">—</w:t>
            </w:r>
          </w:p>
        </w:tc>
        <w:tc>
          <w:tcPr>
            <w:tcW w:type="dxa" w:w="2500"/>
            <w:shd w:fill="F2F2F2" w:val="clear"/>
            <w:vAlign w:val="center"/>
          </w:tcPr>
          <w:p>
            <w:r>
              <w:rPr>
                <w:sz w:val="18"/>
                <w:szCs w:val="18"/>
              </w:rPr>
              <w:t xml:space="preserve">Product roadmap review</w:t>
            </w:r>
          </w:p>
        </w:tc>
        <w:tc>
          <w:tcPr>
            <w:tcW w:type="dxa" w:w="1150"/>
            <w:shd w:fill="F2F2F2" w:val="clear"/>
            <w:vAlign w:val="center"/>
          </w:tcPr>
          <w:p>
            <w:r>
              <w:rPr>
                <w:sz w:val="18"/>
                <w:szCs w:val="18"/>
              </w:rPr>
              <w:t xml:space="preserve">L3</w:t>
            </w:r>
          </w:p>
        </w:tc>
        <w:tc>
          <w:tcPr>
            <w:tcW w:type="dxa" w:w="1700"/>
            <w:shd w:fill="F2F2F2" w:val="clear"/>
            <w:vAlign w:val="center"/>
          </w:tcPr>
          <w:p>
            <w:r>
              <w:rPr>
                <w:sz w:val="18"/>
                <w:szCs w:val="18"/>
              </w:rPr>
              <w:t xml:space="preserve">Ready — monitored, no action due</w:t>
            </w:r>
          </w:p>
        </w:tc>
      </w:tr>
      <w:tr>
        <w:tc>
          <w:tcPr>
            <w:tcW w:type="dxa" w:w="1000"/>
            <w:shd w:fill="FFFFFF" w:val="clear"/>
            <w:vAlign w:val="center"/>
          </w:tcPr>
          <w:p>
            <w:r>
              <w:rPr>
                <w:sz w:val="18"/>
                <w:szCs w:val="18"/>
              </w:rPr>
              <w:t xml:space="preserve">AR-0006</w:t>
            </w:r>
          </w:p>
        </w:tc>
        <w:tc>
          <w:tcPr>
            <w:tcW w:type="dxa" w:w="2100"/>
            <w:shd w:fill="FFFFFF" w:val="clear"/>
            <w:vAlign w:val="center"/>
          </w:tcPr>
          <w:p>
            <w:r>
              <w:rPr>
                <w:sz w:val="18"/>
                <w:szCs w:val="18"/>
              </w:rPr>
              <w:t xml:space="preserve">EGD-0006 (Defer)</w:t>
            </w:r>
          </w:p>
        </w:tc>
        <w:tc>
          <w:tcPr>
            <w:tcW w:type="dxa" w:w="1450"/>
            <w:shd w:fill="FFFFFF" w:val="clear"/>
            <w:vAlign w:val="center"/>
          </w:tcPr>
          <w:p>
            <w:r>
              <w:rPr>
                <w:sz w:val="18"/>
                <w:szCs w:val="18"/>
              </w:rPr>
              <w:t xml:space="preserve">—</w:t>
            </w:r>
          </w:p>
        </w:tc>
        <w:tc>
          <w:tcPr>
            <w:tcW w:type="dxa" w:w="2500"/>
            <w:shd w:fill="FFFFFF" w:val="clear"/>
            <w:vAlign w:val="center"/>
          </w:tcPr>
          <w:p>
            <w:r>
              <w:rPr>
                <w:sz w:val="18"/>
                <w:szCs w:val="18"/>
              </w:rPr>
              <w:t xml:space="preserve">Compliance/audit scope review</w:t>
            </w:r>
          </w:p>
        </w:tc>
        <w:tc>
          <w:tcPr>
            <w:tcW w:type="dxa" w:w="1150"/>
            <w:shd w:fill="FFFFFF" w:val="clear"/>
            <w:vAlign w:val="center"/>
          </w:tcPr>
          <w:p>
            <w:r>
              <w:rPr>
                <w:sz w:val="18"/>
                <w:szCs w:val="18"/>
              </w:rPr>
              <w:t xml:space="preserve">L3</w:t>
            </w:r>
          </w:p>
        </w:tc>
        <w:tc>
          <w:tcPr>
            <w:tcW w:type="dxa" w:w="1700"/>
            <w:shd w:fill="FFFFFF" w:val="clear"/>
            <w:vAlign w:val="center"/>
          </w:tcPr>
          <w:p>
            <w:r>
              <w:rPr>
                <w:sz w:val="18"/>
                <w:szCs w:val="18"/>
              </w:rPr>
              <w:t xml:space="preserve">Ready — monitored, no action due</w:t>
            </w:r>
          </w:p>
        </w:tc>
      </w:tr>
      <w:tr>
        <w:tc>
          <w:tcPr>
            <w:tcW w:type="dxa" w:w="1000"/>
            <w:shd w:fill="F2F2F2" w:val="clear"/>
            <w:vAlign w:val="center"/>
          </w:tcPr>
          <w:p>
            <w:r>
              <w:rPr>
                <w:sz w:val="18"/>
                <w:szCs w:val="18"/>
              </w:rPr>
              <w:t xml:space="preserve">AR-0007</w:t>
            </w:r>
          </w:p>
        </w:tc>
        <w:tc>
          <w:tcPr>
            <w:tcW w:type="dxa" w:w="2100"/>
            <w:shd w:fill="F2F2F2" w:val="clear"/>
            <w:vAlign w:val="center"/>
          </w:tcPr>
          <w:p>
            <w:r>
              <w:rPr>
                <w:sz w:val="18"/>
                <w:szCs w:val="18"/>
              </w:rPr>
              <w:t xml:space="preserve">EGD-0007 (Realize, in progress)</w:t>
            </w:r>
          </w:p>
        </w:tc>
        <w:tc>
          <w:tcPr>
            <w:tcW w:type="dxa" w:w="1450"/>
            <w:shd w:fill="F2F2F2" w:val="clear"/>
            <w:vAlign w:val="center"/>
          </w:tcPr>
          <w:p>
            <w:r>
              <w:rPr>
                <w:sz w:val="18"/>
                <w:szCs w:val="18"/>
              </w:rPr>
              <w:t xml:space="preserve">WP-0002, WP-0005</w:t>
            </w:r>
          </w:p>
        </w:tc>
        <w:tc>
          <w:tcPr>
            <w:tcW w:type="dxa" w:w="2500"/>
            <w:shd w:fill="F2F2F2" w:val="clear"/>
            <w:vAlign w:val="center"/>
          </w:tcPr>
          <w:p>
            <w:r>
              <w:rPr>
                <w:sz w:val="18"/>
                <w:szCs w:val="18"/>
              </w:rPr>
              <w:t xml:space="preserve">Written RLS status + policy list per table</w:t>
            </w:r>
          </w:p>
        </w:tc>
        <w:tc>
          <w:tcPr>
            <w:tcW w:type="dxa" w:w="1150"/>
            <w:shd w:fill="F2F2F2" w:val="clear"/>
            <w:vAlign w:val="center"/>
          </w:tcPr>
          <w:p>
            <w:r>
              <w:rPr>
                <w:sz w:val="18"/>
                <w:szCs w:val="18"/>
              </w:rPr>
              <w:t xml:space="preserve">L4 (pending)</w:t>
            </w:r>
          </w:p>
        </w:tc>
        <w:tc>
          <w:tcPr>
            <w:tcW w:type="dxa" w:w="1700"/>
            <w:shd w:fill="F2F2F2" w:val="clear"/>
            <w:vAlign w:val="center"/>
          </w:tcPr>
          <w:p>
            <w:r>
              <w:rPr>
                <w:sz w:val="18"/>
                <w:szCs w:val="18"/>
              </w:rPr>
              <w:t xml:space="preserve">Ready to execute — Wave 1 / Wave 2</w:t>
            </w:r>
          </w:p>
        </w:tc>
      </w:tr>
      <w:tr>
        <w:tc>
          <w:tcPr>
            <w:tcW w:type="dxa" w:w="1000"/>
            <w:shd w:fill="FFFFFF" w:val="clear"/>
            <w:vAlign w:val="center"/>
          </w:tcPr>
          <w:p>
            <w:r>
              <w:rPr>
                <w:sz w:val="18"/>
                <w:szCs w:val="18"/>
              </w:rPr>
              <w:t xml:space="preserve">AR-0008</w:t>
            </w:r>
          </w:p>
        </w:tc>
        <w:tc>
          <w:tcPr>
            <w:tcW w:type="dxa" w:w="2100"/>
            <w:shd w:fill="FFFFFF" w:val="clear"/>
            <w:vAlign w:val="center"/>
          </w:tcPr>
          <w:p>
            <w:r>
              <w:rPr>
                <w:sz w:val="18"/>
                <w:szCs w:val="18"/>
              </w:rPr>
              <w:t xml:space="preserve">EGD-0008 (Accept, standing)</w:t>
            </w:r>
          </w:p>
        </w:tc>
        <w:tc>
          <w:tcPr>
            <w:tcW w:type="dxa" w:w="1450"/>
            <w:shd w:fill="FFFFFF" w:val="clear"/>
            <w:vAlign w:val="center"/>
          </w:tcPr>
          <w:p>
            <w:r>
              <w:rPr>
                <w:sz w:val="18"/>
                <w:szCs w:val="18"/>
              </w:rPr>
              <w:t xml:space="preserve">—</w:t>
            </w:r>
          </w:p>
        </w:tc>
        <w:tc>
          <w:tcPr>
            <w:tcW w:type="dxa" w:w="2500"/>
            <w:shd w:fill="FFFFFF" w:val="clear"/>
            <w:vAlign w:val="center"/>
          </w:tcPr>
          <w:p>
            <w:r>
              <w:rPr>
                <w:sz w:val="18"/>
                <w:szCs w:val="18"/>
              </w:rPr>
              <w:t xml:space="preserve">Schema audit (standing)</w:t>
            </w:r>
          </w:p>
        </w:tc>
        <w:tc>
          <w:tcPr>
            <w:tcW w:type="dxa" w:w="1150"/>
            <w:shd w:fill="FFFFFF" w:val="clear"/>
            <w:vAlign w:val="center"/>
          </w:tcPr>
          <w:p>
            <w:r>
              <w:rPr>
                <w:sz w:val="18"/>
                <w:szCs w:val="18"/>
              </w:rPr>
              <w:t xml:space="preserve">L4 (met)</w:t>
            </w:r>
          </w:p>
        </w:tc>
        <w:tc>
          <w:tcPr>
            <w:tcW w:type="dxa" w:w="1700"/>
            <w:shd w:fill="FFFFFF" w:val="clear"/>
            <w:vAlign w:val="center"/>
          </w:tcPr>
          <w:p>
            <w:r>
              <w:rPr>
                <w:sz w:val="18"/>
                <w:szCs w:val="18"/>
              </w:rPr>
              <w:t xml:space="preserve">Ready — standing, no action due</w:t>
            </w:r>
          </w:p>
        </w:tc>
      </w:tr>
      <w:tr>
        <w:tc>
          <w:tcPr>
            <w:tcW w:type="dxa" w:w="1000"/>
            <w:shd w:fill="F2F2F2" w:val="clear"/>
            <w:vAlign w:val="center"/>
          </w:tcPr>
          <w:p>
            <w:r>
              <w:rPr>
                <w:sz w:val="18"/>
                <w:szCs w:val="18"/>
              </w:rPr>
              <w:t xml:space="preserve">AR-0009</w:t>
            </w:r>
          </w:p>
        </w:tc>
        <w:tc>
          <w:tcPr>
            <w:tcW w:type="dxa" w:w="2100"/>
            <w:shd w:fill="F2F2F2" w:val="clear"/>
            <w:vAlign w:val="center"/>
          </w:tcPr>
          <w:p>
            <w:r>
              <w:rPr>
                <w:sz w:val="18"/>
                <w:szCs w:val="18"/>
              </w:rPr>
              <w:t xml:space="preserve">EGD-0008 (Accept, standing)</w:t>
            </w:r>
          </w:p>
        </w:tc>
        <w:tc>
          <w:tcPr>
            <w:tcW w:type="dxa" w:w="1450"/>
            <w:shd w:fill="F2F2F2" w:val="clear"/>
            <w:vAlign w:val="center"/>
          </w:tcPr>
          <w:p>
            <w:r>
              <w:rPr>
                <w:sz w:val="18"/>
                <w:szCs w:val="18"/>
              </w:rPr>
              <w:t xml:space="preserve">—</w:t>
            </w:r>
          </w:p>
        </w:tc>
        <w:tc>
          <w:tcPr>
            <w:tcW w:type="dxa" w:w="2500"/>
            <w:shd w:fill="F2F2F2" w:val="clear"/>
            <w:vAlign w:val="center"/>
          </w:tcPr>
          <w:p>
            <w:r>
              <w:rPr>
                <w:sz w:val="18"/>
                <w:szCs w:val="18"/>
              </w:rPr>
              <w:t xml:space="preserve">Schema audit (standing)</w:t>
            </w:r>
          </w:p>
        </w:tc>
        <w:tc>
          <w:tcPr>
            <w:tcW w:type="dxa" w:w="1150"/>
            <w:shd w:fill="F2F2F2" w:val="clear"/>
            <w:vAlign w:val="center"/>
          </w:tcPr>
          <w:p>
            <w:r>
              <w:rPr>
                <w:sz w:val="18"/>
                <w:szCs w:val="18"/>
              </w:rPr>
              <w:t xml:space="preserve">L4 (met)</w:t>
            </w:r>
          </w:p>
        </w:tc>
        <w:tc>
          <w:tcPr>
            <w:tcW w:type="dxa" w:w="1700"/>
            <w:shd w:fill="F2F2F2" w:val="clear"/>
            <w:vAlign w:val="center"/>
          </w:tcPr>
          <w:p>
            <w:r>
              <w:rPr>
                <w:sz w:val="18"/>
                <w:szCs w:val="18"/>
              </w:rPr>
              <w:t xml:space="preserve">Ready — standing, no action due</w:t>
            </w:r>
          </w:p>
        </w:tc>
      </w:tr>
      <w:tr>
        <w:tc>
          <w:tcPr>
            <w:tcW w:type="dxa" w:w="1000"/>
            <w:shd w:fill="FFFFFF" w:val="clear"/>
            <w:vAlign w:val="center"/>
          </w:tcPr>
          <w:p>
            <w:r>
              <w:rPr>
                <w:sz w:val="18"/>
                <w:szCs w:val="18"/>
              </w:rPr>
              <w:t xml:space="preserve">AR-0010</w:t>
            </w:r>
          </w:p>
        </w:tc>
        <w:tc>
          <w:tcPr>
            <w:tcW w:type="dxa" w:w="2100"/>
            <w:shd w:fill="FFFFFF" w:val="clear"/>
            <w:vAlign w:val="center"/>
          </w:tcPr>
          <w:p>
            <w:r>
              <w:rPr>
                <w:sz w:val="18"/>
                <w:szCs w:val="18"/>
              </w:rPr>
              <w:t xml:space="preserve">EGD-0009 (Accept, standing)</w:t>
            </w:r>
          </w:p>
        </w:tc>
        <w:tc>
          <w:tcPr>
            <w:tcW w:type="dxa" w:w="1450"/>
            <w:shd w:fill="FFFFFF" w:val="clear"/>
            <w:vAlign w:val="center"/>
          </w:tcPr>
          <w:p>
            <w:r>
              <w:rPr>
                <w:sz w:val="18"/>
                <w:szCs w:val="18"/>
              </w:rPr>
              <w:t xml:space="preserve">—</w:t>
            </w:r>
          </w:p>
        </w:tc>
        <w:tc>
          <w:tcPr>
            <w:tcW w:type="dxa" w:w="2500"/>
            <w:shd w:fill="FFFFFF" w:val="clear"/>
            <w:vAlign w:val="center"/>
          </w:tcPr>
          <w:p>
            <w:r>
              <w:rPr>
                <w:sz w:val="18"/>
                <w:szCs w:val="18"/>
              </w:rPr>
              <w:t xml:space="preserve">Migration review (standing)</w:t>
            </w:r>
          </w:p>
        </w:tc>
        <w:tc>
          <w:tcPr>
            <w:tcW w:type="dxa" w:w="1150"/>
            <w:shd w:fill="FFFFFF" w:val="clear"/>
            <w:vAlign w:val="center"/>
          </w:tcPr>
          <w:p>
            <w:r>
              <w:rPr>
                <w:sz w:val="18"/>
                <w:szCs w:val="18"/>
              </w:rPr>
              <w:t xml:space="preserve">L4 (met)</w:t>
            </w:r>
          </w:p>
        </w:tc>
        <w:tc>
          <w:tcPr>
            <w:tcW w:type="dxa" w:w="1700"/>
            <w:shd w:fill="FFFFFF" w:val="clear"/>
            <w:vAlign w:val="center"/>
          </w:tcPr>
          <w:p>
            <w:r>
              <w:rPr>
                <w:sz w:val="18"/>
                <w:szCs w:val="18"/>
              </w:rPr>
              <w:t xml:space="preserve">Ready — standing, no action due</w:t>
            </w:r>
          </w:p>
        </w:tc>
      </w:tr>
    </w:tbl>
    <w:p>
      <w:pPr>
        <w:spacing w:after="160"/>
        <w:jc w:val="both"/>
      </w:pPr>
      <w:r>
        <w:rPr>
          <w:sz w:val="22"/>
          <w:szCs w:val="22"/>
        </w:rPr>
        <w:t xml:space="preserve">Three of ten Architecture Requirements (AR-0008, AR-0009, AR-0010) are already at Certification Level L4 (met) on a standing basis and require no further action. Six (AR-0002, AR-0003, AR-0004, AR-0007, plus AR-0007's extension) are readiness-complete pending execution of their governing Work Package. One (AR-0004/WP-0003) is correctly Not Ready pending its external trigger. The remaining Deferred items (AR-0001, AR-0005, AR-0006) are ready in the sense that their governance disposition is complete and their monitoring cadence is active; no execution action is due on any of them.</w:t>
      </w:r>
    </w:p>
    <w:p>
      <w:pPr>
        <w:spacing w:after="160"/>
        <w:jc w:val="both"/>
      </w:pPr>
      <w:r>
        <w:rPr>
          <w:i/>
          <w:iCs/>
          <w:sz w:val="20"/>
          <w:szCs w:val="20"/>
        </w:rPr>
        <w:t xml:space="preserve">Evidence Classification: Observed Evidence (Phase A.3 §7–8; Section 10.7.6).</w:t>
      </w:r>
    </w:p>
    <w:p>
      <w:pPr>
        <w:pStyle w:val="Heading1"/>
        <w:spacing w:after="140" w:before="280"/>
      </w:pPr>
      <w:r>
        <w:t xml:space="preserve">10.12.7 — Executive Readiness Risk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c>
          <w:tcPr>
            <w:tcW w:type="dxa" w:w="4400"/>
            <w:shd w:fill="1F3864" w:val="clear"/>
            <w:vAlign w:val="center"/>
          </w:tcPr>
          <w:p>
            <w:r>
              <w:rPr>
                <w:b/>
                <w:bCs/>
                <w:sz w:val="18"/>
                <w:szCs w:val="18"/>
              </w:rPr>
              <w:t xml:space="preserve">Risk</w:t>
            </w:r>
          </w:p>
        </w:tc>
        <w:tc>
          <w:tcPr>
            <w:tcW w:type="dxa" w:w="4950"/>
            <w:shd w:fill="1F3864" w:val="clear"/>
            <w:vAlign w:val="center"/>
          </w:tcPr>
          <w:p>
            <w:r>
              <w:rPr>
                <w:b/>
                <w:bCs/>
                <w:sz w:val="18"/>
                <w:szCs w:val="18"/>
              </w:rPr>
              <w:t xml:space="preserve">Readiness Impact</w:t>
            </w:r>
          </w:p>
        </w:tc>
      </w:tr>
      <w:tr>
        <w:tc>
          <w:tcPr>
            <w:tcW w:type="dxa" w:w="4400"/>
            <w:shd w:fill="F2F2F2" w:val="clear"/>
            <w:vAlign w:val="center"/>
          </w:tcPr>
          <w:p>
            <w:r>
              <w:rPr>
                <w:sz w:val="18"/>
                <w:szCs w:val="18"/>
              </w:rPr>
              <w:t xml:space="preserve">WP-0001 / AR-0002 / EGD-0002 — Documentation drift (High)</w:t>
            </w:r>
          </w:p>
        </w:tc>
        <w:tc>
          <w:tcPr>
            <w:tcW w:type="dxa" w:w="4950"/>
            <w:shd w:fill="F2F2F2" w:val="clear"/>
            <w:vAlign w:val="center"/>
          </w:tcPr>
          <w:p>
            <w:r>
              <w:rPr>
                <w:sz w:val="18"/>
                <w:szCs w:val="18"/>
              </w:rPr>
              <w:t xml:space="preserve">Reduces Architecture and Documentation-Repository readiness until published; does not block Wave 1</w:t>
            </w:r>
          </w:p>
        </w:tc>
      </w:tr>
      <w:tr>
        <w:tc>
          <w:tcPr>
            <w:tcW w:type="dxa" w:w="4400"/>
            <w:shd w:fill="FFFFFF" w:val="clear"/>
            <w:vAlign w:val="center"/>
          </w:tcPr>
          <w:p>
            <w:r>
              <w:rPr>
                <w:sz w:val="18"/>
                <w:szCs w:val="18"/>
              </w:rPr>
              <w:t xml:space="preserve">WP-0002 / AR-0007 / EGD-0007 — RLS coverage unverified (Critical-until-verified)</w:t>
            </w:r>
          </w:p>
        </w:tc>
        <w:tc>
          <w:tcPr>
            <w:tcW w:type="dxa" w:w="4950"/>
            <w:shd w:fill="FFFFFF" w:val="clear"/>
            <w:vAlign w:val="center"/>
          </w:tcPr>
          <w:p>
            <w:r>
              <w:rPr>
                <w:sz w:val="18"/>
                <w:szCs w:val="18"/>
              </w:rPr>
              <w:t xml:space="preserve">The baseline's one readiness item with a security dimension; execute-ready, not yet closed</w:t>
            </w:r>
          </w:p>
        </w:tc>
      </w:tr>
      <w:tr>
        <w:tc>
          <w:tcPr>
            <w:tcW w:type="dxa" w:w="4400"/>
            <w:shd w:fill="F2F2F2" w:val="clear"/>
            <w:vAlign w:val="center"/>
          </w:tcPr>
          <w:p>
            <w:r>
              <w:rPr>
                <w:sz w:val="18"/>
                <w:szCs w:val="18"/>
              </w:rPr>
              <w:t xml:space="preserve">WP-0003 / AR-0004 / EGD-0004 — No partitioning on 4 tables (Medium, growing)</w:t>
            </w:r>
          </w:p>
        </w:tc>
        <w:tc>
          <w:tcPr>
            <w:tcW w:type="dxa" w:w="4950"/>
            <w:shd w:fill="F2F2F2" w:val="clear"/>
            <w:vAlign w:val="center"/>
          </w:tcPr>
          <w:p>
            <w:r>
              <w:rPr>
                <w:sz w:val="18"/>
                <w:szCs w:val="18"/>
              </w:rPr>
              <w:t xml:space="preserve">Correctly excluded from current readiness; Wave 3 held Not Ready by design</w:t>
            </w:r>
          </w:p>
        </w:tc>
      </w:tr>
      <w:tr>
        <w:tc>
          <w:tcPr>
            <w:tcW w:type="dxa" w:w="4400"/>
            <w:shd w:fill="FFFFFF" w:val="clear"/>
            <w:vAlign w:val="center"/>
          </w:tcPr>
          <w:p>
            <w:r>
              <w:rPr>
                <w:sz w:val="18"/>
                <w:szCs w:val="18"/>
              </w:rPr>
              <w:t xml:space="preserve">WP-0004 / AR-0003 / EGD-0003 — Direct-FK denormalization (Low/Medium)</w:t>
            </w:r>
          </w:p>
        </w:tc>
        <w:tc>
          <w:tcPr>
            <w:tcW w:type="dxa" w:w="4950"/>
            <w:shd w:fill="FFFFFF" w:val="clear"/>
            <w:vAlign w:val="center"/>
          </w:tcPr>
          <w:p>
            <w:r>
              <w:rPr>
                <w:sz w:val="18"/>
                <w:szCs w:val="18"/>
              </w:rPr>
              <w:t xml:space="preserve">Stable; does not affect Wave 1 or Wave 2 readiness</w:t>
            </w:r>
          </w:p>
        </w:tc>
      </w:tr>
      <w:tr>
        <w:tc>
          <w:tcPr>
            <w:tcW w:type="dxa" w:w="4400"/>
            <w:shd w:fill="F2F2F2" w:val="clear"/>
            <w:vAlign w:val="center"/>
          </w:tcPr>
          <w:p>
            <w:r>
              <w:rPr>
                <w:sz w:val="18"/>
                <w:szCs w:val="18"/>
              </w:rPr>
              <w:t xml:space="preserve">WP-0005 / AR-0007 (ext.) — Column-level access review (Low–Medium)</w:t>
            </w:r>
          </w:p>
        </w:tc>
        <w:tc>
          <w:tcPr>
            <w:tcW w:type="dxa" w:w="4950"/>
            <w:shd w:fill="F2F2F2" w:val="clear"/>
            <w:vAlign w:val="center"/>
          </w:tcPr>
          <w:p>
            <w:r>
              <w:rPr>
                <w:sz w:val="18"/>
                <w:szCs w:val="18"/>
              </w:rPr>
              <w:t xml:space="preserve">Sequenced after WP-0002; does not affect Wave 1 readiness</w:t>
            </w:r>
          </w:p>
        </w:tc>
      </w:tr>
      <w:tr>
        <w:tc>
          <w:tcPr>
            <w:tcW w:type="dxa" w:w="4400"/>
            <w:shd w:fill="FFFFFF" w:val="clear"/>
            <w:vAlign w:val="center"/>
          </w:tcPr>
          <w:p>
            <w:r>
              <w:rPr>
                <w:sz w:val="18"/>
                <w:szCs w:val="18"/>
              </w:rPr>
              <w:t xml:space="preserve">AR-0006 / EGD-0006 — Supersession/versioning model deferred (Low, High if late)</w:t>
            </w:r>
          </w:p>
        </w:tc>
        <w:tc>
          <w:tcPr>
            <w:tcW w:type="dxa" w:w="4950"/>
            <w:shd w:fill="FFFFFF" w:val="clear"/>
            <w:vAlign w:val="center"/>
          </w:tcPr>
          <w:p>
            <w:r>
              <w:rPr>
                <w:sz w:val="18"/>
                <w:szCs w:val="18"/>
              </w:rPr>
              <w:t xml:space="preserve">Not Work-Package-bound; monitored, does not affect current readiness rating</w:t>
            </w:r>
          </w:p>
        </w:tc>
      </w:tr>
      <w:tr>
        <w:tc>
          <w:tcPr>
            <w:tcW w:type="dxa" w:w="4400"/>
            <w:shd w:fill="F2F2F2" w:val="clear"/>
            <w:vAlign w:val="center"/>
          </w:tcPr>
          <w:p>
            <w:r>
              <w:rPr>
                <w:sz w:val="18"/>
                <w:szCs w:val="18"/>
              </w:rPr>
              <w:t xml:space="preserve">WP-0006 / AP-009 (all EGDs) — Zero named owners (Critical, structural)</w:t>
            </w:r>
          </w:p>
        </w:tc>
        <w:tc>
          <w:tcPr>
            <w:tcW w:type="dxa" w:w="4950"/>
            <w:shd w:fill="F2F2F2" w:val="clear"/>
            <w:vAlign w:val="center"/>
          </w:tcPr>
          <w:p>
            <w:r>
              <w:rPr>
                <w:sz w:val="18"/>
                <w:szCs w:val="18"/>
              </w:rPr>
              <w:t xml:space="preserve">The single risk with a readiness impact across every dimension in Section 10.12.2</w:t>
            </w:r>
          </w:p>
        </w:tc>
      </w:tr>
    </w:tbl>
    <w:p>
      <w:pPr>
        <w:spacing w:after="160"/>
        <w:jc w:val="both"/>
      </w:pPr>
      <w:r>
        <w:rPr>
          <w:sz w:val="22"/>
          <w:szCs w:val="22"/>
        </w:rPr>
        <w:t xml:space="preserve">Every risk in this summary is reused unmodified from Section 8 and Section 10.9. Six of seven risks affect the readiness of a specific Work Package or Architecture Requirement; one (WP-0006/KPI-08) is the only risk that reduces readiness across all nine dimensions simultaneously, which is why it is reported as the program's single cross-cutting readiness condition in Section 10.12.2 and 10.12.8.</w:t>
      </w:r>
    </w:p>
    <w:p>
      <w:pPr>
        <w:spacing w:after="160"/>
        <w:jc w:val="both"/>
      </w:pPr>
      <w:r>
        <w:rPr>
          <w:i/>
          <w:iCs/>
          <w:sz w:val="20"/>
          <w:szCs w:val="20"/>
        </w:rPr>
        <w:t xml:space="preserve">Evidence Classification: Observed Evidence (Section 8; Section 10.9; Section 10.11.7).</w:t>
      </w:r>
    </w:p>
    <w:p>
      <w:pPr>
        <w:pStyle w:val="Heading1"/>
        <w:spacing w:after="140" w:before="280"/>
      </w:pPr>
      <w:r>
        <w:t xml:space="preserve">10.12.8 — Executive Readiness Assessment</w:t>
      </w:r>
    </w:p>
    <w:p>
      <w:pPr>
        <w:pStyle w:val="ListParagraph"/>
        <w:numPr>
          <w:ilvl w:val="0"/>
          <w:numId w:val="1"/>
        </w:numPr>
        <w:spacing w:after="80"/>
      </w:pPr>
      <w:r>
        <w:rPr>
          <w:sz w:val="22"/>
          <w:szCs w:val="22"/>
        </w:rPr>
        <w:t xml:space="preserve">Engineering Readiness: Complete at the design and blueprint level for all six Work Packages; execution has not begun for any of them.</w:t>
      </w:r>
    </w:p>
    <w:p>
      <w:pPr>
        <w:pStyle w:val="ListParagraph"/>
        <w:numPr>
          <w:ilvl w:val="0"/>
          <w:numId w:val="1"/>
        </w:numPr>
        <w:spacing w:after="80"/>
      </w:pPr>
      <w:r>
        <w:rPr>
          <w:sz w:val="22"/>
          <w:szCs w:val="22"/>
        </w:rPr>
        <w:t xml:space="preserve">Governance Readiness: Complete — every AR, EGD, and ER carries an explicit disposition; no undispositioned governance question remains.</w:t>
      </w:r>
    </w:p>
    <w:p>
      <w:pPr>
        <w:pStyle w:val="ListParagraph"/>
        <w:numPr>
          <w:ilvl w:val="0"/>
          <w:numId w:val="1"/>
        </w:numPr>
        <w:spacing w:after="80"/>
      </w:pPr>
      <w:r>
        <w:rPr>
          <w:sz w:val="22"/>
          <w:szCs w:val="22"/>
        </w:rPr>
        <w:t xml:space="preserve">Architecture Readiness: Three of ten ARs already meet Certification Level L4 on a standing basis; six are readiness-complete pending execution; one is correctly held pending an external trigger.</w:t>
      </w:r>
    </w:p>
    <w:p>
      <w:pPr>
        <w:pStyle w:val="ListParagraph"/>
        <w:numPr>
          <w:ilvl w:val="0"/>
          <w:numId w:val="1"/>
        </w:numPr>
        <w:spacing w:after="80"/>
      </w:pPr>
      <w:r>
        <w:rPr>
          <w:sz w:val="22"/>
          <w:szCs w:val="22"/>
        </w:rPr>
        <w:t xml:space="preserve">Verification Readiness: A verification method is defined for every AR and every Work Package; none has yet produced verification evidence.</w:t>
      </w:r>
    </w:p>
    <w:p>
      <w:pPr>
        <w:pStyle w:val="ListParagraph"/>
        <w:numPr>
          <w:ilvl w:val="0"/>
          <w:numId w:val="1"/>
        </w:numPr>
        <w:spacing w:after="80"/>
      </w:pPr>
      <w:r>
        <w:rPr>
          <w:sz w:val="22"/>
          <w:szCs w:val="22"/>
        </w:rPr>
        <w:t xml:space="preserve">Acceptance Readiness: Acceptance criteria are fully defined for all six Work Packages (Section 9); two (WP-0002, WP-0006) are acceptance-ready immediately upon execution.</w:t>
      </w:r>
    </w:p>
    <w:p>
      <w:pPr>
        <w:pStyle w:val="ListParagraph"/>
        <w:numPr>
          <w:ilvl w:val="0"/>
          <w:numId w:val="1"/>
        </w:numPr>
        <w:spacing w:after="80"/>
      </w:pPr>
      <w:r>
        <w:rPr>
          <w:sz w:val="22"/>
          <w:szCs w:val="22"/>
        </w:rPr>
        <w:t xml:space="preserve">Portfolio Readiness: Three of eight target-state portfolios carry approved scope and are READY WITH CONDITIONS; five are correctly Reserved for Future Realization Phases.</w:t>
      </w:r>
    </w:p>
    <w:p>
      <w:pPr>
        <w:pStyle w:val="ListParagraph"/>
        <w:numPr>
          <w:ilvl w:val="0"/>
          <w:numId w:val="1"/>
        </w:numPr>
        <w:spacing w:after="80"/>
      </w:pPr>
      <w:r>
        <w:rPr>
          <w:sz w:val="22"/>
          <w:szCs w:val="22"/>
        </w:rPr>
        <w:t xml:space="preserve">Organizational Readiness: Not Evidenced in Current Baseline for standing executive oversight bodies; KPI-08 (Ownership Assignment % = 0%) is the specific, named gap.</w:t>
      </w:r>
    </w:p>
    <w:p>
      <w:pPr>
        <w:pStyle w:val="ListParagraph"/>
        <w:numPr>
          <w:ilvl w:val="0"/>
          <w:numId w:val="1"/>
        </w:numPr>
        <w:spacing w:after="80"/>
      </w:pPr>
      <w:r>
        <w:rPr>
          <w:sz w:val="22"/>
          <w:szCs w:val="22"/>
        </w:rPr>
        <w:t xml:space="preserve">Overall Enterprise Readiness: READY WITH CONDITIONS. Every dimension above converges on the same single outstanding condition — named, accountable ownership — which WP-0006 exists specifically to resolve.</w:t>
      </w:r>
    </w:p>
    <w:p>
      <w:pPr>
        <w:spacing w:after="160"/>
        <w:jc w:val="both"/>
      </w:pPr>
      <w:r>
        <w:rPr>
          <w:i/>
          <w:iCs/>
          <w:sz w:val="20"/>
          <w:szCs w:val="20"/>
        </w:rPr>
        <w:t xml:space="preserve">Evidence Classification: Derived Executive Assessment (direct aggregation of Sections 10.12.2–10.12.7; no new readiness method applied).</w:t>
      </w:r>
    </w:p>
    <w:p>
      <w:pPr>
        <w:pStyle w:val="Heading1"/>
        <w:spacing w:after="140" w:before="280"/>
      </w:pPr>
      <w:r>
        <w:t xml:space="preserve">10.12.9 — Executive Readiness Decision Matrix</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950"/>
        <w:gridCol w:w="1700"/>
        <w:gridCol w:w="1550"/>
        <w:gridCol w:w="1950"/>
        <w:gridCol w:w="1900"/>
        <w:gridCol w:w="1300"/>
      </w:tblGrid>
      <w:tr>
        <w:tc>
          <w:tcPr>
            <w:tcW w:type="dxa" w:w="1950"/>
            <w:shd w:fill="1F3864" w:val="clear"/>
            <w:vAlign w:val="center"/>
          </w:tcPr>
          <w:p>
            <w:r>
              <w:rPr>
                <w:b/>
                <w:bCs/>
                <w:sz w:val="18"/>
                <w:szCs w:val="18"/>
              </w:rPr>
              <w:t xml:space="preserve">Readiness Area</w:t>
            </w:r>
          </w:p>
        </w:tc>
        <w:tc>
          <w:tcPr>
            <w:tcW w:type="dxa" w:w="1700"/>
            <w:shd w:fill="1F3864" w:val="clear"/>
            <w:vAlign w:val="center"/>
          </w:tcPr>
          <w:p>
            <w:r>
              <w:rPr>
                <w:b/>
                <w:bCs/>
                <w:sz w:val="18"/>
                <w:szCs w:val="18"/>
              </w:rPr>
              <w:t xml:space="preserve">Evidence Source</w:t>
            </w:r>
          </w:p>
        </w:tc>
        <w:tc>
          <w:tcPr>
            <w:tcW w:type="dxa" w:w="1550"/>
            <w:shd w:fill="1F3864" w:val="clear"/>
            <w:vAlign w:val="center"/>
          </w:tcPr>
          <w:p>
            <w:r>
              <w:rPr>
                <w:b/>
                <w:bCs/>
                <w:sz w:val="18"/>
                <w:szCs w:val="18"/>
              </w:rPr>
              <w:t xml:space="preserve">Current Status</w:t>
            </w:r>
          </w:p>
        </w:tc>
        <w:tc>
          <w:tcPr>
            <w:tcW w:type="dxa" w:w="1950"/>
            <w:shd w:fill="1F3864" w:val="clear"/>
            <w:vAlign w:val="center"/>
          </w:tcPr>
          <w:p>
            <w:r>
              <w:rPr>
                <w:b/>
                <w:bCs/>
                <w:sz w:val="18"/>
                <w:szCs w:val="18"/>
              </w:rPr>
              <w:t xml:space="preserve">Executive Impact</w:t>
            </w:r>
          </w:p>
        </w:tc>
        <w:tc>
          <w:tcPr>
            <w:tcW w:type="dxa" w:w="1900"/>
            <w:shd w:fill="1F3864" w:val="clear"/>
            <w:vAlign w:val="center"/>
          </w:tcPr>
          <w:p>
            <w:r>
              <w:rPr>
                <w:b/>
                <w:bCs/>
                <w:sz w:val="18"/>
                <w:szCs w:val="18"/>
              </w:rPr>
              <w:t xml:space="preserve">Required Executive Action</w:t>
            </w:r>
          </w:p>
        </w:tc>
        <w:tc>
          <w:tcPr>
            <w:tcW w:type="dxa" w:w="1300"/>
            <w:shd w:fill="1F3864" w:val="clear"/>
            <w:vAlign w:val="center"/>
          </w:tcPr>
          <w:p>
            <w:r>
              <w:rPr>
                <w:b/>
                <w:bCs/>
                <w:sz w:val="18"/>
                <w:szCs w:val="18"/>
              </w:rPr>
              <w:t xml:space="preserve">Classification</w:t>
            </w:r>
          </w:p>
        </w:tc>
      </w:tr>
      <w:tr>
        <w:tc>
          <w:tcPr>
            <w:tcW w:type="dxa" w:w="1950"/>
            <w:shd w:fill="F2F2F2" w:val="clear"/>
            <w:vAlign w:val="center"/>
          </w:tcPr>
          <w:p>
            <w:r>
              <w:rPr>
                <w:sz w:val="18"/>
                <w:szCs w:val="18"/>
              </w:rPr>
              <w:t xml:space="preserve">Organizational/ownership readiness</w:t>
            </w:r>
          </w:p>
        </w:tc>
        <w:tc>
          <w:tcPr>
            <w:tcW w:type="dxa" w:w="1700"/>
            <w:shd w:fill="F2F2F2" w:val="clear"/>
            <w:vAlign w:val="center"/>
          </w:tcPr>
          <w:p>
            <w:r>
              <w:rPr>
                <w:sz w:val="18"/>
                <w:szCs w:val="18"/>
              </w:rPr>
              <w:t xml:space="preserve">Section 10.4; Section 10.9 (KPI-08)</w:t>
            </w:r>
          </w:p>
        </w:tc>
        <w:tc>
          <w:tcPr>
            <w:tcW w:type="dxa" w:w="1550"/>
            <w:shd w:fill="F2F2F2" w:val="clear"/>
            <w:vAlign w:val="center"/>
          </w:tcPr>
          <w:p>
            <w:r>
              <w:rPr>
                <w:sz w:val="18"/>
                <w:szCs w:val="18"/>
              </w:rPr>
              <w:t xml:space="preserve">0% assigned</w:t>
            </w:r>
          </w:p>
        </w:tc>
        <w:tc>
          <w:tcPr>
            <w:tcW w:type="dxa" w:w="1950"/>
            <w:shd w:fill="F2F2F2" w:val="clear"/>
            <w:vAlign w:val="center"/>
          </w:tcPr>
          <w:p>
            <w:r>
              <w:rPr>
                <w:sz w:val="18"/>
                <w:szCs w:val="18"/>
              </w:rPr>
              <w:t xml:space="preserve">Reduces readiness across all nine dimensions</w:t>
            </w:r>
          </w:p>
        </w:tc>
        <w:tc>
          <w:tcPr>
            <w:tcW w:type="dxa" w:w="1900"/>
            <w:shd w:fill="F2F2F2" w:val="clear"/>
            <w:vAlign w:val="center"/>
          </w:tcPr>
          <w:p>
            <w:r>
              <w:rPr>
                <w:sz w:val="18"/>
                <w:szCs w:val="18"/>
              </w:rPr>
              <w:t xml:space="preserve">Assign named owner per Phase B §9 role definitions</w:t>
            </w:r>
          </w:p>
        </w:tc>
        <w:tc>
          <w:tcPr>
            <w:tcW w:type="dxa" w:w="1300"/>
            <w:shd w:fill="F2F2F2" w:val="clear"/>
            <w:vAlign w:val="center"/>
          </w:tcPr>
          <w:p>
            <w:r>
              <w:rPr>
                <w:sz w:val="18"/>
                <w:szCs w:val="18"/>
              </w:rPr>
              <w:t xml:space="preserve">Observed Evidence</w:t>
            </w:r>
          </w:p>
        </w:tc>
      </w:tr>
      <w:tr>
        <w:tc>
          <w:tcPr>
            <w:tcW w:type="dxa" w:w="1950"/>
            <w:shd w:fill="FFFFFF" w:val="clear"/>
            <w:vAlign w:val="center"/>
          </w:tcPr>
          <w:p>
            <w:r>
              <w:rPr>
                <w:sz w:val="18"/>
                <w:szCs w:val="18"/>
              </w:rPr>
              <w:t xml:space="preserve">Wave 1 engineering/verification readiness</w:t>
            </w:r>
          </w:p>
        </w:tc>
        <w:tc>
          <w:tcPr>
            <w:tcW w:type="dxa" w:w="1700"/>
            <w:shd w:fill="FFFFFF" w:val="clear"/>
            <w:vAlign w:val="center"/>
          </w:tcPr>
          <w:p>
            <w:r>
              <w:rPr>
                <w:sz w:val="18"/>
                <w:szCs w:val="18"/>
              </w:rPr>
              <w:t xml:space="preserve">Section 10.3; Section 10.8</w:t>
            </w:r>
          </w:p>
        </w:tc>
        <w:tc>
          <w:tcPr>
            <w:tcW w:type="dxa" w:w="1550"/>
            <w:shd w:fill="FFFFFF" w:val="clear"/>
            <w:vAlign w:val="center"/>
          </w:tcPr>
          <w:p>
            <w:r>
              <w:rPr>
                <w:sz w:val="18"/>
                <w:szCs w:val="18"/>
              </w:rPr>
              <w:t xml:space="preserve">Fully Ready</w:t>
            </w:r>
          </w:p>
        </w:tc>
        <w:tc>
          <w:tcPr>
            <w:tcW w:type="dxa" w:w="1950"/>
            <w:shd w:fill="FFFFFF" w:val="clear"/>
            <w:vAlign w:val="center"/>
          </w:tcPr>
          <w:p>
            <w:r>
              <w:rPr>
                <w:sz w:val="18"/>
                <w:szCs w:val="18"/>
              </w:rPr>
              <w:t xml:space="preserve">No blocker; startable immediately</w:t>
            </w:r>
          </w:p>
        </w:tc>
        <w:tc>
          <w:tcPr>
            <w:tcW w:type="dxa" w:w="1900"/>
            <w:shd w:fill="FFFFFF" w:val="clear"/>
            <w:vAlign w:val="center"/>
          </w:tcPr>
          <w:p>
            <w:r>
              <w:rPr>
                <w:sz w:val="18"/>
                <w:szCs w:val="18"/>
              </w:rPr>
              <w:t xml:space="preserve">Authorize WP-0002 and WP-0006 execution</w:t>
            </w:r>
          </w:p>
        </w:tc>
        <w:tc>
          <w:tcPr>
            <w:tcW w:type="dxa" w:w="1300"/>
            <w:shd w:fill="FFFFFF" w:val="clear"/>
            <w:vAlign w:val="center"/>
          </w:tcPr>
          <w:p>
            <w:r>
              <w:rPr>
                <w:sz w:val="18"/>
                <w:szCs w:val="18"/>
              </w:rPr>
              <w:t xml:space="preserve">Observed Evidence</w:t>
            </w:r>
          </w:p>
        </w:tc>
      </w:tr>
      <w:tr>
        <w:tc>
          <w:tcPr>
            <w:tcW w:type="dxa" w:w="1950"/>
            <w:shd w:fill="F2F2F2" w:val="clear"/>
            <w:vAlign w:val="center"/>
          </w:tcPr>
          <w:p>
            <w:r>
              <w:rPr>
                <w:sz w:val="18"/>
                <w:szCs w:val="18"/>
              </w:rPr>
              <w:t xml:space="preserve">Architecture readiness (L4 advancement)</w:t>
            </w:r>
          </w:p>
        </w:tc>
        <w:tc>
          <w:tcPr>
            <w:tcW w:type="dxa" w:w="1700"/>
            <w:shd w:fill="F2F2F2" w:val="clear"/>
            <w:vAlign w:val="center"/>
          </w:tcPr>
          <w:p>
            <w:r>
              <w:rPr>
                <w:sz w:val="18"/>
                <w:szCs w:val="18"/>
              </w:rPr>
              <w:t xml:space="preserve">Section 10.7; Phase A.3 §11</w:t>
            </w:r>
          </w:p>
        </w:tc>
        <w:tc>
          <w:tcPr>
            <w:tcW w:type="dxa" w:w="1550"/>
            <w:shd w:fill="F2F2F2" w:val="clear"/>
            <w:vAlign w:val="center"/>
          </w:tcPr>
          <w:p>
            <w:r>
              <w:rPr>
                <w:sz w:val="18"/>
                <w:szCs w:val="18"/>
              </w:rPr>
              <w:t xml:space="preserve">L4 pending on 6 of 10 ARs</w:t>
            </w:r>
          </w:p>
        </w:tc>
        <w:tc>
          <w:tcPr>
            <w:tcW w:type="dxa" w:w="1950"/>
            <w:shd w:fill="F2F2F2" w:val="clear"/>
            <w:vAlign w:val="center"/>
          </w:tcPr>
          <w:p>
            <w:r>
              <w:rPr>
                <w:sz w:val="18"/>
                <w:szCs w:val="18"/>
              </w:rPr>
              <w:t xml:space="preserve">Certification cannot advance without WP-0001/0002 completion</w:t>
            </w:r>
          </w:p>
        </w:tc>
        <w:tc>
          <w:tcPr>
            <w:tcW w:type="dxa" w:w="1900"/>
            <w:shd w:fill="F2F2F2" w:val="clear"/>
            <w:vAlign w:val="center"/>
          </w:tcPr>
          <w:p>
            <w:r>
              <w:rPr>
                <w:sz w:val="18"/>
                <w:szCs w:val="18"/>
              </w:rPr>
              <w:t xml:space="preserve">Authorize the two gating Work Packages; no new review needed</w:t>
            </w:r>
          </w:p>
        </w:tc>
        <w:tc>
          <w:tcPr>
            <w:tcW w:type="dxa" w:w="1300"/>
            <w:shd w:fill="F2F2F2" w:val="clear"/>
            <w:vAlign w:val="center"/>
          </w:tcPr>
          <w:p>
            <w:r>
              <w:rPr>
                <w:sz w:val="18"/>
                <w:szCs w:val="18"/>
              </w:rPr>
              <w:t xml:space="preserve">Observed Evidence</w:t>
            </w:r>
          </w:p>
        </w:tc>
      </w:tr>
      <w:tr>
        <w:tc>
          <w:tcPr>
            <w:tcW w:type="dxa" w:w="1950"/>
            <w:shd w:fill="FFFFFF" w:val="clear"/>
            <w:vAlign w:val="center"/>
          </w:tcPr>
          <w:p>
            <w:r>
              <w:rPr>
                <w:sz w:val="18"/>
                <w:szCs w:val="18"/>
              </w:rPr>
              <w:t xml:space="preserve">Wave 3 readiness</w:t>
            </w:r>
          </w:p>
        </w:tc>
        <w:tc>
          <w:tcPr>
            <w:tcW w:type="dxa" w:w="1700"/>
            <w:shd w:fill="FFFFFF" w:val="clear"/>
            <w:vAlign w:val="center"/>
          </w:tcPr>
          <w:p>
            <w:r>
              <w:rPr>
                <w:sz w:val="18"/>
                <w:szCs w:val="18"/>
              </w:rPr>
              <w:t xml:space="preserve">Section 10.5; EGD-0004</w:t>
            </w:r>
          </w:p>
        </w:tc>
        <w:tc>
          <w:tcPr>
            <w:tcW w:type="dxa" w:w="1550"/>
            <w:shd w:fill="FFFFFF" w:val="clear"/>
            <w:vAlign w:val="center"/>
          </w:tcPr>
          <w:p>
            <w:r>
              <w:rPr>
                <w:sz w:val="18"/>
                <w:szCs w:val="18"/>
              </w:rPr>
              <w:t xml:space="preserve">Not Ready — trigger pending</w:t>
            </w:r>
          </w:p>
        </w:tc>
        <w:tc>
          <w:tcPr>
            <w:tcW w:type="dxa" w:w="1950"/>
            <w:shd w:fill="FFFFFF" w:val="clear"/>
            <w:vAlign w:val="center"/>
          </w:tcPr>
          <w:p>
            <w:r>
              <w:rPr>
                <w:sz w:val="18"/>
                <w:szCs w:val="18"/>
              </w:rPr>
              <w:t xml:space="preserve">No engineering readiness question; a data question only</w:t>
            </w:r>
          </w:p>
        </w:tc>
        <w:tc>
          <w:tcPr>
            <w:tcW w:type="dxa" w:w="1900"/>
            <w:shd w:fill="FFFFFF" w:val="clear"/>
            <w:vAlign w:val="center"/>
          </w:tcPr>
          <w:p>
            <w:r>
              <w:rPr>
                <w:sz w:val="18"/>
                <w:szCs w:val="18"/>
              </w:rPr>
              <w:t xml:space="preserve">Continue quarterly monitoring; no action due</w:t>
            </w:r>
          </w:p>
        </w:tc>
        <w:tc>
          <w:tcPr>
            <w:tcW w:type="dxa" w:w="1300"/>
            <w:shd w:fill="FFFFFF" w:val="clear"/>
            <w:vAlign w:val="center"/>
          </w:tcPr>
          <w:p>
            <w:r>
              <w:rPr>
                <w:sz w:val="18"/>
                <w:szCs w:val="18"/>
              </w:rPr>
              <w:t xml:space="preserve">Observed Evidence</w:t>
            </w:r>
          </w:p>
        </w:tc>
      </w:tr>
      <w:tr>
        <w:tc>
          <w:tcPr>
            <w:tcW w:type="dxa" w:w="1950"/>
            <w:shd w:fill="F2F2F2" w:val="clear"/>
            <w:vAlign w:val="center"/>
          </w:tcPr>
          <w:p>
            <w:r>
              <w:rPr>
                <w:sz w:val="18"/>
                <w:szCs w:val="18"/>
              </w:rPr>
              <w:t xml:space="preserve">Executive oversight body readiness</w:t>
            </w:r>
          </w:p>
        </w:tc>
        <w:tc>
          <w:tcPr>
            <w:tcW w:type="dxa" w:w="1700"/>
            <w:shd w:fill="F2F2F2" w:val="clear"/>
            <w:vAlign w:val="center"/>
          </w:tcPr>
          <w:p>
            <w:r>
              <w:rPr>
                <w:sz w:val="18"/>
                <w:szCs w:val="18"/>
              </w:rPr>
              <w:t xml:space="preserve">Phase B §9</w:t>
            </w:r>
          </w:p>
        </w:tc>
        <w:tc>
          <w:tcPr>
            <w:tcW w:type="dxa" w:w="1550"/>
            <w:shd w:fill="F2F2F2" w:val="clear"/>
            <w:vAlign w:val="center"/>
          </w:tcPr>
          <w:p>
            <w:r>
              <w:rPr>
                <w:sz w:val="18"/>
                <w:szCs w:val="18"/>
              </w:rPr>
              <w:t xml:space="preserve">Not Evidenced in Current Baseline</w:t>
            </w:r>
          </w:p>
        </w:tc>
        <w:tc>
          <w:tcPr>
            <w:tcW w:type="dxa" w:w="1950"/>
            <w:shd w:fill="F2F2F2" w:val="clear"/>
            <w:vAlign w:val="center"/>
          </w:tcPr>
          <w:p>
            <w:r>
              <w:rPr>
                <w:sz w:val="18"/>
                <w:szCs w:val="18"/>
              </w:rPr>
              <w:t xml:space="preserve">No standing body currently exercises portfolio oversight</w:t>
            </w:r>
          </w:p>
        </w:tc>
        <w:tc>
          <w:tcPr>
            <w:tcW w:type="dxa" w:w="1900"/>
            <w:shd w:fill="F2F2F2" w:val="clear"/>
            <w:vAlign w:val="center"/>
          </w:tcPr>
          <w:p>
            <w:r>
              <w:rPr>
                <w:sz w:val="18"/>
                <w:szCs w:val="18"/>
              </w:rPr>
              <w:t xml:space="preserve">Convene target-state governance roles if/when scaling requires it</w:t>
            </w:r>
          </w:p>
        </w:tc>
        <w:tc>
          <w:tcPr>
            <w:tcW w:type="dxa" w:w="1300"/>
            <w:shd w:fill="F2F2F2" w:val="clear"/>
            <w:vAlign w:val="center"/>
          </w:tcPr>
          <w:p>
            <w:r>
              <w:rPr>
                <w:sz w:val="18"/>
                <w:szCs w:val="18"/>
              </w:rPr>
              <w:t xml:space="preserve">Not Evidenced in Current Baseline</w:t>
            </w:r>
          </w:p>
        </w:tc>
      </w:tr>
      <w:tr>
        <w:tc>
          <w:tcPr>
            <w:tcW w:type="dxa" w:w="1950"/>
            <w:shd w:fill="FFFFFF" w:val="clear"/>
            <w:vAlign w:val="center"/>
          </w:tcPr>
          <w:p>
            <w:r>
              <w:rPr>
                <w:sz w:val="18"/>
                <w:szCs w:val="18"/>
              </w:rPr>
              <w:t xml:space="preserve">Portfolios 3–7 readiness</w:t>
            </w:r>
          </w:p>
        </w:tc>
        <w:tc>
          <w:tcPr>
            <w:tcW w:type="dxa" w:w="1700"/>
            <w:shd w:fill="FFFFFF" w:val="clear"/>
            <w:vAlign w:val="center"/>
          </w:tcPr>
          <w:p>
            <w:r>
              <w:rPr>
                <w:sz w:val="18"/>
                <w:szCs w:val="18"/>
              </w:rPr>
              <w:t xml:space="preserve">Section 10.4</w:t>
            </w:r>
          </w:p>
        </w:tc>
        <w:tc>
          <w:tcPr>
            <w:tcW w:type="dxa" w:w="1550"/>
            <w:shd w:fill="FFFFFF" w:val="clear"/>
            <w:vAlign w:val="center"/>
          </w:tcPr>
          <w:p>
            <w:r>
              <w:rPr>
                <w:sz w:val="18"/>
                <w:szCs w:val="18"/>
              </w:rPr>
              <w:t xml:space="preserve">No approved scope</w:t>
            </w:r>
          </w:p>
        </w:tc>
        <w:tc>
          <w:tcPr>
            <w:tcW w:type="dxa" w:w="1950"/>
            <w:shd w:fill="FFFFFF" w:val="clear"/>
            <w:vAlign w:val="center"/>
          </w:tcPr>
          <w:p>
            <w:r>
              <w:rPr>
                <w:sz w:val="18"/>
                <w:szCs w:val="18"/>
              </w:rPr>
              <w:t xml:space="preserve">No governed readiness basis exists</w:t>
            </w:r>
          </w:p>
        </w:tc>
        <w:tc>
          <w:tcPr>
            <w:tcW w:type="dxa" w:w="1900"/>
            <w:shd w:fill="FFFFFF" w:val="clear"/>
            <w:vAlign w:val="center"/>
          </w:tcPr>
          <w:p>
            <w:r>
              <w:rPr>
                <w:sz w:val="18"/>
                <w:szCs w:val="18"/>
              </w:rPr>
              <w:t xml:space="preserve">Do not schedule; requires future realization phase</w:t>
            </w:r>
          </w:p>
        </w:tc>
        <w:tc>
          <w:tcPr>
            <w:tcW w:type="dxa" w:w="1300"/>
            <w:shd w:fill="FFFFFF" w:val="clear"/>
            <w:vAlign w:val="center"/>
          </w:tcPr>
          <w:p>
            <w:r>
              <w:rPr>
                <w:sz w:val="18"/>
                <w:szCs w:val="18"/>
              </w:rPr>
              <w:t xml:space="preserve">Reserved for Future Realization Phases</w:t>
            </w:r>
          </w:p>
        </w:tc>
      </w:tr>
    </w:tbl>
    <w:p>
      <w:pPr>
        <w:spacing w:after="160"/>
        <w:jc w:val="both"/>
      </w:pPr>
      <w:r>
        <w:rPr>
          <w:i/>
          <w:iCs/>
          <w:sz w:val="20"/>
          <w:szCs w:val="20"/>
        </w:rPr>
        <w:t xml:space="preserve">Evidence Classification: Observed Evidence / Not Evidenced in Current Baseline / Reserved for Future Realization Phases as marked.</w:t>
      </w:r>
    </w:p>
    <w:p>
      <w:pPr>
        <w:pStyle w:val="Heading1"/>
        <w:spacing w:after="140" w:before="280"/>
      </w:pPr>
      <w:r>
        <w:t xml:space="preserve">10.12.10 — Executive Conclusion</w:t>
      </w:r>
    </w:p>
    <w:p>
      <w:pPr>
        <w:spacing w:after="160"/>
        <w:jc w:val="both"/>
      </w:pPr>
      <w:r>
        <w:rPr>
          <w:sz w:val="22"/>
          <w:szCs w:val="22"/>
        </w:rPr>
        <w:t xml:space="preserve">The enterprise readiness posture of ERP-01, assessed at the full granularity of its ten Architecture Requirements, nine Enterprise Governance Decisions, and six Work Packages, is READY WITH CONDITIONS. No dimension of readiness examined in this document — engineering, architecture, governance, repository, portfolio, wave, verification, acceptance, or risk — carries an unresolved technical or evidentiary gap.</w:t>
      </w:r>
    </w:p>
    <w:p>
      <w:pPr>
        <w:spacing w:after="160"/>
        <w:jc w:val="both"/>
      </w:pPr>
      <w:r>
        <w:rPr>
          <w:sz w:val="22"/>
          <w:szCs w:val="22"/>
        </w:rPr>
        <w:t xml:space="preserve">Organizational preparedness is the one dimension that lags the rest: while every engineering and governance question the baseline poses has been answered, no standing executive oversight body has been convened and no Work Package carries a named, accountable owner. This is reported as a factual condition, not a deficiency in the architecture or engineering work itself.</w:t>
      </w:r>
    </w:p>
    <w:p>
      <w:pPr>
        <w:spacing w:after="160"/>
        <w:jc w:val="both"/>
      </w:pPr>
      <w:r>
        <w:rPr>
          <w:sz w:val="22"/>
          <w:szCs w:val="22"/>
        </w:rPr>
        <w:t xml:space="preserve">Readiness dependencies going forward are narrow: Wave 1 (WP-0002, WP-0006) requires only execution authorization to proceed; Wave 2 requires only Wave 1's completion; Wave 3 requires only its own external trigger. No further readiness analysis, architecture review, or governance decision is required to begin realization.</w:t>
      </w:r>
    </w:p>
    <w:p>
      <w:pPr>
        <w:spacing w:after="160"/>
        <w:jc w:val="both"/>
      </w:pPr>
      <w:r>
        <w:rPr>
          <w:sz w:val="22"/>
          <w:szCs w:val="22"/>
        </w:rPr>
        <w:t xml:space="preserve">Executive readiness confidence is high within the evidenced scope. Recommended readiness disposition: the program is ready to transition from Defined to Realized for Wave 1 upon a single administrative action — naming an accountable owner under WP-0006 — with no other readiness precondition outstanding.</w:t>
      </w:r>
    </w:p>
    <w:p>
      <w:pPr>
        <w:spacing w:after="160"/>
        <w:jc w:val="both"/>
      </w:pPr>
      <w:r>
        <w:rPr>
          <w:i/>
          <w:iCs/>
          <w:sz w:val="20"/>
          <w:szCs w:val="20"/>
        </w:rPr>
        <w:t xml:space="preserve">This conclusion introduces no new architecture, governance decision, readiness calculation, Work Package, KPI, certification finding, or implementation evidence. It is a direct synthesis of findings already approved in ERP-01 Phase A.1 through Phase C Section 10.11.</w:t>
      </w:r>
    </w:p>
    <w:p>
      <w:pPr>
        <w:spacing w:before="300"/>
      </w:pPr>
    </w:p>
    <w:p>
      <w:pPr>
        <w:spacing w:after="160"/>
        <w:jc w:val="both"/>
      </w:pPr>
      <w:r>
        <w:rPr>
          <w:i/>
          <w:iCs/>
          <w:sz w:val="18"/>
          <w:szCs w:val="18"/>
        </w:rPr>
        <w:t xml:space="preserve">End of Section 10.12. This document is internal Enterprise Architecture and engineering governance documentation for the HireRise Career Intelligence Platform. It introduces no new Work Package, Architecture Requirement, Enterprise Governance Decision, Enterprise Resolution, Variance, KPI, readiness formula, or maturity model beyond what ERP-01 Phase A.1 through Phase C Section 10.11 already established, and does not represent external audit, assurance, or certification by any third party.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pPr>
      <w:spacing w:after="140" w:before="28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2026-07-09T20:40:14.727Z</dcterms:created>
  <dcterms:modified xsi:type="dcterms:W3CDTF">2026-07-09T20:40:14.740Z</dcterms:modified>
</cp:coreProperties>
</file>

<file path=docProps/custom.xml><?xml version="1.0" encoding="utf-8"?>
<Properties xmlns="http://schemas.openxmlformats.org/officeDocument/2006/custom-properties" xmlns:vt="http://schemas.openxmlformats.org/officeDocument/2006/docPropsVTypes"/>
</file>