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26"/>
          <w:szCs w:val="26"/>
        </w:rPr>
        <w:t xml:space="preserve">ERP-01 — Phase C</w:t>
      </w:r>
    </w:p>
    <w:p>
      <w:pPr>
        <w:spacing w:after="100"/>
      </w:pPr>
      <w:r>
        <w:rPr>
          <w:b/>
          <w:bCs/>
          <w:color w:val="1F3864"/>
          <w:sz w:val="44"/>
          <w:szCs w:val="44"/>
        </w:rPr>
        <w:t xml:space="preserve">Section 10.13</w:t>
      </w:r>
    </w:p>
    <w:p>
      <w:pPr>
        <w:spacing w:after="200"/>
      </w:pPr>
      <w:r>
        <w:rPr>
          <w:b/>
          <w:bCs/>
          <w:sz w:val="32"/>
          <w:szCs w:val="32"/>
        </w:rPr>
        <w:t xml:space="preserve">Executive Decision Matrix</w:t>
      </w:r>
    </w:p>
    <w:p>
      <w:pPr>
        <w:spacing w:after="60"/>
      </w:pPr>
      <w:r>
        <w:rPr>
          <w:i/>
          <w:iCs/>
          <w:sz w:val="24"/>
          <w:szCs w:val="24"/>
        </w:rPr>
        <w:t xml:space="preserve">HireRise Career Intelligence Platform</w:t>
      </w:r>
    </w:p>
    <w:p>
      <w:pPr>
        <w:spacing w:after="60"/>
      </w:pPr>
      <w:r>
        <w:rPr>
          <w:i/>
          <w:iCs/>
          <w:sz w:val="20"/>
          <w:szCs w:val="20"/>
        </w:rPr>
        <w:t xml:space="preserve">Internal Enterprise Architecture &amp; Engineering Governance Documentation</w:t>
      </w:r>
    </w:p>
    <w:p>
      <w:pPr>
        <w:spacing w:after="100"/>
      </w:pPr>
      <w:r>
        <w:rPr>
          <w:sz w:val="20"/>
          <w:szCs w:val="20"/>
        </w:rPr>
        <w:t xml:space="preserve">Version 1.0 | Status: DRAFT FOR REVIEW</w:t>
      </w:r>
    </w:p>
    <w:p>
      <w:pPr>
        <w:spacing w:after="300"/>
      </w:pPr>
      <w:r>
        <w:rPr>
          <w:i/>
          <w:iCs/>
          <w:sz w:val="18"/>
          <w:szCs w:val="18"/>
        </w:rPr>
        <w:t xml:space="preserve">Final analytical dashboard in the Executive Dashboard Suite (Sections 10.1–10.13)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2CC" w:val="clear"/>
            <w:tcMar>
              <w:top w:type="dxa" w:w="150"/>
              <w:left w:type="dxa" w:w="150"/>
              <w:bottom w:type="dxa" w:w="150"/>
              <w:right w:type="dxa" w:w="150"/>
            </w:tcMar>
          </w:tcPr>
          <w:p>
            <w:pPr>
              <w:spacing w:after="100"/>
            </w:pPr>
            <w:r>
              <w:rPr>
                <w:b/>
                <w:bCs/>
                <w:sz w:val="20"/>
                <w:szCs w:val="20"/>
              </w:rPr>
              <w:t xml:space="preserve">Document Classification &amp; Scope Notice</w:t>
            </w:r>
          </w:p>
          <w:p>
            <w:pPr>
              <w:spacing w:after="100"/>
            </w:pPr>
            <w:r>
              <w:rPr>
                <w:b w:val="false"/>
                <w:bCs w:val="false"/>
                <w:sz w:val="20"/>
                <w:szCs w:val="20"/>
              </w:rPr>
              <w:t xml:space="preserve">This document is internal Enterprise Architecture and Engineering Governance documentation produced by and for the HireRise engineering function. It is not an external audit, independent assurance report, third-party consulting engagement, or third-party certification. No content should be read as review or approval by Deloitte, Gartner, Accenture, PwC, KPMG, or any other external party.</w:t>
            </w:r>
          </w:p>
          <w:p>
            <w:pPr>
              <w:spacing w:after="100"/>
            </w:pPr>
            <w:r>
              <w:rPr>
                <w:b w:val="false"/>
                <w:bCs w:val="false"/>
                <w:sz w:val="20"/>
                <w:szCs w:val="20"/>
              </w:rPr>
              <w:t xml:space="preserve">References to an "Enterprise Architecture Board," "Executive Steering Committee," "Portfolio Governance Board," or "PMO Leadership" describe target-state governance roles defined in ERP-01 Phase B §9 and do not imply such bodies currently exist or are currently convened.</w:t>
            </w:r>
          </w:p>
          <w:p>
            <w:pPr>
              <w:spacing w:after="0"/>
            </w:pPr>
            <w:r>
              <w:rPr>
                <w:b w:val="false"/>
                <w:bCs w:val="false"/>
                <w:sz w:val="20"/>
                <w:szCs w:val="20"/>
              </w:rPr>
              <w:t xml:space="preserve">Every decision, status, and dependency in this document is reused verbatim from an approved ERP-01 finding or is a direct, non-speculative consolidation. No new decision authority, approval gate, or governance workflow is introduced. Where evidence does not exist, this document states "Not Evidenced in Current Baseline." Where content belongs to future scope, it states "Reserved for Future Realization Phases."</w:t>
            </w:r>
          </w:p>
        </w:tc>
      </w:tr>
    </w:tbl>
    <w:p>
      <w:r>
        <w:br w:type="page"/>
      </w:r>
    </w:p>
    <w:p>
      <w:pPr>
        <w:pStyle w:val="Heading1"/>
        <w:spacing w:after="140" w:before="280"/>
      </w:pPr>
      <w:r>
        <w:t xml:space="preserve">10.13.1 — Executive Decision Overview</w:t>
      </w:r>
    </w:p>
    <w:p>
      <w:pPr>
        <w:spacing w:after="160"/>
        <w:jc w:val="both"/>
      </w:pPr>
      <w:r>
        <w:rPr>
          <w:sz w:val="22"/>
          <w:szCs w:val="22"/>
        </w:rPr>
        <w:t xml:space="preserve">Sections 10.10, 10.11, and 10.12 consolidate ERP-01's evidence, acceptance posture, and readiness posture, respectively. Section 10.13 completes the Executive Dashboard Suite by consolidating a fourth and distinct view: the decisions themselves — which governance determinations have already been made, which remain pending an executive action, what depends on what, and where authority for the next step currently sits.</w:t>
      </w:r>
    </w:p>
    <w:p>
      <w:pPr>
        <w:spacing w:after="160"/>
        <w:jc w:val="both"/>
      </w:pPr>
      <w:r>
        <w:rPr>
          <w:sz w:val="22"/>
          <w:szCs w:val="22"/>
        </w:rPr>
        <w:t xml:space="preserve">This document redefines no governance process and creates no new decision authority. Every decision it lists was made in Phase A.2 or Phase A.3 and is reused here unchanged; every dependency it shows is reused from Phase B, Section 1, or the Section 10.2–10.12 dashboard series. Its sole contribution is arranging existing decisions around the question an executive reader asks first: what, specifically, is mine to decide or authorize right now.</w:t>
      </w:r>
    </w:p>
    <w:p>
      <w:pPr>
        <w:spacing w:after="160"/>
        <w:jc w:val="both"/>
      </w:pPr>
      <w:r>
        <w:rPr>
          <w:sz w:val="22"/>
          <w:szCs w:val="22"/>
        </w:rPr>
        <w:t xml:space="preserve">As the final analytical dashboard in the suite, this document does not repeat the narrative readiness or acceptance analysis already provided in Sections 10.10–10.12; it cross-references them and focuses on decision status, approval sequencing, and escalation.</w:t>
      </w:r>
    </w:p>
    <w:p>
      <w:pPr>
        <w:spacing w:after="160"/>
        <w:jc w:val="both"/>
      </w:pPr>
      <w:r>
        <w:rPr>
          <w:i/>
          <w:iCs/>
          <w:sz w:val="20"/>
          <w:szCs w:val="20"/>
        </w:rPr>
        <w:t xml:space="preserve">Evidence Classification: Derived Executive Assessment.</w:t>
      </w:r>
    </w:p>
    <w:p>
      <w:pPr>
        <w:pStyle w:val="Heading1"/>
        <w:spacing w:after="140" w:before="280"/>
      </w:pPr>
      <w:r>
        <w:t xml:space="preserve">10.13.2 — Enterprise Decision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3350"/>
        <w:gridCol w:w="3300"/>
      </w:tblGrid>
      <w:tr>
        <w:tc>
          <w:tcPr>
            <w:tcW w:type="dxa" w:w="2700"/>
            <w:shd w:fill="1F3864" w:val="clear"/>
            <w:vAlign w:val="center"/>
          </w:tcPr>
          <w:p>
            <w:r>
              <w:rPr>
                <w:b/>
                <w:bCs/>
                <w:sz w:val="18"/>
                <w:szCs w:val="18"/>
              </w:rPr>
              <w:t xml:space="preserve">Decision Category</w:t>
            </w:r>
          </w:p>
        </w:tc>
        <w:tc>
          <w:tcPr>
            <w:tcW w:type="dxa" w:w="3350"/>
            <w:shd w:fill="1F3864" w:val="clear"/>
            <w:vAlign w:val="center"/>
          </w:tcPr>
          <w:p>
            <w:r>
              <w:rPr>
                <w:b/>
                <w:bCs/>
                <w:sz w:val="18"/>
                <w:szCs w:val="18"/>
              </w:rPr>
              <w:t xml:space="preserve">Decisions Made</w:t>
            </w:r>
          </w:p>
        </w:tc>
        <w:tc>
          <w:tcPr>
            <w:tcW w:type="dxa" w:w="3300"/>
            <w:shd w:fill="1F3864" w:val="clear"/>
            <w:vAlign w:val="center"/>
          </w:tcPr>
          <w:p>
            <w:r>
              <w:rPr>
                <w:b/>
                <w:bCs/>
                <w:sz w:val="18"/>
                <w:szCs w:val="18"/>
              </w:rPr>
              <w:t xml:space="preserve">Decisions Pending Executive Action</w:t>
            </w:r>
          </w:p>
        </w:tc>
      </w:tr>
      <w:tr>
        <w:tc>
          <w:tcPr>
            <w:tcW w:type="dxa" w:w="2700"/>
            <w:shd w:fill="F2F2F2" w:val="clear"/>
            <w:vAlign w:val="center"/>
          </w:tcPr>
          <w:p>
            <w:r>
              <w:rPr>
                <w:sz w:val="18"/>
                <w:szCs w:val="18"/>
              </w:rPr>
              <w:t xml:space="preserve">Architecture Decisions (AR dispositions)</w:t>
            </w:r>
          </w:p>
        </w:tc>
        <w:tc>
          <w:tcPr>
            <w:tcW w:type="dxa" w:w="3350"/>
            <w:shd w:fill="F2F2F2" w:val="clear"/>
            <w:vAlign w:val="center"/>
          </w:tcPr>
          <w:p>
            <w:r>
              <w:rPr>
                <w:sz w:val="18"/>
                <w:szCs w:val="18"/>
              </w:rPr>
              <w:t xml:space="preserve">10 of 10 (Phase A.3 §7)</w:t>
            </w:r>
          </w:p>
        </w:tc>
        <w:tc>
          <w:tcPr>
            <w:tcW w:type="dxa" w:w="3300"/>
            <w:shd w:fill="F2F2F2" w:val="clear"/>
            <w:vAlign w:val="center"/>
          </w:tcPr>
          <w:p>
            <w:r>
              <w:rPr>
                <w:sz w:val="18"/>
                <w:szCs w:val="18"/>
              </w:rPr>
              <w:t xml:space="preserve">0 — all dispositioned; 6 await execution of their governing WP</w:t>
            </w:r>
          </w:p>
        </w:tc>
      </w:tr>
      <w:tr>
        <w:tc>
          <w:tcPr>
            <w:tcW w:type="dxa" w:w="2700"/>
            <w:shd w:fill="FFFFFF" w:val="clear"/>
            <w:vAlign w:val="center"/>
          </w:tcPr>
          <w:p>
            <w:r>
              <w:rPr>
                <w:sz w:val="18"/>
                <w:szCs w:val="18"/>
              </w:rPr>
              <w:t xml:space="preserve">Governance Decisions (EGDs)</w:t>
            </w:r>
          </w:p>
        </w:tc>
        <w:tc>
          <w:tcPr>
            <w:tcW w:type="dxa" w:w="3350"/>
            <w:shd w:fill="FFFFFF" w:val="clear"/>
            <w:vAlign w:val="center"/>
          </w:tcPr>
          <w:p>
            <w:r>
              <w:rPr>
                <w:sz w:val="18"/>
                <w:szCs w:val="18"/>
              </w:rPr>
              <w:t xml:space="preserve">9 of 9 recorded and dispositioned</w:t>
            </w:r>
          </w:p>
        </w:tc>
        <w:tc>
          <w:tcPr>
            <w:tcW w:type="dxa" w:w="3300"/>
            <w:shd w:fill="FFFFFF" w:val="clear"/>
            <w:vAlign w:val="center"/>
          </w:tcPr>
          <w:p>
            <w:r>
              <w:rPr>
                <w:sz w:val="18"/>
                <w:szCs w:val="18"/>
              </w:rPr>
              <w:t xml:space="preserve">0 new decisions; 9 of 9 owner fields unassigned pending WP-0006</w:t>
            </w:r>
          </w:p>
        </w:tc>
      </w:tr>
      <w:tr>
        <w:tc>
          <w:tcPr>
            <w:tcW w:type="dxa" w:w="2700"/>
            <w:shd w:fill="F2F2F2" w:val="clear"/>
            <w:vAlign w:val="center"/>
          </w:tcPr>
          <w:p>
            <w:r>
              <w:rPr>
                <w:sz w:val="18"/>
                <w:szCs w:val="18"/>
              </w:rPr>
              <w:t xml:space="preserve">Portfolio Decisions</w:t>
            </w:r>
          </w:p>
        </w:tc>
        <w:tc>
          <w:tcPr>
            <w:tcW w:type="dxa" w:w="3350"/>
            <w:shd w:fill="F2F2F2" w:val="clear"/>
            <w:vAlign w:val="center"/>
          </w:tcPr>
          <w:p>
            <w:r>
              <w:rPr>
                <w:sz w:val="18"/>
                <w:szCs w:val="18"/>
              </w:rPr>
              <w:t xml:space="preserve">3 of 8 portfolios scoped (Portfolios 1, 2, 8)</w:t>
            </w:r>
          </w:p>
        </w:tc>
        <w:tc>
          <w:tcPr>
            <w:tcW w:type="dxa" w:w="3300"/>
            <w:shd w:fill="F2F2F2" w:val="clear"/>
            <w:vAlign w:val="center"/>
          </w:tcPr>
          <w:p>
            <w:r>
              <w:rPr>
                <w:sz w:val="18"/>
                <w:szCs w:val="18"/>
              </w:rPr>
              <w:t xml:space="preserve">5 portfolios await a future realization phase before scoping</w:t>
            </w:r>
          </w:p>
        </w:tc>
      </w:tr>
      <w:tr>
        <w:tc>
          <w:tcPr>
            <w:tcW w:type="dxa" w:w="2700"/>
            <w:shd w:fill="FFFFFF" w:val="clear"/>
            <w:vAlign w:val="center"/>
          </w:tcPr>
          <w:p>
            <w:r>
              <w:rPr>
                <w:sz w:val="18"/>
                <w:szCs w:val="18"/>
              </w:rPr>
              <w:t xml:space="preserve">Wave Decisions</w:t>
            </w:r>
          </w:p>
        </w:tc>
        <w:tc>
          <w:tcPr>
            <w:tcW w:type="dxa" w:w="3350"/>
            <w:shd w:fill="FFFFFF" w:val="clear"/>
            <w:vAlign w:val="center"/>
          </w:tcPr>
          <w:p>
            <w:r>
              <w:rPr>
                <w:sz w:val="18"/>
                <w:szCs w:val="18"/>
              </w:rPr>
              <w:t xml:space="preserve">3 waves sequenced (Section 10.5)</w:t>
            </w:r>
          </w:p>
        </w:tc>
        <w:tc>
          <w:tcPr>
            <w:tcW w:type="dxa" w:w="3300"/>
            <w:shd w:fill="FFFFFF" w:val="clear"/>
            <w:vAlign w:val="center"/>
          </w:tcPr>
          <w:p>
            <w:r>
              <w:rPr>
                <w:sz w:val="18"/>
                <w:szCs w:val="18"/>
              </w:rPr>
              <w:t xml:space="preserve">Wave 1 and Wave 2 await execution authorization; Wave 3 awaits its trigger</w:t>
            </w:r>
          </w:p>
        </w:tc>
      </w:tr>
      <w:tr>
        <w:tc>
          <w:tcPr>
            <w:tcW w:type="dxa" w:w="2700"/>
            <w:shd w:fill="F2F2F2" w:val="clear"/>
            <w:vAlign w:val="center"/>
          </w:tcPr>
          <w:p>
            <w:r>
              <w:rPr>
                <w:sz w:val="18"/>
                <w:szCs w:val="18"/>
              </w:rPr>
              <w:t xml:space="preserve">Verification Decisions</w:t>
            </w:r>
          </w:p>
        </w:tc>
        <w:tc>
          <w:tcPr>
            <w:tcW w:type="dxa" w:w="3350"/>
            <w:shd w:fill="F2F2F2" w:val="clear"/>
            <w:vAlign w:val="center"/>
          </w:tcPr>
          <w:p>
            <w:r>
              <w:rPr>
                <w:sz w:val="18"/>
                <w:szCs w:val="18"/>
              </w:rPr>
              <w:t xml:space="preserve">Method defined for all 10 ARs / 6 WPs</w:t>
            </w:r>
          </w:p>
        </w:tc>
        <w:tc>
          <w:tcPr>
            <w:tcW w:type="dxa" w:w="3300"/>
            <w:shd w:fill="F2F2F2" w:val="clear"/>
            <w:vAlign w:val="center"/>
          </w:tcPr>
          <w:p>
            <w:r>
              <w:rPr>
                <w:sz w:val="18"/>
                <w:szCs w:val="18"/>
              </w:rPr>
              <w:t xml:space="preserve">0 pending — execution, not decision, is the gap</w:t>
            </w:r>
          </w:p>
        </w:tc>
      </w:tr>
      <w:tr>
        <w:tc>
          <w:tcPr>
            <w:tcW w:type="dxa" w:w="2700"/>
            <w:shd w:fill="FFFFFF" w:val="clear"/>
            <w:vAlign w:val="center"/>
          </w:tcPr>
          <w:p>
            <w:r>
              <w:rPr>
                <w:sz w:val="18"/>
                <w:szCs w:val="18"/>
              </w:rPr>
              <w:t xml:space="preserve">Acceptance Decisions</w:t>
            </w:r>
          </w:p>
        </w:tc>
        <w:tc>
          <w:tcPr>
            <w:tcW w:type="dxa" w:w="3350"/>
            <w:shd w:fill="FFFFFF" w:val="clear"/>
            <w:vAlign w:val="center"/>
          </w:tcPr>
          <w:p>
            <w:r>
              <w:rPr>
                <w:sz w:val="18"/>
                <w:szCs w:val="18"/>
              </w:rPr>
              <w:t xml:space="preserve">Criteria defined for all 6 WPs (Section 9)</w:t>
            </w:r>
          </w:p>
        </w:tc>
        <w:tc>
          <w:tcPr>
            <w:tcW w:type="dxa" w:w="3300"/>
            <w:shd w:fill="FFFFFF" w:val="clear"/>
            <w:vAlign w:val="center"/>
          </w:tcPr>
          <w:p>
            <w:r>
              <w:rPr>
                <w:sz w:val="18"/>
                <w:szCs w:val="18"/>
              </w:rPr>
              <w:t xml:space="preserve">0 pending — acceptance itself awaits execution</w:t>
            </w:r>
          </w:p>
        </w:tc>
      </w:tr>
      <w:tr>
        <w:tc>
          <w:tcPr>
            <w:tcW w:type="dxa" w:w="2700"/>
            <w:shd w:fill="F2F2F2" w:val="clear"/>
            <w:vAlign w:val="center"/>
          </w:tcPr>
          <w:p>
            <w:r>
              <w:rPr>
                <w:sz w:val="18"/>
                <w:szCs w:val="18"/>
              </w:rPr>
              <w:t xml:space="preserve">Readiness Decisions</w:t>
            </w:r>
          </w:p>
        </w:tc>
        <w:tc>
          <w:tcPr>
            <w:tcW w:type="dxa" w:w="3350"/>
            <w:shd w:fill="F2F2F2" w:val="clear"/>
            <w:vAlign w:val="center"/>
          </w:tcPr>
          <w:p>
            <w:r>
              <w:rPr>
                <w:sz w:val="18"/>
                <w:szCs w:val="18"/>
              </w:rPr>
              <w:t xml:space="preserve">Readiness assessed across 9 dimensions (Section 10.12)</w:t>
            </w:r>
          </w:p>
        </w:tc>
        <w:tc>
          <w:tcPr>
            <w:tcW w:type="dxa" w:w="3300"/>
            <w:shd w:fill="F2F2F2" w:val="clear"/>
            <w:vAlign w:val="center"/>
          </w:tcPr>
          <w:p>
            <w:r>
              <w:rPr>
                <w:sz w:val="18"/>
                <w:szCs w:val="18"/>
              </w:rPr>
              <w:t xml:space="preserve">0 pending — readiness is confirmed; action is administrative</w:t>
            </w:r>
          </w:p>
        </w:tc>
      </w:tr>
      <w:tr>
        <w:tc>
          <w:tcPr>
            <w:tcW w:type="dxa" w:w="2700"/>
            <w:shd w:fill="FFFFFF" w:val="clear"/>
            <w:vAlign w:val="center"/>
          </w:tcPr>
          <w:p>
            <w:r>
              <w:rPr>
                <w:sz w:val="18"/>
                <w:szCs w:val="18"/>
              </w:rPr>
              <w:t xml:space="preserve">Executive Actions</w:t>
            </w:r>
          </w:p>
        </w:tc>
        <w:tc>
          <w:tcPr>
            <w:tcW w:type="dxa" w:w="3350"/>
            <w:shd w:fill="FFFFFF" w:val="clear"/>
            <w:vAlign w:val="center"/>
          </w:tcPr>
          <w:p>
            <w:r>
              <w:rPr>
                <w:sz w:val="18"/>
                <w:szCs w:val="18"/>
              </w:rPr>
              <w:t xml:space="preserve">See Section 10.13.7 (Escalation Matrix)</w:t>
            </w:r>
          </w:p>
        </w:tc>
        <w:tc>
          <w:tcPr>
            <w:tcW w:type="dxa" w:w="3300"/>
            <w:shd w:fill="FFFFFF" w:val="clear"/>
            <w:vAlign w:val="center"/>
          </w:tcPr>
          <w:p>
            <w:r>
              <w:rPr>
                <w:sz w:val="18"/>
                <w:szCs w:val="18"/>
              </w:rPr>
              <w:t xml:space="preserve">1 primary action: name an owner under WP-0006</w:t>
            </w:r>
          </w:p>
        </w:tc>
      </w:tr>
    </w:tbl>
    <w:p>
      <w:pPr>
        <w:spacing w:after="160"/>
        <w:jc w:val="both"/>
      </w:pPr>
      <w:r>
        <w:rPr>
          <w:i/>
          <w:iCs/>
          <w:sz w:val="20"/>
          <w:szCs w:val="20"/>
        </w:rPr>
        <w:t xml:space="preserve">Evidence Classification: Observed Evidence (Phase A.2–A.3; Section 10.2–10.12).</w:t>
      </w:r>
    </w:p>
    <w:p>
      <w:pPr>
        <w:pStyle w:val="Heading1"/>
        <w:spacing w:after="140" w:before="280"/>
      </w:pPr>
      <w:r>
        <w:t xml:space="preserve">10.13.3 — Architecture Decision Matrix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300"/>
        <w:gridCol w:w="2200"/>
        <w:gridCol w:w="2250"/>
      </w:tblGrid>
      <w:tr>
        <w:tc>
          <w:tcPr>
            <w:tcW w:type="dxa" w:w="1000"/>
            <w:shd w:fill="1F3864" w:val="clear"/>
            <w:vAlign w:val="center"/>
          </w:tcPr>
          <w:p>
            <w:r>
              <w:rPr>
                <w:b/>
                <w:bCs/>
                <w:sz w:val="18"/>
                <w:szCs w:val="18"/>
              </w:rPr>
              <w:t xml:space="preserve">AR</w:t>
            </w:r>
          </w:p>
        </w:tc>
        <w:tc>
          <w:tcPr>
            <w:tcW w:type="dxa" w:w="1600"/>
            <w:shd w:fill="1F3864" w:val="clear"/>
            <w:vAlign w:val="center"/>
          </w:tcPr>
          <w:p>
            <w:r>
              <w:rPr>
                <w:b/>
                <w:bCs/>
                <w:sz w:val="18"/>
                <w:szCs w:val="18"/>
              </w:rPr>
              <w:t xml:space="preserve">Governing EGD</w:t>
            </w:r>
          </w:p>
        </w:tc>
        <w:tc>
          <w:tcPr>
            <w:tcW w:type="dxa" w:w="2300"/>
            <w:shd w:fill="1F3864" w:val="clear"/>
            <w:vAlign w:val="center"/>
          </w:tcPr>
          <w:p>
            <w:r>
              <w:rPr>
                <w:b/>
                <w:bCs/>
                <w:sz w:val="18"/>
                <w:szCs w:val="18"/>
              </w:rPr>
              <w:t xml:space="preserve">Current Disposition</w:t>
            </w:r>
          </w:p>
        </w:tc>
        <w:tc>
          <w:tcPr>
            <w:tcW w:type="dxa" w:w="2200"/>
            <w:shd w:fill="1F3864" w:val="clear"/>
            <w:vAlign w:val="center"/>
          </w:tcPr>
          <w:p>
            <w:r>
              <w:rPr>
                <w:b/>
                <w:bCs/>
                <w:sz w:val="18"/>
                <w:szCs w:val="18"/>
              </w:rPr>
              <w:t xml:space="preserve">Implementation Dependency</w:t>
            </w:r>
          </w:p>
        </w:tc>
        <w:tc>
          <w:tcPr>
            <w:tcW w:type="dxa" w:w="2250"/>
            <w:shd w:fill="1F3864" w:val="clear"/>
            <w:vAlign w:val="center"/>
          </w:tcPr>
          <w:p>
            <w:r>
              <w:rPr>
                <w:b/>
                <w:bCs/>
                <w:sz w:val="18"/>
                <w:szCs w:val="18"/>
              </w:rPr>
              <w:t xml:space="preserve">Executive Decision Status</w:t>
            </w:r>
          </w:p>
        </w:tc>
      </w:tr>
      <w:tr>
        <w:tc>
          <w:tcPr>
            <w:tcW w:type="dxa" w:w="1000"/>
            <w:shd w:fill="F2F2F2" w:val="clear"/>
            <w:vAlign w:val="center"/>
          </w:tcPr>
          <w:p>
            <w:r>
              <w:rPr>
                <w:sz w:val="18"/>
                <w:szCs w:val="18"/>
              </w:rPr>
              <w:t xml:space="preserve">AR-0001</w:t>
            </w:r>
          </w:p>
        </w:tc>
        <w:tc>
          <w:tcPr>
            <w:tcW w:type="dxa" w:w="1600"/>
            <w:shd w:fill="F2F2F2" w:val="clear"/>
            <w:vAlign w:val="center"/>
          </w:tcPr>
          <w:p>
            <w:r>
              <w:rPr>
                <w:sz w:val="18"/>
                <w:szCs w:val="18"/>
              </w:rPr>
              <w:t xml:space="preserve">EGD-0001</w:t>
            </w:r>
          </w:p>
        </w:tc>
        <w:tc>
          <w:tcPr>
            <w:tcW w:type="dxa" w:w="2300"/>
            <w:shd w:fill="F2F2F2" w:val="clear"/>
            <w:vAlign w:val="center"/>
          </w:tcPr>
          <w:p>
            <w:r>
              <w:rPr>
                <w:sz w:val="18"/>
                <w:szCs w:val="18"/>
              </w:rPr>
              <w:t xml:space="preserve">Deferred</w:t>
            </w:r>
          </w:p>
        </w:tc>
        <w:tc>
          <w:tcPr>
            <w:tcW w:type="dxa" w:w="2200"/>
            <w:shd w:fill="F2F2F2" w:val="clear"/>
            <w:vAlign w:val="center"/>
          </w:tcPr>
          <w:p>
            <w:r>
              <w:rPr>
                <w:sz w:val="18"/>
                <w:szCs w:val="18"/>
              </w:rPr>
              <w:t xml:space="preserve">None — monitored quarterly</w:t>
            </w:r>
          </w:p>
        </w:tc>
        <w:tc>
          <w:tcPr>
            <w:tcW w:type="dxa" w:w="2250"/>
            <w:shd w:fill="F2F2F2" w:val="clear"/>
            <w:vAlign w:val="center"/>
          </w:tcPr>
          <w:p>
            <w:r>
              <w:rPr>
                <w:sz w:val="18"/>
                <w:szCs w:val="18"/>
              </w:rPr>
              <w:t xml:space="preserve">Decided; no action pending</w:t>
            </w:r>
          </w:p>
        </w:tc>
      </w:tr>
      <w:tr>
        <w:tc>
          <w:tcPr>
            <w:tcW w:type="dxa" w:w="1000"/>
            <w:shd w:fill="FFFFFF" w:val="clear"/>
            <w:vAlign w:val="center"/>
          </w:tcPr>
          <w:p>
            <w:r>
              <w:rPr>
                <w:sz w:val="18"/>
                <w:szCs w:val="18"/>
              </w:rPr>
              <w:t xml:space="preserve">AR-0002</w:t>
            </w:r>
          </w:p>
        </w:tc>
        <w:tc>
          <w:tcPr>
            <w:tcW w:type="dxa" w:w="1600"/>
            <w:shd w:fill="FFFFFF" w:val="clear"/>
            <w:vAlign w:val="center"/>
          </w:tcPr>
          <w:p>
            <w:r>
              <w:rPr>
                <w:sz w:val="18"/>
                <w:szCs w:val="18"/>
              </w:rPr>
              <w:t xml:space="preserve">EGD-0002</w:t>
            </w:r>
          </w:p>
        </w:tc>
        <w:tc>
          <w:tcPr>
            <w:tcW w:type="dxa" w:w="2300"/>
            <w:shd w:fill="FFFFFF" w:val="clear"/>
            <w:vAlign w:val="center"/>
          </w:tcPr>
          <w:p>
            <w:r>
              <w:rPr>
                <w:sz w:val="18"/>
                <w:szCs w:val="18"/>
              </w:rPr>
              <w:t xml:space="preserve">Accepted (Supersede)</w:t>
            </w:r>
          </w:p>
        </w:tc>
        <w:tc>
          <w:tcPr>
            <w:tcW w:type="dxa" w:w="2200"/>
            <w:shd w:fill="FFFFFF" w:val="clear"/>
            <w:vAlign w:val="center"/>
          </w:tcPr>
          <w:p>
            <w:r>
              <w:rPr>
                <w:sz w:val="18"/>
                <w:szCs w:val="18"/>
              </w:rPr>
              <w:t xml:space="preserve">WP-0001</w:t>
            </w:r>
          </w:p>
        </w:tc>
        <w:tc>
          <w:tcPr>
            <w:tcW w:type="dxa" w:w="2250"/>
            <w:shd w:fill="FFFFFF" w:val="clear"/>
            <w:vAlign w:val="center"/>
          </w:tcPr>
          <w:p>
            <w:r>
              <w:rPr>
                <w:sz w:val="18"/>
                <w:szCs w:val="18"/>
              </w:rPr>
              <w:t xml:space="preserve">Decided; awaits WP-0001 execution</w:t>
            </w:r>
          </w:p>
        </w:tc>
      </w:tr>
      <w:tr>
        <w:tc>
          <w:tcPr>
            <w:tcW w:type="dxa" w:w="1000"/>
            <w:shd w:fill="F2F2F2" w:val="clear"/>
            <w:vAlign w:val="center"/>
          </w:tcPr>
          <w:p>
            <w:r>
              <w:rPr>
                <w:sz w:val="18"/>
                <w:szCs w:val="18"/>
              </w:rPr>
              <w:t xml:space="preserve">AR-0003</w:t>
            </w:r>
          </w:p>
        </w:tc>
        <w:tc>
          <w:tcPr>
            <w:tcW w:type="dxa" w:w="1600"/>
            <w:shd w:fill="F2F2F2" w:val="clear"/>
            <w:vAlign w:val="center"/>
          </w:tcPr>
          <w:p>
            <w:r>
              <w:rPr>
                <w:sz w:val="18"/>
                <w:szCs w:val="18"/>
              </w:rPr>
              <w:t xml:space="preserve">EGD-0003</w:t>
            </w:r>
          </w:p>
        </w:tc>
        <w:tc>
          <w:tcPr>
            <w:tcW w:type="dxa" w:w="2300"/>
            <w:shd w:fill="F2F2F2" w:val="clear"/>
            <w:vAlign w:val="center"/>
          </w:tcPr>
          <w:p>
            <w:r>
              <w:rPr>
                <w:sz w:val="18"/>
                <w:szCs w:val="18"/>
              </w:rPr>
              <w:t xml:space="preserve">Accepted, conditional</w:t>
            </w:r>
          </w:p>
        </w:tc>
        <w:tc>
          <w:tcPr>
            <w:tcW w:type="dxa" w:w="2200"/>
            <w:shd w:fill="F2F2F2" w:val="clear"/>
            <w:vAlign w:val="center"/>
          </w:tcPr>
          <w:p>
            <w:r>
              <w:rPr>
                <w:sz w:val="18"/>
                <w:szCs w:val="18"/>
              </w:rPr>
              <w:t xml:space="preserve">WP-0004</w:t>
            </w:r>
          </w:p>
        </w:tc>
        <w:tc>
          <w:tcPr>
            <w:tcW w:type="dxa" w:w="2250"/>
            <w:shd w:fill="F2F2F2" w:val="clear"/>
            <w:vAlign w:val="center"/>
          </w:tcPr>
          <w:p>
            <w:r>
              <w:rPr>
                <w:sz w:val="18"/>
                <w:szCs w:val="18"/>
              </w:rPr>
              <w:t xml:space="preserve">Decided; awaits WP-0004 execution</w:t>
            </w:r>
          </w:p>
        </w:tc>
      </w:tr>
      <w:tr>
        <w:tc>
          <w:tcPr>
            <w:tcW w:type="dxa" w:w="1000"/>
            <w:shd w:fill="FFFFFF" w:val="clear"/>
            <w:vAlign w:val="center"/>
          </w:tcPr>
          <w:p>
            <w:r>
              <w:rPr>
                <w:sz w:val="18"/>
                <w:szCs w:val="18"/>
              </w:rPr>
              <w:t xml:space="preserve">AR-0004</w:t>
            </w:r>
          </w:p>
        </w:tc>
        <w:tc>
          <w:tcPr>
            <w:tcW w:type="dxa" w:w="1600"/>
            <w:shd w:fill="FFFFFF" w:val="clear"/>
            <w:vAlign w:val="center"/>
          </w:tcPr>
          <w:p>
            <w:r>
              <w:rPr>
                <w:sz w:val="18"/>
                <w:szCs w:val="18"/>
              </w:rPr>
              <w:t xml:space="preserve">EGD-0004</w:t>
            </w:r>
          </w:p>
        </w:tc>
        <w:tc>
          <w:tcPr>
            <w:tcW w:type="dxa" w:w="2300"/>
            <w:shd w:fill="FFFFFF" w:val="clear"/>
            <w:vAlign w:val="center"/>
          </w:tcPr>
          <w:p>
            <w:r>
              <w:rPr>
                <w:sz w:val="18"/>
                <w:szCs w:val="18"/>
              </w:rPr>
              <w:t xml:space="preserve">Deferred</w:t>
            </w:r>
          </w:p>
        </w:tc>
        <w:tc>
          <w:tcPr>
            <w:tcW w:type="dxa" w:w="2200"/>
            <w:shd w:fill="FFFFFF" w:val="clear"/>
            <w:vAlign w:val="center"/>
          </w:tcPr>
          <w:p>
            <w:r>
              <w:rPr>
                <w:sz w:val="18"/>
                <w:szCs w:val="18"/>
              </w:rPr>
              <w:t xml:space="preserve">WP-0003 (trigger-gated)</w:t>
            </w:r>
          </w:p>
        </w:tc>
        <w:tc>
          <w:tcPr>
            <w:tcW w:type="dxa" w:w="2250"/>
            <w:shd w:fill="FFFFFF" w:val="clear"/>
            <w:vAlign w:val="center"/>
          </w:tcPr>
          <w:p>
            <w:r>
              <w:rPr>
                <w:sz w:val="18"/>
                <w:szCs w:val="18"/>
              </w:rPr>
              <w:t xml:space="preserve">Decided; awaits external trigger, not a decision</w:t>
            </w:r>
          </w:p>
        </w:tc>
      </w:tr>
      <w:tr>
        <w:tc>
          <w:tcPr>
            <w:tcW w:type="dxa" w:w="1000"/>
            <w:shd w:fill="F2F2F2" w:val="clear"/>
            <w:vAlign w:val="center"/>
          </w:tcPr>
          <w:p>
            <w:r>
              <w:rPr>
                <w:sz w:val="18"/>
                <w:szCs w:val="18"/>
              </w:rPr>
              <w:t xml:space="preserve">AR-0005</w:t>
            </w:r>
          </w:p>
        </w:tc>
        <w:tc>
          <w:tcPr>
            <w:tcW w:type="dxa" w:w="1600"/>
            <w:shd w:fill="F2F2F2" w:val="clear"/>
            <w:vAlign w:val="center"/>
          </w:tcPr>
          <w:p>
            <w:r>
              <w:rPr>
                <w:sz w:val="18"/>
                <w:szCs w:val="18"/>
              </w:rPr>
              <w:t xml:space="preserve">EGD-0005</w:t>
            </w:r>
          </w:p>
        </w:tc>
        <w:tc>
          <w:tcPr>
            <w:tcW w:type="dxa" w:w="2300"/>
            <w:shd w:fill="F2F2F2" w:val="clear"/>
            <w:vAlign w:val="center"/>
          </w:tcPr>
          <w:p>
            <w:r>
              <w:rPr>
                <w:sz w:val="18"/>
                <w:szCs w:val="18"/>
              </w:rPr>
              <w:t xml:space="preserve">Deferred</w:t>
            </w:r>
          </w:p>
        </w:tc>
        <w:tc>
          <w:tcPr>
            <w:tcW w:type="dxa" w:w="2200"/>
            <w:shd w:fill="F2F2F2" w:val="clear"/>
            <w:vAlign w:val="center"/>
          </w:tcPr>
          <w:p>
            <w:r>
              <w:rPr>
                <w:sz w:val="18"/>
                <w:szCs w:val="18"/>
              </w:rPr>
              <w:t xml:space="preserve">None — monitored via product roadmap review</w:t>
            </w:r>
          </w:p>
        </w:tc>
        <w:tc>
          <w:tcPr>
            <w:tcW w:type="dxa" w:w="2250"/>
            <w:shd w:fill="F2F2F2" w:val="clear"/>
            <w:vAlign w:val="center"/>
          </w:tcPr>
          <w:p>
            <w:r>
              <w:rPr>
                <w:sz w:val="18"/>
                <w:szCs w:val="18"/>
              </w:rPr>
              <w:t xml:space="preserve">Decided; no action pending</w:t>
            </w:r>
          </w:p>
        </w:tc>
      </w:tr>
      <w:tr>
        <w:tc>
          <w:tcPr>
            <w:tcW w:type="dxa" w:w="1000"/>
            <w:shd w:fill="FFFFFF" w:val="clear"/>
            <w:vAlign w:val="center"/>
          </w:tcPr>
          <w:p>
            <w:r>
              <w:rPr>
                <w:sz w:val="18"/>
                <w:szCs w:val="18"/>
              </w:rPr>
              <w:t xml:space="preserve">AR-0006</w:t>
            </w:r>
          </w:p>
        </w:tc>
        <w:tc>
          <w:tcPr>
            <w:tcW w:type="dxa" w:w="1600"/>
            <w:shd w:fill="FFFFFF" w:val="clear"/>
            <w:vAlign w:val="center"/>
          </w:tcPr>
          <w:p>
            <w:r>
              <w:rPr>
                <w:sz w:val="18"/>
                <w:szCs w:val="18"/>
              </w:rPr>
              <w:t xml:space="preserve">EGD-0006</w:t>
            </w:r>
          </w:p>
        </w:tc>
        <w:tc>
          <w:tcPr>
            <w:tcW w:type="dxa" w:w="2300"/>
            <w:shd w:fill="FFFFFF" w:val="clear"/>
            <w:vAlign w:val="center"/>
          </w:tcPr>
          <w:p>
            <w:r>
              <w:rPr>
                <w:sz w:val="18"/>
                <w:szCs w:val="18"/>
              </w:rPr>
              <w:t xml:space="preserve">Deferred</w:t>
            </w:r>
          </w:p>
        </w:tc>
        <w:tc>
          <w:tcPr>
            <w:tcW w:type="dxa" w:w="2200"/>
            <w:shd w:fill="FFFFFF" w:val="clear"/>
            <w:vAlign w:val="center"/>
          </w:tcPr>
          <w:p>
            <w:r>
              <w:rPr>
                <w:sz w:val="18"/>
                <w:szCs w:val="18"/>
              </w:rPr>
              <w:t xml:space="preserve">None — monitored via compliance/audit review</w:t>
            </w:r>
          </w:p>
        </w:tc>
        <w:tc>
          <w:tcPr>
            <w:tcW w:type="dxa" w:w="2250"/>
            <w:shd w:fill="FFFFFF" w:val="clear"/>
            <w:vAlign w:val="center"/>
          </w:tcPr>
          <w:p>
            <w:r>
              <w:rPr>
                <w:sz w:val="18"/>
                <w:szCs w:val="18"/>
              </w:rPr>
              <w:t xml:space="preserve">Decided; no action pending</w:t>
            </w:r>
          </w:p>
        </w:tc>
      </w:tr>
      <w:tr>
        <w:tc>
          <w:tcPr>
            <w:tcW w:type="dxa" w:w="1000"/>
            <w:shd w:fill="F2F2F2" w:val="clear"/>
            <w:vAlign w:val="center"/>
          </w:tcPr>
          <w:p>
            <w:r>
              <w:rPr>
                <w:sz w:val="18"/>
                <w:szCs w:val="18"/>
              </w:rPr>
              <w:t xml:space="preserve">AR-0007</w:t>
            </w:r>
          </w:p>
        </w:tc>
        <w:tc>
          <w:tcPr>
            <w:tcW w:type="dxa" w:w="1600"/>
            <w:shd w:fill="F2F2F2" w:val="clear"/>
            <w:vAlign w:val="center"/>
          </w:tcPr>
          <w:p>
            <w:r>
              <w:rPr>
                <w:sz w:val="18"/>
                <w:szCs w:val="18"/>
              </w:rPr>
              <w:t xml:space="preserve">EGD-0007</w:t>
            </w:r>
          </w:p>
        </w:tc>
        <w:tc>
          <w:tcPr>
            <w:tcW w:type="dxa" w:w="2300"/>
            <w:shd w:fill="F2F2F2" w:val="clear"/>
            <w:vAlign w:val="center"/>
          </w:tcPr>
          <w:p>
            <w:r>
              <w:rPr>
                <w:sz w:val="18"/>
                <w:szCs w:val="18"/>
              </w:rPr>
              <w:t xml:space="preserve">Accepted, in progress</w:t>
            </w:r>
          </w:p>
        </w:tc>
        <w:tc>
          <w:tcPr>
            <w:tcW w:type="dxa" w:w="2200"/>
            <w:shd w:fill="F2F2F2" w:val="clear"/>
            <w:vAlign w:val="center"/>
          </w:tcPr>
          <w:p>
            <w:r>
              <w:rPr>
                <w:sz w:val="18"/>
                <w:szCs w:val="18"/>
              </w:rPr>
              <w:t xml:space="preserve">WP-0002 (WP-0005 extension)</w:t>
            </w:r>
          </w:p>
        </w:tc>
        <w:tc>
          <w:tcPr>
            <w:tcW w:type="dxa" w:w="2250"/>
            <w:shd w:fill="F2F2F2" w:val="clear"/>
            <w:vAlign w:val="center"/>
          </w:tcPr>
          <w:p>
            <w:r>
              <w:rPr>
                <w:sz w:val="18"/>
                <w:szCs w:val="18"/>
              </w:rPr>
              <w:t xml:space="preserve">Decided; awaits WP-0002/WP-0005 execution</w:t>
            </w:r>
          </w:p>
        </w:tc>
      </w:tr>
      <w:tr>
        <w:tc>
          <w:tcPr>
            <w:tcW w:type="dxa" w:w="1000"/>
            <w:shd w:fill="FFFFFF" w:val="clear"/>
            <w:vAlign w:val="center"/>
          </w:tcPr>
          <w:p>
            <w:r>
              <w:rPr>
                <w:sz w:val="18"/>
                <w:szCs w:val="18"/>
              </w:rPr>
              <w:t xml:space="preserve">AR-0008</w:t>
            </w:r>
          </w:p>
        </w:tc>
        <w:tc>
          <w:tcPr>
            <w:tcW w:type="dxa" w:w="1600"/>
            <w:shd w:fill="FFFFFF" w:val="clear"/>
            <w:vAlign w:val="center"/>
          </w:tcPr>
          <w:p>
            <w:r>
              <w:rPr>
                <w:sz w:val="18"/>
                <w:szCs w:val="18"/>
              </w:rPr>
              <w:t xml:space="preserve">EGD-0008</w:t>
            </w:r>
          </w:p>
        </w:tc>
        <w:tc>
          <w:tcPr>
            <w:tcW w:type="dxa" w:w="2300"/>
            <w:shd w:fill="FFFFFF" w:val="clear"/>
            <w:vAlign w:val="center"/>
          </w:tcPr>
          <w:p>
            <w:r>
              <w:rPr>
                <w:sz w:val="18"/>
                <w:szCs w:val="18"/>
              </w:rPr>
              <w:t xml:space="preserve">Accepted, standing</w:t>
            </w:r>
          </w:p>
        </w:tc>
        <w:tc>
          <w:tcPr>
            <w:tcW w:type="dxa" w:w="2200"/>
            <w:shd w:fill="FFFFFF" w:val="clear"/>
            <w:vAlign w:val="center"/>
          </w:tcPr>
          <w:p>
            <w:r>
              <w:rPr>
                <w:sz w:val="18"/>
                <w:szCs w:val="18"/>
              </w:rPr>
              <w:t xml:space="preserve">None — standing standard</w:t>
            </w:r>
          </w:p>
        </w:tc>
        <w:tc>
          <w:tcPr>
            <w:tcW w:type="dxa" w:w="2250"/>
            <w:shd w:fill="FFFFFF" w:val="clear"/>
            <w:vAlign w:val="center"/>
          </w:tcPr>
          <w:p>
            <w:r>
              <w:rPr>
                <w:sz w:val="18"/>
                <w:szCs w:val="18"/>
              </w:rPr>
              <w:t xml:space="preserve">Decided; no action pending</w:t>
            </w:r>
          </w:p>
        </w:tc>
      </w:tr>
      <w:tr>
        <w:tc>
          <w:tcPr>
            <w:tcW w:type="dxa" w:w="1000"/>
            <w:shd w:fill="F2F2F2" w:val="clear"/>
            <w:vAlign w:val="center"/>
          </w:tcPr>
          <w:p>
            <w:r>
              <w:rPr>
                <w:sz w:val="18"/>
                <w:szCs w:val="18"/>
              </w:rPr>
              <w:t xml:space="preserve">AR-0009</w:t>
            </w:r>
          </w:p>
        </w:tc>
        <w:tc>
          <w:tcPr>
            <w:tcW w:type="dxa" w:w="1600"/>
            <w:shd w:fill="F2F2F2" w:val="clear"/>
            <w:vAlign w:val="center"/>
          </w:tcPr>
          <w:p>
            <w:r>
              <w:rPr>
                <w:sz w:val="18"/>
                <w:szCs w:val="18"/>
              </w:rPr>
              <w:t xml:space="preserve">EGD-0008</w:t>
            </w:r>
          </w:p>
        </w:tc>
        <w:tc>
          <w:tcPr>
            <w:tcW w:type="dxa" w:w="2300"/>
            <w:shd w:fill="F2F2F2" w:val="clear"/>
            <w:vAlign w:val="center"/>
          </w:tcPr>
          <w:p>
            <w:r>
              <w:rPr>
                <w:sz w:val="18"/>
                <w:szCs w:val="18"/>
              </w:rPr>
              <w:t xml:space="preserve">Accepted, standing</w:t>
            </w:r>
          </w:p>
        </w:tc>
        <w:tc>
          <w:tcPr>
            <w:tcW w:type="dxa" w:w="2200"/>
            <w:shd w:fill="F2F2F2" w:val="clear"/>
            <w:vAlign w:val="center"/>
          </w:tcPr>
          <w:p>
            <w:r>
              <w:rPr>
                <w:sz w:val="18"/>
                <w:szCs w:val="18"/>
              </w:rPr>
              <w:t xml:space="preserve">None — standing standard</w:t>
            </w:r>
          </w:p>
        </w:tc>
        <w:tc>
          <w:tcPr>
            <w:tcW w:type="dxa" w:w="2250"/>
            <w:shd w:fill="F2F2F2" w:val="clear"/>
            <w:vAlign w:val="center"/>
          </w:tcPr>
          <w:p>
            <w:r>
              <w:rPr>
                <w:sz w:val="18"/>
                <w:szCs w:val="18"/>
              </w:rPr>
              <w:t xml:space="preserve">Decided; no action pending</w:t>
            </w:r>
          </w:p>
        </w:tc>
      </w:tr>
      <w:tr>
        <w:tc>
          <w:tcPr>
            <w:tcW w:type="dxa" w:w="1000"/>
            <w:shd w:fill="FFFFFF" w:val="clear"/>
            <w:vAlign w:val="center"/>
          </w:tcPr>
          <w:p>
            <w:r>
              <w:rPr>
                <w:sz w:val="18"/>
                <w:szCs w:val="18"/>
              </w:rPr>
              <w:t xml:space="preserve">AR-0010</w:t>
            </w:r>
          </w:p>
        </w:tc>
        <w:tc>
          <w:tcPr>
            <w:tcW w:type="dxa" w:w="1600"/>
            <w:shd w:fill="FFFFFF" w:val="clear"/>
            <w:vAlign w:val="center"/>
          </w:tcPr>
          <w:p>
            <w:r>
              <w:rPr>
                <w:sz w:val="18"/>
                <w:szCs w:val="18"/>
              </w:rPr>
              <w:t xml:space="preserve">EGD-0009</w:t>
            </w:r>
          </w:p>
        </w:tc>
        <w:tc>
          <w:tcPr>
            <w:tcW w:type="dxa" w:w="2300"/>
            <w:shd w:fill="FFFFFF" w:val="clear"/>
            <w:vAlign w:val="center"/>
          </w:tcPr>
          <w:p>
            <w:r>
              <w:rPr>
                <w:sz w:val="18"/>
                <w:szCs w:val="18"/>
              </w:rPr>
              <w:t xml:space="preserve">Accepted, standing</w:t>
            </w:r>
          </w:p>
        </w:tc>
        <w:tc>
          <w:tcPr>
            <w:tcW w:type="dxa" w:w="2200"/>
            <w:shd w:fill="FFFFFF" w:val="clear"/>
            <w:vAlign w:val="center"/>
          </w:tcPr>
          <w:p>
            <w:r>
              <w:rPr>
                <w:sz w:val="18"/>
                <w:szCs w:val="18"/>
              </w:rPr>
              <w:t xml:space="preserve">None — standing standard</w:t>
            </w:r>
          </w:p>
        </w:tc>
        <w:tc>
          <w:tcPr>
            <w:tcW w:type="dxa" w:w="2250"/>
            <w:shd w:fill="FFFFFF" w:val="clear"/>
            <w:vAlign w:val="center"/>
          </w:tcPr>
          <w:p>
            <w:r>
              <w:rPr>
                <w:sz w:val="18"/>
                <w:szCs w:val="18"/>
              </w:rPr>
              <w:t xml:space="preserve">Decided; no action pending</w:t>
            </w:r>
          </w:p>
        </w:tc>
      </w:tr>
    </w:tbl>
    <w:p>
      <w:pPr>
        <w:spacing w:after="160"/>
        <w:jc w:val="both"/>
      </w:pPr>
      <w:r>
        <w:rPr>
          <w:sz w:val="22"/>
          <w:szCs w:val="22"/>
        </w:rPr>
        <w:t xml:space="preserve">All ten Architecture Requirements carry a completed executive decision. None requires a new decision; six require execution of an already-decided Work Package, and one of those six is additionally gated on an external, quantitative trigger rather than any pending judgment call.</w:t>
      </w:r>
    </w:p>
    <w:p>
      <w:pPr>
        <w:spacing w:after="160"/>
        <w:jc w:val="both"/>
      </w:pPr>
      <w:r>
        <w:rPr>
          <w:i/>
          <w:iCs/>
          <w:sz w:val="20"/>
          <w:szCs w:val="20"/>
        </w:rPr>
        <w:t xml:space="preserve">Evidence Classification: Observed Evidence (Phase A.3 §7).</w:t>
      </w:r>
    </w:p>
    <w:p>
      <w:pPr>
        <w:pStyle w:val="Heading1"/>
        <w:spacing w:after="140" w:before="280"/>
      </w:pPr>
      <w:r>
        <w:t xml:space="preserve">10.13.4 — Executive Governance Decision Matrix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50"/>
        <w:gridCol w:w="2450"/>
        <w:gridCol w:w="1750"/>
        <w:gridCol w:w="2650"/>
        <w:gridCol w:w="1450"/>
      </w:tblGrid>
      <w:tr>
        <w:tc>
          <w:tcPr>
            <w:tcW w:type="dxa" w:w="1050"/>
            <w:shd w:fill="1F3864" w:val="clear"/>
            <w:vAlign w:val="center"/>
          </w:tcPr>
          <w:p>
            <w:r>
              <w:rPr>
                <w:b/>
                <w:bCs/>
                <w:sz w:val="18"/>
                <w:szCs w:val="18"/>
              </w:rPr>
              <w:t xml:space="preserve">EGD</w:t>
            </w:r>
          </w:p>
        </w:tc>
        <w:tc>
          <w:tcPr>
            <w:tcW w:type="dxa" w:w="2450"/>
            <w:shd w:fill="1F3864" w:val="clear"/>
            <w:vAlign w:val="center"/>
          </w:tcPr>
          <w:p>
            <w:r>
              <w:rPr>
                <w:b/>
                <w:bCs/>
                <w:sz w:val="18"/>
                <w:szCs w:val="18"/>
              </w:rPr>
              <w:t xml:space="preserve">Decision</w:t>
            </w:r>
          </w:p>
        </w:tc>
        <w:tc>
          <w:tcPr>
            <w:tcW w:type="dxa" w:w="1750"/>
            <w:shd w:fill="1F3864" w:val="clear"/>
            <w:vAlign w:val="center"/>
          </w:tcPr>
          <w:p>
            <w:r>
              <w:rPr>
                <w:b/>
                <w:bCs/>
                <w:sz w:val="18"/>
                <w:szCs w:val="18"/>
              </w:rPr>
              <w:t xml:space="preserve">Status</w:t>
            </w:r>
          </w:p>
        </w:tc>
        <w:tc>
          <w:tcPr>
            <w:tcW w:type="dxa" w:w="2650"/>
            <w:shd w:fill="1F3864" w:val="clear"/>
            <w:vAlign w:val="center"/>
          </w:tcPr>
          <w:p>
            <w:r>
              <w:rPr>
                <w:b/>
                <w:bCs/>
                <w:sz w:val="18"/>
                <w:szCs w:val="18"/>
              </w:rPr>
              <w:t xml:space="preserve">Rationale (Adoption Trigger)</w:t>
            </w:r>
          </w:p>
        </w:tc>
        <w:tc>
          <w:tcPr>
            <w:tcW w:type="dxa" w:w="1450"/>
            <w:shd w:fill="1F3864" w:val="clear"/>
            <w:vAlign w:val="center"/>
          </w:tcPr>
          <w:p>
            <w:r>
              <w:rPr>
                <w:b/>
                <w:bCs/>
                <w:sz w:val="18"/>
                <w:szCs w:val="18"/>
              </w:rPr>
              <w:t xml:space="preserve">Executive Impact</w:t>
            </w:r>
          </w:p>
        </w:tc>
      </w:tr>
      <w:tr>
        <w:tc>
          <w:tcPr>
            <w:tcW w:type="dxa" w:w="1050"/>
            <w:shd w:fill="F2F2F2" w:val="clear"/>
            <w:vAlign w:val="center"/>
          </w:tcPr>
          <w:p>
            <w:r>
              <w:rPr>
                <w:sz w:val="18"/>
                <w:szCs w:val="18"/>
              </w:rPr>
              <w:t xml:space="preserve">EGD-0001</w:t>
            </w:r>
          </w:p>
        </w:tc>
        <w:tc>
          <w:tcPr>
            <w:tcW w:type="dxa" w:w="2450"/>
            <w:shd w:fill="F2F2F2" w:val="clear"/>
            <w:vAlign w:val="center"/>
          </w:tcPr>
          <w:p>
            <w:r>
              <w:rPr>
                <w:sz w:val="18"/>
                <w:szCs w:val="18"/>
              </w:rPr>
              <w:t xml:space="preserve">Defer schema isolation</w:t>
            </w:r>
          </w:p>
        </w:tc>
        <w:tc>
          <w:tcPr>
            <w:tcW w:type="dxa" w:w="1750"/>
            <w:shd w:fill="F2F2F2" w:val="clear"/>
            <w:vAlign w:val="center"/>
          </w:tcPr>
          <w:p>
            <w:r>
              <w:rPr>
                <w:sz w:val="18"/>
                <w:szCs w:val="18"/>
              </w:rPr>
              <w:t xml:space="preserve">Deferred</w:t>
            </w:r>
          </w:p>
        </w:tc>
        <w:tc>
          <w:tcPr>
            <w:tcW w:type="dxa" w:w="2650"/>
            <w:shd w:fill="F2F2F2" w:val="clear"/>
            <w:vAlign w:val="center"/>
          </w:tcPr>
          <w:p>
            <w:r>
              <w:rPr>
                <w:sz w:val="18"/>
                <w:szCs w:val="18"/>
              </w:rPr>
              <w:t xml:space="preserve">2nd domain shares public schema, or public exceeds ~150 tables</w:t>
            </w:r>
          </w:p>
        </w:tc>
        <w:tc>
          <w:tcPr>
            <w:tcW w:type="dxa" w:w="1450"/>
            <w:shd w:fill="F2F2F2" w:val="clear"/>
            <w:vAlign w:val="center"/>
          </w:tcPr>
          <w:p>
            <w:r>
              <w:rPr>
                <w:sz w:val="18"/>
                <w:szCs w:val="18"/>
              </w:rPr>
              <w:t xml:space="preserve">No action; monitored</w:t>
            </w:r>
          </w:p>
        </w:tc>
      </w:tr>
      <w:tr>
        <w:tc>
          <w:tcPr>
            <w:tcW w:type="dxa" w:w="1050"/>
            <w:shd w:fill="FFFFFF" w:val="clear"/>
            <w:vAlign w:val="center"/>
          </w:tcPr>
          <w:p>
            <w:r>
              <w:rPr>
                <w:sz w:val="18"/>
                <w:szCs w:val="18"/>
              </w:rPr>
              <w:t xml:space="preserve">EGD-0002</w:t>
            </w:r>
          </w:p>
        </w:tc>
        <w:tc>
          <w:tcPr>
            <w:tcW w:type="dxa" w:w="2450"/>
            <w:shd w:fill="FFFFFF" w:val="clear"/>
            <w:vAlign w:val="center"/>
          </w:tcPr>
          <w:p>
            <w:r>
              <w:rPr>
                <w:sz w:val="18"/>
                <w:szCs w:val="18"/>
              </w:rPr>
              <w:t xml:space="preserve">Supersede canonical naming; revise Phase A doc</w:t>
            </w:r>
          </w:p>
        </w:tc>
        <w:tc>
          <w:tcPr>
            <w:tcW w:type="dxa" w:w="1750"/>
            <w:shd w:fill="FFFFFF" w:val="clear"/>
            <w:vAlign w:val="center"/>
          </w:tcPr>
          <w:p>
            <w:r>
              <w:rPr>
                <w:sz w:val="18"/>
                <w:szCs w:val="18"/>
              </w:rPr>
              <w:t xml:space="preserve">Accepted (execution = WP-0001)</w:t>
            </w:r>
          </w:p>
        </w:tc>
        <w:tc>
          <w:tcPr>
            <w:tcW w:type="dxa" w:w="2650"/>
            <w:shd w:fill="FFFFFF" w:val="clear"/>
            <w:vAlign w:val="center"/>
          </w:tcPr>
          <w:p>
            <w:r>
              <w:rPr>
                <w:sz w:val="18"/>
                <w:szCs w:val="18"/>
              </w:rPr>
              <w:t xml:space="preserve">Not deferred — immediate</w:t>
            </w:r>
          </w:p>
        </w:tc>
        <w:tc>
          <w:tcPr>
            <w:tcW w:type="dxa" w:w="1450"/>
            <w:shd w:fill="FFFFFF" w:val="clear"/>
            <w:vAlign w:val="center"/>
          </w:tcPr>
          <w:p>
            <w:r>
              <w:rPr>
                <w:sz w:val="18"/>
                <w:szCs w:val="18"/>
              </w:rPr>
              <w:t xml:space="preserve">Awaits WP-0001 execution</w:t>
            </w:r>
          </w:p>
        </w:tc>
      </w:tr>
      <w:tr>
        <w:tc>
          <w:tcPr>
            <w:tcW w:type="dxa" w:w="1050"/>
            <w:shd w:fill="F2F2F2" w:val="clear"/>
            <w:vAlign w:val="center"/>
          </w:tcPr>
          <w:p>
            <w:r>
              <w:rPr>
                <w:sz w:val="18"/>
                <w:szCs w:val="18"/>
              </w:rPr>
              <w:t xml:space="preserve">EGD-0003</w:t>
            </w:r>
          </w:p>
        </w:tc>
        <w:tc>
          <w:tcPr>
            <w:tcW w:type="dxa" w:w="2450"/>
            <w:shd w:fill="F2F2F2" w:val="clear"/>
            <w:vAlign w:val="center"/>
          </w:tcPr>
          <w:p>
            <w:r>
              <w:rPr>
                <w:sz w:val="18"/>
                <w:szCs w:val="18"/>
              </w:rPr>
              <w:t xml:space="preserve">Accept direct-FK taxonomy pattern, conditionally</w:t>
            </w:r>
          </w:p>
        </w:tc>
        <w:tc>
          <w:tcPr>
            <w:tcW w:type="dxa" w:w="1750"/>
            <w:shd w:fill="F2F2F2" w:val="clear"/>
            <w:vAlign w:val="center"/>
          </w:tcPr>
          <w:p>
            <w:r>
              <w:rPr>
                <w:sz w:val="18"/>
                <w:szCs w:val="18"/>
              </w:rPr>
              <w:t xml:space="preserve">Accepted, conditional</w:t>
            </w:r>
          </w:p>
        </w:tc>
        <w:tc>
          <w:tcPr>
            <w:tcW w:type="dxa" w:w="2650"/>
            <w:shd w:fill="F2F2F2" w:val="clear"/>
            <w:vAlign w:val="center"/>
          </w:tcPr>
          <w:p>
            <w:r>
              <w:rPr>
                <w:sz w:val="18"/>
                <w:szCs w:val="18"/>
              </w:rPr>
              <w:t xml:space="preserve">Any student-owned table denormalizes a taxonomy fact</w:t>
            </w:r>
          </w:p>
        </w:tc>
        <w:tc>
          <w:tcPr>
            <w:tcW w:type="dxa" w:w="1450"/>
            <w:shd w:fill="F2F2F2" w:val="clear"/>
            <w:vAlign w:val="center"/>
          </w:tcPr>
          <w:p>
            <w:r>
              <w:rPr>
                <w:sz w:val="18"/>
                <w:szCs w:val="18"/>
              </w:rPr>
              <w:t xml:space="preserve">Awaits WP-0004 execution</w:t>
            </w:r>
          </w:p>
        </w:tc>
      </w:tr>
      <w:tr>
        <w:tc>
          <w:tcPr>
            <w:tcW w:type="dxa" w:w="1050"/>
            <w:shd w:fill="FFFFFF" w:val="clear"/>
            <w:vAlign w:val="center"/>
          </w:tcPr>
          <w:p>
            <w:r>
              <w:rPr>
                <w:sz w:val="18"/>
                <w:szCs w:val="18"/>
              </w:rPr>
              <w:t xml:space="preserve">EGD-0004</w:t>
            </w:r>
          </w:p>
        </w:tc>
        <w:tc>
          <w:tcPr>
            <w:tcW w:type="dxa" w:w="2450"/>
            <w:shd w:fill="FFFFFF" w:val="clear"/>
            <w:vAlign w:val="center"/>
          </w:tcPr>
          <w:p>
            <w:r>
              <w:rPr>
                <w:sz w:val="18"/>
                <w:szCs w:val="18"/>
              </w:rPr>
              <w:t xml:space="preserve">Defer partitioning</w:t>
            </w:r>
          </w:p>
        </w:tc>
        <w:tc>
          <w:tcPr>
            <w:tcW w:type="dxa" w:w="1750"/>
            <w:shd w:fill="FFFFFF" w:val="clear"/>
            <w:vAlign w:val="center"/>
          </w:tcPr>
          <w:p>
            <w:r>
              <w:rPr>
                <w:sz w:val="18"/>
                <w:szCs w:val="18"/>
              </w:rPr>
              <w:t xml:space="preserve">Deferred</w:t>
            </w:r>
          </w:p>
        </w:tc>
        <w:tc>
          <w:tcPr>
            <w:tcW w:type="dxa" w:w="2650"/>
            <w:shd w:fill="FFFFFF" w:val="clear"/>
            <w:vAlign w:val="center"/>
          </w:tcPr>
          <w:p>
            <w:r>
              <w:rPr>
                <w:sz w:val="18"/>
                <w:szCs w:val="18"/>
              </w:rPr>
              <w:t xml:space="preserve">Tables exceed 10M rows, latency degrades, or scale target reached</w:t>
            </w:r>
          </w:p>
        </w:tc>
        <w:tc>
          <w:tcPr>
            <w:tcW w:type="dxa" w:w="1450"/>
            <w:shd w:fill="FFFFFF" w:val="clear"/>
            <w:vAlign w:val="center"/>
          </w:tcPr>
          <w:p>
            <w:r>
              <w:rPr>
                <w:sz w:val="18"/>
                <w:szCs w:val="18"/>
              </w:rPr>
              <w:t xml:space="preserve">Monitored; awaits trigger</w:t>
            </w:r>
          </w:p>
        </w:tc>
      </w:tr>
      <w:tr>
        <w:tc>
          <w:tcPr>
            <w:tcW w:type="dxa" w:w="1050"/>
            <w:shd w:fill="F2F2F2" w:val="clear"/>
            <w:vAlign w:val="center"/>
          </w:tcPr>
          <w:p>
            <w:r>
              <w:rPr>
                <w:sz w:val="18"/>
                <w:szCs w:val="18"/>
              </w:rPr>
              <w:t xml:space="preserve">EGD-0005</w:t>
            </w:r>
          </w:p>
        </w:tc>
        <w:tc>
          <w:tcPr>
            <w:tcW w:type="dxa" w:w="2450"/>
            <w:shd w:fill="F2F2F2" w:val="clear"/>
            <w:vAlign w:val="center"/>
          </w:tcPr>
          <w:p>
            <w:r>
              <w:rPr>
                <w:sz w:val="18"/>
                <w:szCs w:val="18"/>
              </w:rPr>
              <w:t xml:space="preserve">Defer qualification/selection separation</w:t>
            </w:r>
          </w:p>
        </w:tc>
        <w:tc>
          <w:tcPr>
            <w:tcW w:type="dxa" w:w="1750"/>
            <w:shd w:fill="F2F2F2" w:val="clear"/>
            <w:vAlign w:val="center"/>
          </w:tcPr>
          <w:p>
            <w:r>
              <w:rPr>
                <w:sz w:val="18"/>
                <w:szCs w:val="18"/>
              </w:rPr>
              <w:t xml:space="preserve">Deferred</w:t>
            </w:r>
          </w:p>
        </w:tc>
        <w:tc>
          <w:tcPr>
            <w:tcW w:type="dxa" w:w="2650"/>
            <w:shd w:fill="F2F2F2" w:val="clear"/>
            <w:vAlign w:val="center"/>
          </w:tcPr>
          <w:p>
            <w:r>
              <w:rPr>
                <w:sz w:val="18"/>
                <w:szCs w:val="18"/>
              </w:rPr>
              <w:t xml:space="preserve">Real product need for multi-qualification tracking emerges</w:t>
            </w:r>
          </w:p>
        </w:tc>
        <w:tc>
          <w:tcPr>
            <w:tcW w:type="dxa" w:w="1450"/>
            <w:shd w:fill="F2F2F2" w:val="clear"/>
            <w:vAlign w:val="center"/>
          </w:tcPr>
          <w:p>
            <w:r>
              <w:rPr>
                <w:sz w:val="18"/>
                <w:szCs w:val="18"/>
              </w:rPr>
              <w:t xml:space="preserve">No action; monitored</w:t>
            </w:r>
          </w:p>
        </w:tc>
      </w:tr>
      <w:tr>
        <w:tc>
          <w:tcPr>
            <w:tcW w:type="dxa" w:w="1050"/>
            <w:shd w:fill="FFFFFF" w:val="clear"/>
            <w:vAlign w:val="center"/>
          </w:tcPr>
          <w:p>
            <w:r>
              <w:rPr>
                <w:sz w:val="18"/>
                <w:szCs w:val="18"/>
              </w:rPr>
              <w:t xml:space="preserve">EGD-0006</w:t>
            </w:r>
          </w:p>
        </w:tc>
        <w:tc>
          <w:tcPr>
            <w:tcW w:type="dxa" w:w="2450"/>
            <w:shd w:fill="FFFFFF" w:val="clear"/>
            <w:vAlign w:val="center"/>
          </w:tcPr>
          <w:p>
            <w:r>
              <w:rPr>
                <w:sz w:val="18"/>
                <w:szCs w:val="18"/>
              </w:rPr>
              <w:t xml:space="preserve">Defer supersession/versioning model</w:t>
            </w:r>
          </w:p>
        </w:tc>
        <w:tc>
          <w:tcPr>
            <w:tcW w:type="dxa" w:w="1750"/>
            <w:shd w:fill="FFFFFF" w:val="clear"/>
            <w:vAlign w:val="center"/>
          </w:tcPr>
          <w:p>
            <w:r>
              <w:rPr>
                <w:sz w:val="18"/>
                <w:szCs w:val="18"/>
              </w:rPr>
              <w:t xml:space="preserve">Deferred — irreversibility risk flagged</w:t>
            </w:r>
          </w:p>
        </w:tc>
        <w:tc>
          <w:tcPr>
            <w:tcW w:type="dxa" w:w="2650"/>
            <w:shd w:fill="FFFFFF" w:val="clear"/>
            <w:vAlign w:val="center"/>
          </w:tcPr>
          <w:p>
            <w:r>
              <w:rPr>
                <w:sz w:val="18"/>
                <w:szCs w:val="18"/>
              </w:rPr>
              <w:t xml:space="preserve">Compliance/audit requirement for immutable history emerges</w:t>
            </w:r>
          </w:p>
        </w:tc>
        <w:tc>
          <w:tcPr>
            <w:tcW w:type="dxa" w:w="1450"/>
            <w:shd w:fill="FFFFFF" w:val="clear"/>
            <w:vAlign w:val="center"/>
          </w:tcPr>
          <w:p>
            <w:r>
              <w:rPr>
                <w:sz w:val="18"/>
                <w:szCs w:val="18"/>
              </w:rPr>
              <w:t xml:space="preserve">No action; monitored</w:t>
            </w:r>
          </w:p>
        </w:tc>
      </w:tr>
      <w:tr>
        <w:tc>
          <w:tcPr>
            <w:tcW w:type="dxa" w:w="1050"/>
            <w:shd w:fill="F2F2F2" w:val="clear"/>
            <w:vAlign w:val="center"/>
          </w:tcPr>
          <w:p>
            <w:r>
              <w:rPr>
                <w:sz w:val="18"/>
                <w:szCs w:val="18"/>
              </w:rPr>
              <w:t xml:space="preserve">EGD-0007</w:t>
            </w:r>
          </w:p>
        </w:tc>
        <w:tc>
          <w:tcPr>
            <w:tcW w:type="dxa" w:w="2450"/>
            <w:shd w:fill="F2F2F2" w:val="clear"/>
            <w:vAlign w:val="center"/>
          </w:tcPr>
          <w:p>
            <w:r>
              <w:rPr>
                <w:sz w:val="18"/>
                <w:szCs w:val="18"/>
              </w:rPr>
              <w:t xml:space="preserve">Realize — verify RLS coverage immediately</w:t>
            </w:r>
          </w:p>
        </w:tc>
        <w:tc>
          <w:tcPr>
            <w:tcW w:type="dxa" w:w="1750"/>
            <w:shd w:fill="F2F2F2" w:val="clear"/>
            <w:vAlign w:val="center"/>
          </w:tcPr>
          <w:p>
            <w:r>
              <w:rPr>
                <w:sz w:val="18"/>
                <w:szCs w:val="18"/>
              </w:rPr>
              <w:t xml:space="preserve">Accepted, in progress (= WP-0002)</w:t>
            </w:r>
          </w:p>
        </w:tc>
        <w:tc>
          <w:tcPr>
            <w:tcW w:type="dxa" w:w="2650"/>
            <w:shd w:fill="F2F2F2" w:val="clear"/>
            <w:vAlign w:val="center"/>
          </w:tcPr>
          <w:p>
            <w:r>
              <w:rPr>
                <w:sz w:val="18"/>
                <w:szCs w:val="18"/>
              </w:rPr>
              <w:t xml:space="preserve">Not deferred — immediate</w:t>
            </w:r>
          </w:p>
        </w:tc>
        <w:tc>
          <w:tcPr>
            <w:tcW w:type="dxa" w:w="1450"/>
            <w:shd w:fill="F2F2F2" w:val="clear"/>
            <w:vAlign w:val="center"/>
          </w:tcPr>
          <w:p>
            <w:r>
              <w:rPr>
                <w:sz w:val="18"/>
                <w:szCs w:val="18"/>
              </w:rPr>
              <w:t xml:space="preserve">Awaits WP-0002 execution</w:t>
            </w:r>
          </w:p>
        </w:tc>
      </w:tr>
      <w:tr>
        <w:tc>
          <w:tcPr>
            <w:tcW w:type="dxa" w:w="1050"/>
            <w:shd w:fill="FFFFFF" w:val="clear"/>
            <w:vAlign w:val="center"/>
          </w:tcPr>
          <w:p>
            <w:r>
              <w:rPr>
                <w:sz w:val="18"/>
                <w:szCs w:val="18"/>
              </w:rPr>
              <w:t xml:space="preserve">EGD-0008</w:t>
            </w:r>
          </w:p>
        </w:tc>
        <w:tc>
          <w:tcPr>
            <w:tcW w:type="dxa" w:w="2450"/>
            <w:shd w:fill="FFFFFF" w:val="clear"/>
            <w:vAlign w:val="center"/>
          </w:tcPr>
          <w:p>
            <w:r>
              <w:rPr>
                <w:sz w:val="18"/>
                <w:szCs w:val="18"/>
              </w:rPr>
              <w:t xml:space="preserve">Accept UUID PK + timestamptz as mandatory standard</w:t>
            </w:r>
          </w:p>
        </w:tc>
        <w:tc>
          <w:tcPr>
            <w:tcW w:type="dxa" w:w="1750"/>
            <w:shd w:fill="FFFFFF" w:val="clear"/>
            <w:vAlign w:val="center"/>
          </w:tcPr>
          <w:p>
            <w:r>
              <w:rPr>
                <w:sz w:val="18"/>
                <w:szCs w:val="18"/>
              </w:rPr>
              <w:t xml:space="preserve">Accepted, standing</w:t>
            </w:r>
          </w:p>
        </w:tc>
        <w:tc>
          <w:tcPr>
            <w:tcW w:type="dxa" w:w="2650"/>
            <w:shd w:fill="FFFFFF" w:val="clear"/>
            <w:vAlign w:val="center"/>
          </w:tcPr>
          <w:p>
            <w:r>
              <w:rPr>
                <w:sz w:val="18"/>
                <w:szCs w:val="18"/>
              </w:rPr>
              <w:t xml:space="preserve">N/A — standing standard</w:t>
            </w:r>
          </w:p>
        </w:tc>
        <w:tc>
          <w:tcPr>
            <w:tcW w:type="dxa" w:w="1450"/>
            <w:shd w:fill="FFFFFF" w:val="clear"/>
            <w:vAlign w:val="center"/>
          </w:tcPr>
          <w:p>
            <w:r>
              <w:rPr>
                <w:sz w:val="18"/>
                <w:szCs w:val="18"/>
              </w:rPr>
              <w:t xml:space="preserve">No action; standing</w:t>
            </w:r>
          </w:p>
        </w:tc>
      </w:tr>
      <w:tr>
        <w:tc>
          <w:tcPr>
            <w:tcW w:type="dxa" w:w="1050"/>
            <w:shd w:fill="F2F2F2" w:val="clear"/>
            <w:vAlign w:val="center"/>
          </w:tcPr>
          <w:p>
            <w:r>
              <w:rPr>
                <w:sz w:val="18"/>
                <w:szCs w:val="18"/>
              </w:rPr>
              <w:t xml:space="preserve">EGD-0009</w:t>
            </w:r>
          </w:p>
        </w:tc>
        <w:tc>
          <w:tcPr>
            <w:tcW w:type="dxa" w:w="2450"/>
            <w:shd w:fill="F2F2F2" w:val="clear"/>
            <w:vAlign w:val="center"/>
          </w:tcPr>
          <w:p>
            <w:r>
              <w:rPr>
                <w:sz w:val="18"/>
                <w:szCs w:val="18"/>
              </w:rPr>
              <w:t xml:space="preserve">Accept current migration practice as standard</w:t>
            </w:r>
          </w:p>
        </w:tc>
        <w:tc>
          <w:tcPr>
            <w:tcW w:type="dxa" w:w="1750"/>
            <w:shd w:fill="F2F2F2" w:val="clear"/>
            <w:vAlign w:val="center"/>
          </w:tcPr>
          <w:p>
            <w:r>
              <w:rPr>
                <w:sz w:val="18"/>
                <w:szCs w:val="18"/>
              </w:rPr>
              <w:t xml:space="preserve">Accepted, standing</w:t>
            </w:r>
          </w:p>
        </w:tc>
        <w:tc>
          <w:tcPr>
            <w:tcW w:type="dxa" w:w="2650"/>
            <w:shd w:fill="F2F2F2" w:val="clear"/>
            <w:vAlign w:val="center"/>
          </w:tcPr>
          <w:p>
            <w:r>
              <w:rPr>
                <w:sz w:val="18"/>
                <w:szCs w:val="18"/>
              </w:rPr>
              <w:t xml:space="preserve">N/A — standing standard</w:t>
            </w:r>
          </w:p>
        </w:tc>
        <w:tc>
          <w:tcPr>
            <w:tcW w:type="dxa" w:w="1450"/>
            <w:shd w:fill="F2F2F2" w:val="clear"/>
            <w:vAlign w:val="center"/>
          </w:tcPr>
          <w:p>
            <w:r>
              <w:rPr>
                <w:sz w:val="18"/>
                <w:szCs w:val="18"/>
              </w:rPr>
              <w:t xml:space="preserve">No action; standing</w:t>
            </w:r>
          </w:p>
        </w:tc>
      </w:tr>
    </w:tbl>
    <w:p>
      <w:pPr>
        <w:spacing w:after="160"/>
        <w:jc w:val="both"/>
      </w:pPr>
      <w:r>
        <w:rPr>
          <w:sz w:val="22"/>
          <w:szCs w:val="22"/>
        </w:rPr>
        <w:t xml:space="preserve">Every EGD's owner field is recorded in Phase A.3 §4 as "unassigned — WP-0006." This is the single traceability thread running through all nine governance decisions and is why WP-0006 recurs as the primary executive action throughout this document rather than being treated as an ordinary sixth Work Package.</w:t>
      </w:r>
    </w:p>
    <w:p>
      <w:pPr>
        <w:spacing w:after="160"/>
        <w:jc w:val="both"/>
      </w:pPr>
      <w:r>
        <w:rPr>
          <w:i/>
          <w:iCs/>
          <w:sz w:val="20"/>
          <w:szCs w:val="20"/>
        </w:rPr>
        <w:t xml:space="preserve">Evidence Classification: Observed Evidence (Phase A.3 §4).</w:t>
      </w:r>
    </w:p>
    <w:p>
      <w:pPr>
        <w:pStyle w:val="Heading1"/>
        <w:spacing w:after="140" w:before="280"/>
      </w:pPr>
      <w:r>
        <w:t xml:space="preserve">10.13.5 — Portfolio Decision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50"/>
      </w:tblGrid>
      <w:tr>
        <w:tc>
          <w:tcPr>
            <w:tcW w:type="dxa" w:w="3200"/>
            <w:shd w:fill="1F3864" w:val="clear"/>
            <w:vAlign w:val="center"/>
          </w:tcPr>
          <w:p>
            <w:r>
              <w:rPr>
                <w:b/>
                <w:bCs/>
                <w:sz w:val="18"/>
                <w:szCs w:val="18"/>
              </w:rPr>
              <w:t xml:space="preserve">Portfolio</w:t>
            </w:r>
          </w:p>
        </w:tc>
        <w:tc>
          <w:tcPr>
            <w:tcW w:type="dxa" w:w="3600"/>
            <w:shd w:fill="1F3864" w:val="clear"/>
            <w:vAlign w:val="center"/>
          </w:tcPr>
          <w:p>
            <w:r>
              <w:rPr>
                <w:b/>
                <w:bCs/>
                <w:sz w:val="18"/>
                <w:szCs w:val="18"/>
              </w:rPr>
              <w:t xml:space="preserve">Decision Made</w:t>
            </w:r>
          </w:p>
        </w:tc>
        <w:tc>
          <w:tcPr>
            <w:tcW w:type="dxa" w:w="2550"/>
            <w:shd w:fill="1F3864" w:val="clear"/>
            <w:vAlign w:val="center"/>
          </w:tcPr>
          <w:p>
            <w:r>
              <w:rPr>
                <w:b/>
                <w:bCs/>
                <w:sz w:val="18"/>
                <w:szCs w:val="18"/>
              </w:rPr>
              <w:t xml:space="preserve">Executive Action Required</w:t>
            </w:r>
          </w:p>
        </w:tc>
      </w:tr>
      <w:tr>
        <w:tc>
          <w:tcPr>
            <w:tcW w:type="dxa" w:w="3200"/>
            <w:shd w:fill="F2F2F2" w:val="clear"/>
            <w:vAlign w:val="center"/>
          </w:tcPr>
          <w:p>
            <w:r>
              <w:rPr>
                <w:sz w:val="18"/>
                <w:szCs w:val="18"/>
              </w:rPr>
              <w:t xml:space="preserve">Portfolio 1 — Enterprise Data Platform</w:t>
            </w:r>
          </w:p>
        </w:tc>
        <w:tc>
          <w:tcPr>
            <w:tcW w:type="dxa" w:w="3600"/>
            <w:shd w:fill="F2F2F2" w:val="clear"/>
            <w:vAlign w:val="center"/>
          </w:tcPr>
          <w:p>
            <w:r>
              <w:rPr>
                <w:sz w:val="18"/>
                <w:szCs w:val="18"/>
              </w:rPr>
              <w:t xml:space="preserve">Scoped; WP-0001/0003/0004/0005 assigned</w:t>
            </w:r>
          </w:p>
        </w:tc>
        <w:tc>
          <w:tcPr>
            <w:tcW w:type="dxa" w:w="2550"/>
            <w:shd w:fill="F2F2F2" w:val="clear"/>
            <w:vAlign w:val="center"/>
          </w:tcPr>
          <w:p>
            <w:r>
              <w:rPr>
                <w:sz w:val="18"/>
                <w:szCs w:val="18"/>
              </w:rPr>
              <w:t xml:space="preserve">Authorize Wave 2 execution following Wave 1</w:t>
            </w:r>
          </w:p>
        </w:tc>
      </w:tr>
      <w:tr>
        <w:tc>
          <w:tcPr>
            <w:tcW w:type="dxa" w:w="3200"/>
            <w:shd w:fill="FFFFFF" w:val="clear"/>
            <w:vAlign w:val="center"/>
          </w:tcPr>
          <w:p>
            <w:r>
              <w:rPr>
                <w:sz w:val="18"/>
                <w:szCs w:val="18"/>
              </w:rPr>
              <w:t xml:space="preserve">Portfolio 2 — Enterprise Security</w:t>
            </w:r>
          </w:p>
        </w:tc>
        <w:tc>
          <w:tcPr>
            <w:tcW w:type="dxa" w:w="3600"/>
            <w:shd w:fill="FFFFFF" w:val="clear"/>
            <w:vAlign w:val="center"/>
          </w:tcPr>
          <w:p>
            <w:r>
              <w:rPr>
                <w:sz w:val="18"/>
                <w:szCs w:val="18"/>
              </w:rPr>
              <w:t xml:space="preserve">Scoped; WP-0002 assigned</w:t>
            </w:r>
          </w:p>
        </w:tc>
        <w:tc>
          <w:tcPr>
            <w:tcW w:type="dxa" w:w="2550"/>
            <w:shd w:fill="FFFFFF" w:val="clear"/>
            <w:vAlign w:val="center"/>
          </w:tcPr>
          <w:p>
            <w:r>
              <w:rPr>
                <w:sz w:val="18"/>
                <w:szCs w:val="18"/>
              </w:rPr>
              <w:t xml:space="preserve">Authorize WP-0002 execution (Wave 1)</w:t>
            </w:r>
          </w:p>
        </w:tc>
      </w:tr>
      <w:tr>
        <w:tc>
          <w:tcPr>
            <w:tcW w:type="dxa" w:w="3200"/>
            <w:shd w:fill="F2F2F2" w:val="clear"/>
            <w:vAlign w:val="center"/>
          </w:tcPr>
          <w:p>
            <w:r>
              <w:rPr>
                <w:sz w:val="18"/>
                <w:szCs w:val="18"/>
              </w:rPr>
              <w:t xml:space="preserve">Portfolio 8 — Governance &amp; Quality</w:t>
            </w:r>
          </w:p>
        </w:tc>
        <w:tc>
          <w:tcPr>
            <w:tcW w:type="dxa" w:w="3600"/>
            <w:shd w:fill="F2F2F2" w:val="clear"/>
            <w:vAlign w:val="center"/>
          </w:tcPr>
          <w:p>
            <w:r>
              <w:rPr>
                <w:sz w:val="18"/>
                <w:szCs w:val="18"/>
              </w:rPr>
              <w:t xml:space="preserve">Scoped; WP-0006 assigned</w:t>
            </w:r>
          </w:p>
        </w:tc>
        <w:tc>
          <w:tcPr>
            <w:tcW w:type="dxa" w:w="2550"/>
            <w:shd w:fill="F2F2F2" w:val="clear"/>
            <w:vAlign w:val="center"/>
          </w:tcPr>
          <w:p>
            <w:r>
              <w:rPr>
                <w:sz w:val="18"/>
                <w:szCs w:val="18"/>
              </w:rPr>
              <w:t xml:space="preserve">Authorize WP-0006 execution (Wave 1)</w:t>
            </w:r>
          </w:p>
        </w:tc>
      </w:tr>
      <w:tr>
        <w:tc>
          <w:tcPr>
            <w:tcW w:type="dxa" w:w="3200"/>
            <w:shd w:fill="FFFFFF" w:val="clear"/>
            <w:vAlign w:val="center"/>
          </w:tcPr>
          <w:p>
            <w:r>
              <w:rPr>
                <w:sz w:val="18"/>
                <w:szCs w:val="18"/>
              </w:rPr>
              <w:t xml:space="preserve">Portfolios 3–7</w:t>
            </w:r>
          </w:p>
        </w:tc>
        <w:tc>
          <w:tcPr>
            <w:tcW w:type="dxa" w:w="3600"/>
            <w:shd w:fill="FFFFFF" w:val="clear"/>
            <w:vAlign w:val="center"/>
          </w:tcPr>
          <w:p>
            <w:r>
              <w:rPr>
                <w:sz w:val="18"/>
                <w:szCs w:val="18"/>
              </w:rPr>
              <w:t xml:space="preserve">Not scoped — Not Evidenced in Current Baseline</w:t>
            </w:r>
          </w:p>
        </w:tc>
        <w:tc>
          <w:tcPr>
            <w:tcW w:type="dxa" w:w="2550"/>
            <w:shd w:fill="FFFFFF" w:val="clear"/>
            <w:vAlign w:val="center"/>
          </w:tcPr>
          <w:p>
            <w:r>
              <w:rPr>
                <w:sz w:val="18"/>
                <w:szCs w:val="18"/>
              </w:rPr>
              <w:t xml:space="preserve">None due; Reserved for Future Realization Phases</w:t>
            </w:r>
          </w:p>
        </w:tc>
      </w:tr>
    </w:tbl>
    <w:p>
      <w:pPr>
        <w:spacing w:after="160"/>
        <w:jc w:val="both"/>
      </w:pPr>
      <w:r>
        <w:rPr>
          <w:i/>
          <w:iCs/>
          <w:sz w:val="20"/>
          <w:szCs w:val="20"/>
        </w:rPr>
        <w:t xml:space="preserve">Evidence Classification: Observed Evidence (Section 10.4).</w:t>
      </w:r>
    </w:p>
    <w:p>
      <w:pPr>
        <w:pStyle w:val="Heading1"/>
        <w:spacing w:after="140" w:before="280"/>
      </w:pPr>
      <w:r>
        <w:t xml:space="preserve">10.13.6 — Wave Decision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300"/>
        <w:gridCol w:w="2400"/>
        <w:gridCol w:w="1250"/>
      </w:tblGrid>
      <w:tr>
        <w:tc>
          <w:tcPr>
            <w:tcW w:type="dxa" w:w="1200"/>
            <w:shd w:fill="1F3864" w:val="clear"/>
            <w:vAlign w:val="center"/>
          </w:tcPr>
          <w:p>
            <w:r>
              <w:rPr>
                <w:b/>
                <w:bCs/>
                <w:sz w:val="18"/>
                <w:szCs w:val="18"/>
              </w:rPr>
              <w:t xml:space="preserve">Wave</w:t>
            </w:r>
          </w:p>
        </w:tc>
        <w:tc>
          <w:tcPr>
            <w:tcW w:type="dxa" w:w="2200"/>
            <w:shd w:fill="1F3864" w:val="clear"/>
            <w:vAlign w:val="center"/>
          </w:tcPr>
          <w:p>
            <w:r>
              <w:rPr>
                <w:b/>
                <w:bCs/>
                <w:sz w:val="18"/>
                <w:szCs w:val="18"/>
              </w:rPr>
              <w:t xml:space="preserve">Current Decision State</w:t>
            </w:r>
          </w:p>
        </w:tc>
        <w:tc>
          <w:tcPr>
            <w:tcW w:type="dxa" w:w="2300"/>
            <w:shd w:fill="1F3864" w:val="clear"/>
            <w:vAlign w:val="center"/>
          </w:tcPr>
          <w:p>
            <w:r>
              <w:rPr>
                <w:b/>
                <w:bCs/>
                <w:sz w:val="18"/>
                <w:szCs w:val="18"/>
              </w:rPr>
              <w:t xml:space="preserve">Execution Dependency</w:t>
            </w:r>
          </w:p>
        </w:tc>
        <w:tc>
          <w:tcPr>
            <w:tcW w:type="dxa" w:w="2400"/>
            <w:shd w:fill="1F3864" w:val="clear"/>
            <w:vAlign w:val="center"/>
          </w:tcPr>
          <w:p>
            <w:r>
              <w:rPr>
                <w:b/>
                <w:bCs/>
                <w:sz w:val="18"/>
                <w:szCs w:val="18"/>
              </w:rPr>
              <w:t xml:space="preserve">Executive Authorization Required</w:t>
            </w:r>
          </w:p>
        </w:tc>
        <w:tc>
          <w:tcPr>
            <w:tcW w:type="dxa" w:w="1250"/>
            <w:shd w:fill="1F3864" w:val="clear"/>
            <w:vAlign w:val="center"/>
          </w:tcPr>
          <w:p>
            <w:r>
              <w:rPr>
                <w:b/>
                <w:bCs/>
                <w:sz w:val="18"/>
                <w:szCs w:val="18"/>
              </w:rPr>
              <w:t xml:space="preserve">Evidence Source</w:t>
            </w:r>
          </w:p>
        </w:tc>
      </w:tr>
      <w:tr>
        <w:tc>
          <w:tcPr>
            <w:tcW w:type="dxa" w:w="1200"/>
            <w:shd w:fill="F2F2F2" w:val="clear"/>
            <w:vAlign w:val="center"/>
          </w:tcPr>
          <w:p>
            <w:r>
              <w:rPr>
                <w:sz w:val="18"/>
                <w:szCs w:val="18"/>
              </w:rPr>
              <w:t xml:space="preserve">Wave 1</w:t>
            </w:r>
          </w:p>
        </w:tc>
        <w:tc>
          <w:tcPr>
            <w:tcW w:type="dxa" w:w="2200"/>
            <w:shd w:fill="F2F2F2" w:val="clear"/>
            <w:vAlign w:val="center"/>
          </w:tcPr>
          <w:p>
            <w:r>
              <w:rPr>
                <w:sz w:val="18"/>
                <w:szCs w:val="18"/>
              </w:rPr>
              <w:t xml:space="preserve">Sequenced and Fully Ready</w:t>
            </w:r>
          </w:p>
        </w:tc>
        <w:tc>
          <w:tcPr>
            <w:tcW w:type="dxa" w:w="2300"/>
            <w:shd w:fill="F2F2F2" w:val="clear"/>
            <w:vAlign w:val="center"/>
          </w:tcPr>
          <w:p>
            <w:r>
              <w:rPr>
                <w:sz w:val="18"/>
                <w:szCs w:val="18"/>
              </w:rPr>
              <w:t xml:space="preserve">None — zero blocking dependency</w:t>
            </w:r>
          </w:p>
        </w:tc>
        <w:tc>
          <w:tcPr>
            <w:tcW w:type="dxa" w:w="2400"/>
            <w:shd w:fill="F2F2F2" w:val="clear"/>
            <w:vAlign w:val="center"/>
          </w:tcPr>
          <w:p>
            <w:r>
              <w:rPr>
                <w:sz w:val="18"/>
                <w:szCs w:val="18"/>
              </w:rPr>
              <w:t xml:space="preserve">Yes — authorize WP-0002 and WP-0006 execution</w:t>
            </w:r>
          </w:p>
        </w:tc>
        <w:tc>
          <w:tcPr>
            <w:tcW w:type="dxa" w:w="1250"/>
            <w:shd w:fill="F2F2F2" w:val="clear"/>
            <w:vAlign w:val="center"/>
          </w:tcPr>
          <w:p>
            <w:r>
              <w:rPr>
                <w:sz w:val="18"/>
                <w:szCs w:val="18"/>
              </w:rPr>
              <w:t xml:space="preserve">Section 10.5</w:t>
            </w:r>
          </w:p>
        </w:tc>
      </w:tr>
      <w:tr>
        <w:tc>
          <w:tcPr>
            <w:tcW w:type="dxa" w:w="1200"/>
            <w:shd w:fill="FFFFFF" w:val="clear"/>
            <w:vAlign w:val="center"/>
          </w:tcPr>
          <w:p>
            <w:r>
              <w:rPr>
                <w:sz w:val="18"/>
                <w:szCs w:val="18"/>
              </w:rPr>
              <w:t xml:space="preserve">Wave 2</w:t>
            </w:r>
          </w:p>
        </w:tc>
        <w:tc>
          <w:tcPr>
            <w:tcW w:type="dxa" w:w="2200"/>
            <w:shd w:fill="FFFFFF" w:val="clear"/>
            <w:vAlign w:val="center"/>
          </w:tcPr>
          <w:p>
            <w:r>
              <w:rPr>
                <w:sz w:val="18"/>
                <w:szCs w:val="18"/>
              </w:rPr>
              <w:t xml:space="preserve">Sequenced and Ready</w:t>
            </w:r>
          </w:p>
        </w:tc>
        <w:tc>
          <w:tcPr>
            <w:tcW w:type="dxa" w:w="2300"/>
            <w:shd w:fill="FFFFFF" w:val="clear"/>
            <w:vAlign w:val="center"/>
          </w:tcPr>
          <w:p>
            <w:r>
              <w:rPr>
                <w:sz w:val="18"/>
                <w:szCs w:val="18"/>
              </w:rPr>
              <w:t xml:space="preserve">Wave 1 completion; owner named by WP-0006</w:t>
            </w:r>
          </w:p>
        </w:tc>
        <w:tc>
          <w:tcPr>
            <w:tcW w:type="dxa" w:w="2400"/>
            <w:shd w:fill="FFFFFF" w:val="clear"/>
            <w:vAlign w:val="center"/>
          </w:tcPr>
          <w:p>
            <w:r>
              <w:rPr>
                <w:sz w:val="18"/>
                <w:szCs w:val="18"/>
              </w:rPr>
              <w:t xml:space="preserve">Not yet — sequenced to follow Wave 1</w:t>
            </w:r>
          </w:p>
        </w:tc>
        <w:tc>
          <w:tcPr>
            <w:tcW w:type="dxa" w:w="1250"/>
            <w:shd w:fill="FFFFFF" w:val="clear"/>
            <w:vAlign w:val="center"/>
          </w:tcPr>
          <w:p>
            <w:r>
              <w:rPr>
                <w:sz w:val="18"/>
                <w:szCs w:val="18"/>
              </w:rPr>
              <w:t xml:space="preserve">Section 10.5</w:t>
            </w:r>
          </w:p>
        </w:tc>
      </w:tr>
      <w:tr>
        <w:tc>
          <w:tcPr>
            <w:tcW w:type="dxa" w:w="1200"/>
            <w:shd w:fill="F2F2F2" w:val="clear"/>
            <w:vAlign w:val="center"/>
          </w:tcPr>
          <w:p>
            <w:r>
              <w:rPr>
                <w:sz w:val="18"/>
                <w:szCs w:val="18"/>
              </w:rPr>
              <w:t xml:space="preserve">Wave 3</w:t>
            </w:r>
          </w:p>
        </w:tc>
        <w:tc>
          <w:tcPr>
            <w:tcW w:type="dxa" w:w="2200"/>
            <w:shd w:fill="F2F2F2" w:val="clear"/>
            <w:vAlign w:val="center"/>
          </w:tcPr>
          <w:p>
            <w:r>
              <w:rPr>
                <w:sz w:val="18"/>
                <w:szCs w:val="18"/>
              </w:rPr>
              <w:t xml:space="preserve">Sequenced, Not Ready</w:t>
            </w:r>
          </w:p>
        </w:tc>
        <w:tc>
          <w:tcPr>
            <w:tcW w:type="dxa" w:w="2300"/>
            <w:shd w:fill="F2F2F2" w:val="clear"/>
            <w:vAlign w:val="center"/>
          </w:tcPr>
          <w:p>
            <w:r>
              <w:rPr>
                <w:sz w:val="18"/>
                <w:szCs w:val="18"/>
              </w:rPr>
              <w:t xml:space="preserve">EGD-0004 row-count/growth trigger</w:t>
            </w:r>
          </w:p>
        </w:tc>
        <w:tc>
          <w:tcPr>
            <w:tcW w:type="dxa" w:w="2400"/>
            <w:shd w:fill="F2F2F2" w:val="clear"/>
            <w:vAlign w:val="center"/>
          </w:tcPr>
          <w:p>
            <w:r>
              <w:rPr>
                <w:sz w:val="18"/>
                <w:szCs w:val="18"/>
              </w:rPr>
              <w:t xml:space="preserve">Not yet — no authorization due until trigger fires</w:t>
            </w:r>
          </w:p>
        </w:tc>
        <w:tc>
          <w:tcPr>
            <w:tcW w:type="dxa" w:w="1250"/>
            <w:shd w:fill="F2F2F2" w:val="clear"/>
            <w:vAlign w:val="center"/>
          </w:tcPr>
          <w:p>
            <w:r>
              <w:rPr>
                <w:sz w:val="18"/>
                <w:szCs w:val="18"/>
              </w:rPr>
              <w:t xml:space="preserve">Section 10.5; EGD-0004</w:t>
            </w:r>
          </w:p>
        </w:tc>
      </w:tr>
      <w:tr>
        <w:tc>
          <w:tcPr>
            <w:tcW w:type="dxa" w:w="1200"/>
            <w:shd w:fill="FFFFFF" w:val="clear"/>
            <w:vAlign w:val="center"/>
          </w:tcPr>
          <w:p>
            <w:r>
              <w:rPr>
                <w:sz w:val="18"/>
                <w:szCs w:val="18"/>
              </w:rPr>
              <w:t xml:space="preserve">Waves 4–5</w:t>
            </w:r>
          </w:p>
        </w:tc>
        <w:tc>
          <w:tcPr>
            <w:tcW w:type="dxa" w:w="2200"/>
            <w:shd w:fill="FFFFFF" w:val="clear"/>
            <w:vAlign w:val="center"/>
          </w:tcPr>
          <w:p>
            <w:r>
              <w:rPr>
                <w:sz w:val="18"/>
                <w:szCs w:val="18"/>
              </w:rPr>
              <w:t xml:space="preserve">Not Applicable</w:t>
            </w:r>
          </w:p>
        </w:tc>
        <w:tc>
          <w:tcPr>
            <w:tcW w:type="dxa" w:w="2300"/>
            <w:shd w:fill="FFFFFF" w:val="clear"/>
            <w:vAlign w:val="center"/>
          </w:tcPr>
          <w:p>
            <w:r>
              <w:rPr>
                <w:sz w:val="18"/>
                <w:szCs w:val="18"/>
              </w:rPr>
              <w:t xml:space="preserve">No approved scope</w:t>
            </w:r>
          </w:p>
        </w:tc>
        <w:tc>
          <w:tcPr>
            <w:tcW w:type="dxa" w:w="2400"/>
            <w:shd w:fill="FFFFFF" w:val="clear"/>
            <w:vAlign w:val="center"/>
          </w:tcPr>
          <w:p>
            <w:r>
              <w:rPr>
                <w:sz w:val="18"/>
                <w:szCs w:val="18"/>
              </w:rPr>
              <w:t xml:space="preserve">Not Evidenced in Current Baseline</w:t>
            </w:r>
          </w:p>
        </w:tc>
        <w:tc>
          <w:tcPr>
            <w:tcW w:type="dxa" w:w="1250"/>
            <w:shd w:fill="FFFFFF" w:val="clear"/>
            <w:vAlign w:val="center"/>
          </w:tcPr>
          <w:p>
            <w:r>
              <w:rPr>
                <w:sz w:val="18"/>
                <w:szCs w:val="18"/>
              </w:rPr>
              <w:t xml:space="preserve">Reserved for Future Realization Phases</w:t>
            </w:r>
          </w:p>
        </w:tc>
      </w:tr>
    </w:tbl>
    <w:p>
      <w:pPr>
        <w:spacing w:after="160"/>
        <w:jc w:val="both"/>
      </w:pPr>
      <w:r>
        <w:rPr>
          <w:i/>
          <w:iCs/>
          <w:sz w:val="20"/>
          <w:szCs w:val="20"/>
        </w:rPr>
        <w:t xml:space="preserve">Evidence Classification: Observed Evidence (Section 10.5).</w:t>
      </w:r>
    </w:p>
    <w:p>
      <w:pPr>
        <w:pStyle w:val="Heading1"/>
        <w:spacing w:after="140" w:before="280"/>
      </w:pPr>
      <w:r>
        <w:t xml:space="preserve">10.13.7 — Executive Escalation Matrix</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2650"/>
        <w:gridCol w:w="3900"/>
        <w:gridCol w:w="1450"/>
        <w:gridCol w:w="1550"/>
      </w:tblGrid>
      <w:tr>
        <w:tc>
          <w:tcPr>
            <w:tcW w:type="dxa" w:w="2650"/>
            <w:shd w:fill="1F3864" w:val="clear"/>
            <w:vAlign w:val="center"/>
          </w:tcPr>
          <w:p>
            <w:r>
              <w:rPr>
                <w:b/>
                <w:bCs/>
                <w:sz w:val="18"/>
                <w:szCs w:val="18"/>
              </w:rPr>
              <w:t xml:space="preserve">Escalation Item</w:t>
            </w:r>
          </w:p>
        </w:tc>
        <w:tc>
          <w:tcPr>
            <w:tcW w:type="dxa" w:w="3900"/>
            <w:shd w:fill="1F3864" w:val="clear"/>
            <w:vAlign w:val="center"/>
          </w:tcPr>
          <w:p>
            <w:r>
              <w:rPr>
                <w:b/>
                <w:bCs/>
                <w:sz w:val="18"/>
                <w:szCs w:val="18"/>
              </w:rPr>
              <w:t xml:space="preserve">Escalation Basis</w:t>
            </w:r>
          </w:p>
        </w:tc>
        <w:tc>
          <w:tcPr>
            <w:tcW w:type="dxa" w:w="1450"/>
            <w:shd w:fill="1F3864" w:val="clear"/>
            <w:vAlign w:val="center"/>
          </w:tcPr>
          <w:p>
            <w:r>
              <w:rPr>
                <w:b/>
                <w:bCs/>
                <w:sz w:val="18"/>
                <w:szCs w:val="18"/>
              </w:rPr>
              <w:t xml:space="preserve">Priority</w:t>
            </w:r>
          </w:p>
        </w:tc>
        <w:tc>
          <w:tcPr>
            <w:tcW w:type="dxa" w:w="1550"/>
            <w:shd w:fill="1F3864" w:val="clear"/>
            <w:vAlign w:val="center"/>
          </w:tcPr>
          <w:p>
            <w:r>
              <w:rPr>
                <w:b/>
                <w:bCs/>
                <w:sz w:val="18"/>
                <w:szCs w:val="18"/>
              </w:rPr>
              <w:t xml:space="preserve">Owner-of-Record</w:t>
            </w:r>
          </w:p>
        </w:tc>
      </w:tr>
      <w:tr>
        <w:tc>
          <w:tcPr>
            <w:tcW w:type="dxa" w:w="2650"/>
            <w:shd w:fill="F2F2F2" w:val="clear"/>
            <w:vAlign w:val="center"/>
          </w:tcPr>
          <w:p>
            <w:r>
              <w:rPr>
                <w:sz w:val="18"/>
                <w:szCs w:val="18"/>
              </w:rPr>
              <w:t xml:space="preserve">KPI-08 — Ownership Assignment (0%)</w:t>
            </w:r>
          </w:p>
        </w:tc>
        <w:tc>
          <w:tcPr>
            <w:tcW w:type="dxa" w:w="3900"/>
            <w:shd w:fill="F2F2F2" w:val="clear"/>
            <w:vAlign w:val="center"/>
          </w:tcPr>
          <w:p>
            <w:r>
              <w:rPr>
                <w:sz w:val="18"/>
                <w:szCs w:val="18"/>
              </w:rPr>
              <w:t xml:space="preserve">Blocks accountable execution of every EGD owner field and every Work Package (Phase A.3 §4; Section 10.9)</w:t>
            </w:r>
          </w:p>
        </w:tc>
        <w:tc>
          <w:tcPr>
            <w:tcW w:type="dxa" w:w="1450"/>
            <w:shd w:fill="F2F2F2" w:val="clear"/>
            <w:vAlign w:val="center"/>
          </w:tcPr>
          <w:p>
            <w:r>
              <w:rPr>
                <w:sz w:val="18"/>
                <w:szCs w:val="18"/>
              </w:rPr>
              <w:t xml:space="preserve">Highest — zero-dependency, resolves every other item on this matrix</w:t>
            </w:r>
          </w:p>
        </w:tc>
        <w:tc>
          <w:tcPr>
            <w:tcW w:type="dxa" w:w="1550"/>
            <w:shd w:fill="F2F2F2" w:val="clear"/>
            <w:vAlign w:val="center"/>
          </w:tcPr>
          <w:p>
            <w:r>
              <w:rPr>
                <w:sz w:val="18"/>
                <w:szCs w:val="18"/>
              </w:rPr>
              <w:t xml:space="preserve">Not Evidenced in Current Baseline — awaits WP-0006</w:t>
            </w:r>
          </w:p>
        </w:tc>
      </w:tr>
      <w:tr>
        <w:tc>
          <w:tcPr>
            <w:tcW w:type="dxa" w:w="2650"/>
            <w:shd w:fill="FFFFFF" w:val="clear"/>
            <w:vAlign w:val="center"/>
          </w:tcPr>
          <w:p>
            <w:r>
              <w:rPr>
                <w:sz w:val="18"/>
                <w:szCs w:val="18"/>
              </w:rPr>
              <w:t xml:space="preserve">Executive oversight body readiness</w:t>
            </w:r>
          </w:p>
        </w:tc>
        <w:tc>
          <w:tcPr>
            <w:tcW w:type="dxa" w:w="3900"/>
            <w:shd w:fill="FFFFFF" w:val="clear"/>
            <w:vAlign w:val="center"/>
          </w:tcPr>
          <w:p>
            <w:r>
              <w:rPr>
                <w:sz w:val="18"/>
                <w:szCs w:val="18"/>
              </w:rPr>
              <w:t xml:space="preserve">No chartered Enterprise Architecture Board or Executive Steering Committee currently convened (Phase B §9)</w:t>
            </w:r>
          </w:p>
        </w:tc>
        <w:tc>
          <w:tcPr>
            <w:tcW w:type="dxa" w:w="1450"/>
            <w:shd w:fill="FFFFFF" w:val="clear"/>
            <w:vAlign w:val="center"/>
          </w:tcPr>
          <w:p>
            <w:r>
              <w:rPr>
                <w:sz w:val="18"/>
                <w:szCs w:val="18"/>
              </w:rPr>
              <w:t xml:space="preserve">Medium — target-state, not blocking current Wave 1/2 execution</w:t>
            </w:r>
          </w:p>
        </w:tc>
        <w:tc>
          <w:tcPr>
            <w:tcW w:type="dxa" w:w="1550"/>
            <w:shd w:fill="FFFFFF" w:val="clear"/>
            <w:vAlign w:val="center"/>
          </w:tcPr>
          <w:p>
            <w:r>
              <w:rPr>
                <w:sz w:val="18"/>
                <w:szCs w:val="18"/>
              </w:rPr>
              <w:t xml:space="preserve">Not Evidenced in Current Baseline</w:t>
            </w:r>
          </w:p>
        </w:tc>
      </w:tr>
      <w:tr>
        <w:tc>
          <w:tcPr>
            <w:tcW w:type="dxa" w:w="2650"/>
            <w:shd w:fill="F2F2F2" w:val="clear"/>
            <w:vAlign w:val="center"/>
          </w:tcPr>
          <w:p>
            <w:r>
              <w:rPr>
                <w:sz w:val="18"/>
                <w:szCs w:val="18"/>
              </w:rPr>
              <w:t xml:space="preserve">Wave 1 authorization (WP-0002, WP-0006)</w:t>
            </w:r>
          </w:p>
        </w:tc>
        <w:tc>
          <w:tcPr>
            <w:tcW w:type="dxa" w:w="3900"/>
            <w:shd w:fill="F2F2F2" w:val="clear"/>
            <w:vAlign w:val="center"/>
          </w:tcPr>
          <w:p>
            <w:r>
              <w:rPr>
                <w:sz w:val="18"/>
                <w:szCs w:val="18"/>
              </w:rPr>
              <w:t xml:space="preserve">Zero blocking dependency; execute-ready today (Section 10.5)</w:t>
            </w:r>
          </w:p>
        </w:tc>
        <w:tc>
          <w:tcPr>
            <w:tcW w:type="dxa" w:w="1450"/>
            <w:shd w:fill="F2F2F2" w:val="clear"/>
            <w:vAlign w:val="center"/>
          </w:tcPr>
          <w:p>
            <w:r>
              <w:rPr>
                <w:sz w:val="18"/>
                <w:szCs w:val="18"/>
              </w:rPr>
              <w:t xml:space="preserve">High — immediately actionable</w:t>
            </w:r>
          </w:p>
        </w:tc>
        <w:tc>
          <w:tcPr>
            <w:tcW w:type="dxa" w:w="1550"/>
            <w:shd w:fill="F2F2F2" w:val="clear"/>
            <w:vAlign w:val="center"/>
          </w:tcPr>
          <w:p>
            <w:r>
              <w:rPr>
                <w:sz w:val="18"/>
                <w:szCs w:val="18"/>
              </w:rPr>
              <w:t xml:space="preserve">Executive Sponsor / Governance Board (target-state, Phase B §9)</w:t>
            </w:r>
          </w:p>
        </w:tc>
      </w:tr>
      <w:tr>
        <w:tc>
          <w:tcPr>
            <w:tcW w:type="dxa" w:w="2650"/>
            <w:shd w:fill="FFFFFF" w:val="clear"/>
            <w:vAlign w:val="center"/>
          </w:tcPr>
          <w:p>
            <w:r>
              <w:rPr>
                <w:sz w:val="18"/>
                <w:szCs w:val="18"/>
              </w:rPr>
              <w:t xml:space="preserve">Work Package dependency sequencing (Wave 2)</w:t>
            </w:r>
          </w:p>
        </w:tc>
        <w:tc>
          <w:tcPr>
            <w:tcW w:type="dxa" w:w="3900"/>
            <w:shd w:fill="FFFFFF" w:val="clear"/>
            <w:vAlign w:val="center"/>
          </w:tcPr>
          <w:p>
            <w:r>
              <w:rPr>
                <w:sz w:val="18"/>
                <w:szCs w:val="18"/>
              </w:rPr>
              <w:t xml:space="preserve">Awaits Wave 1 completion and named ownership (Section 10.5)</w:t>
            </w:r>
          </w:p>
        </w:tc>
        <w:tc>
          <w:tcPr>
            <w:tcW w:type="dxa" w:w="1450"/>
            <w:shd w:fill="FFFFFF" w:val="clear"/>
            <w:vAlign w:val="center"/>
          </w:tcPr>
          <w:p>
            <w:r>
              <w:rPr>
                <w:sz w:val="18"/>
                <w:szCs w:val="18"/>
              </w:rPr>
              <w:t xml:space="preserve">Medium — no action due until Wave 1 closes</w:t>
            </w:r>
          </w:p>
        </w:tc>
        <w:tc>
          <w:tcPr>
            <w:tcW w:type="dxa" w:w="1550"/>
            <w:shd w:fill="FFFFFF" w:val="clear"/>
            <w:vAlign w:val="center"/>
          </w:tcPr>
          <w:p>
            <w:r>
              <w:rPr>
                <w:sz w:val="18"/>
                <w:szCs w:val="18"/>
              </w:rPr>
              <w:t xml:space="preserve">Not Evidenced in Current Baseline</w:t>
            </w:r>
          </w:p>
        </w:tc>
      </w:tr>
    </w:tbl>
    <w:p>
      <w:pPr>
        <w:spacing w:after="160"/>
        <w:jc w:val="both"/>
      </w:pPr>
      <w:r>
        <w:rPr>
          <w:sz w:val="22"/>
          <w:szCs w:val="22"/>
        </w:rPr>
        <w:t xml:space="preserve">This matrix reuses only escalation-relevant facts already reported elsewhere in the suite; it introduces no new escalation item beyond the four listed.</w:t>
      </w:r>
    </w:p>
    <w:p>
      <w:pPr>
        <w:spacing w:after="160"/>
        <w:jc w:val="both"/>
      </w:pPr>
      <w:r>
        <w:rPr>
          <w:i/>
          <w:iCs/>
          <w:sz w:val="20"/>
          <w:szCs w:val="20"/>
        </w:rPr>
        <w:t xml:space="preserve">Evidence Classification: Observed Evidence (Phase A.3 §4; Section 10.9; Section 10.5).</w:t>
      </w:r>
    </w:p>
    <w:p>
      <w:pPr>
        <w:pStyle w:val="Heading1"/>
        <w:spacing w:after="140" w:before="280"/>
      </w:pPr>
      <w:r>
        <w:t xml:space="preserve">10.13.8 — Executive Decision Traceability Matrix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50"/>
        <w:gridCol w:w="1200"/>
        <w:gridCol w:w="1150"/>
        <w:gridCol w:w="1000"/>
        <w:gridCol w:w="1750"/>
        <w:gridCol w:w="1600"/>
        <w:gridCol w:w="1500"/>
      </w:tblGrid>
      <w:tr>
        <w:tc>
          <w:tcPr>
            <w:tcW w:type="dxa" w:w="1150"/>
            <w:shd w:fill="1F3864" w:val="clear"/>
            <w:vAlign w:val="center"/>
          </w:tcPr>
          <w:p>
            <w:r>
              <w:rPr>
                <w:b/>
                <w:bCs/>
                <w:sz w:val="18"/>
                <w:szCs w:val="18"/>
              </w:rPr>
              <w:t xml:space="preserve">AR</w:t>
            </w:r>
          </w:p>
        </w:tc>
        <w:tc>
          <w:tcPr>
            <w:tcW w:type="dxa" w:w="1200"/>
            <w:shd w:fill="1F3864" w:val="clear"/>
            <w:vAlign w:val="center"/>
          </w:tcPr>
          <w:p>
            <w:r>
              <w:rPr>
                <w:b/>
                <w:bCs/>
                <w:sz w:val="18"/>
                <w:szCs w:val="18"/>
              </w:rPr>
              <w:t xml:space="preserve">EGD</w:t>
            </w:r>
          </w:p>
        </w:tc>
        <w:tc>
          <w:tcPr>
            <w:tcW w:type="dxa" w:w="1150"/>
            <w:shd w:fill="1F3864" w:val="clear"/>
            <w:vAlign w:val="center"/>
          </w:tcPr>
          <w:p>
            <w:r>
              <w:rPr>
                <w:b/>
                <w:bCs/>
                <w:sz w:val="18"/>
                <w:szCs w:val="18"/>
              </w:rPr>
              <w:t xml:space="preserve">ER</w:t>
            </w:r>
          </w:p>
        </w:tc>
        <w:tc>
          <w:tcPr>
            <w:tcW w:type="dxa" w:w="1000"/>
            <w:shd w:fill="1F3864" w:val="clear"/>
            <w:vAlign w:val="center"/>
          </w:tcPr>
          <w:p>
            <w:r>
              <w:rPr>
                <w:b/>
                <w:bCs/>
                <w:sz w:val="18"/>
                <w:szCs w:val="18"/>
              </w:rPr>
              <w:t xml:space="preserve">WP</w:t>
            </w:r>
          </w:p>
        </w:tc>
        <w:tc>
          <w:tcPr>
            <w:tcW w:type="dxa" w:w="1750"/>
            <w:shd w:fill="1F3864" w:val="clear"/>
            <w:vAlign w:val="center"/>
          </w:tcPr>
          <w:p>
            <w:r>
              <w:rPr>
                <w:b/>
                <w:bCs/>
                <w:sz w:val="18"/>
                <w:szCs w:val="18"/>
              </w:rPr>
              <w:t xml:space="preserve">Verification Activity</w:t>
            </w:r>
          </w:p>
        </w:tc>
        <w:tc>
          <w:tcPr>
            <w:tcW w:type="dxa" w:w="1600"/>
            <w:shd w:fill="1F3864" w:val="clear"/>
            <w:vAlign w:val="center"/>
          </w:tcPr>
          <w:p>
            <w:r>
              <w:rPr>
                <w:b/>
                <w:bCs/>
                <w:sz w:val="18"/>
                <w:szCs w:val="18"/>
              </w:rPr>
              <w:t xml:space="preserve">Acceptance Criteria</w:t>
            </w:r>
          </w:p>
        </w:tc>
        <w:tc>
          <w:tcPr>
            <w:tcW w:type="dxa" w:w="1500"/>
            <w:shd w:fill="1F3864" w:val="clear"/>
            <w:vAlign w:val="center"/>
          </w:tcPr>
          <w:p>
            <w:r>
              <w:rPr>
                <w:b/>
                <w:bCs/>
                <w:sz w:val="18"/>
                <w:szCs w:val="18"/>
              </w:rPr>
              <w:t xml:space="preserve">Executive Decision</w:t>
            </w:r>
          </w:p>
        </w:tc>
      </w:tr>
      <w:tr>
        <w:tc>
          <w:tcPr>
            <w:tcW w:type="dxa" w:w="1150"/>
            <w:shd w:fill="F2F2F2" w:val="clear"/>
            <w:vAlign w:val="center"/>
          </w:tcPr>
          <w:p>
            <w:r>
              <w:rPr>
                <w:sz w:val="18"/>
                <w:szCs w:val="18"/>
              </w:rPr>
              <w:t xml:space="preserve">AR-0002</w:t>
            </w:r>
          </w:p>
        </w:tc>
        <w:tc>
          <w:tcPr>
            <w:tcW w:type="dxa" w:w="1200"/>
            <w:shd w:fill="F2F2F2" w:val="clear"/>
            <w:vAlign w:val="center"/>
          </w:tcPr>
          <w:p>
            <w:r>
              <w:rPr>
                <w:sz w:val="18"/>
                <w:szCs w:val="18"/>
              </w:rPr>
              <w:t xml:space="preserve">EGD-0002</w:t>
            </w:r>
          </w:p>
        </w:tc>
        <w:tc>
          <w:tcPr>
            <w:tcW w:type="dxa" w:w="1150"/>
            <w:shd w:fill="F2F2F2" w:val="clear"/>
            <w:vAlign w:val="center"/>
          </w:tcPr>
          <w:p>
            <w:r>
              <w:rPr>
                <w:sz w:val="18"/>
                <w:szCs w:val="18"/>
              </w:rPr>
              <w:t xml:space="preserve">ER-0002</w:t>
            </w:r>
          </w:p>
        </w:tc>
        <w:tc>
          <w:tcPr>
            <w:tcW w:type="dxa" w:w="1000"/>
            <w:shd w:fill="F2F2F2" w:val="clear"/>
            <w:vAlign w:val="center"/>
          </w:tcPr>
          <w:p>
            <w:r>
              <w:rPr>
                <w:sz w:val="18"/>
                <w:szCs w:val="18"/>
              </w:rPr>
              <w:t xml:space="preserve">WP-0001</w:t>
            </w:r>
          </w:p>
        </w:tc>
        <w:tc>
          <w:tcPr>
            <w:tcW w:type="dxa" w:w="1750"/>
            <w:shd w:fill="F2F2F2" w:val="clear"/>
            <w:vAlign w:val="center"/>
          </w:tcPr>
          <w:p>
            <w:r>
              <w:rPr>
                <w:sz w:val="18"/>
                <w:szCs w:val="18"/>
              </w:rPr>
              <w:t xml:space="preserve">Table-inventory diff</w:t>
            </w:r>
          </w:p>
        </w:tc>
        <w:tc>
          <w:tcPr>
            <w:tcW w:type="dxa" w:w="1600"/>
            <w:shd w:fill="F2F2F2" w:val="clear"/>
            <w:vAlign w:val="center"/>
          </w:tcPr>
          <w:p>
            <w:r>
              <w:rPr>
                <w:sz w:val="18"/>
                <w:szCs w:val="18"/>
              </w:rPr>
              <w:t xml:space="preserve">Section 9 — WP-0001 §H</w:t>
            </w:r>
          </w:p>
        </w:tc>
        <w:tc>
          <w:tcPr>
            <w:tcW w:type="dxa" w:w="1500"/>
            <w:shd w:fill="F2F2F2" w:val="clear"/>
            <w:vAlign w:val="center"/>
          </w:tcPr>
          <w:p>
            <w:r>
              <w:rPr>
                <w:sz w:val="18"/>
                <w:szCs w:val="18"/>
              </w:rPr>
              <w:t xml:space="preserve">Accepted; execution pending</w:t>
            </w:r>
          </w:p>
        </w:tc>
      </w:tr>
      <w:tr>
        <w:tc>
          <w:tcPr>
            <w:tcW w:type="dxa" w:w="1150"/>
            <w:shd w:fill="FFFFFF" w:val="clear"/>
            <w:vAlign w:val="center"/>
          </w:tcPr>
          <w:p>
            <w:r>
              <w:rPr>
                <w:sz w:val="18"/>
                <w:szCs w:val="18"/>
              </w:rPr>
              <w:t xml:space="preserve">AR-0007</w:t>
            </w:r>
          </w:p>
        </w:tc>
        <w:tc>
          <w:tcPr>
            <w:tcW w:type="dxa" w:w="1200"/>
            <w:shd w:fill="FFFFFF" w:val="clear"/>
            <w:vAlign w:val="center"/>
          </w:tcPr>
          <w:p>
            <w:r>
              <w:rPr>
                <w:sz w:val="18"/>
                <w:szCs w:val="18"/>
              </w:rPr>
              <w:t xml:space="preserve">EGD-0007</w:t>
            </w:r>
          </w:p>
        </w:tc>
        <w:tc>
          <w:tcPr>
            <w:tcW w:type="dxa" w:w="1150"/>
            <w:shd w:fill="FFFFFF" w:val="clear"/>
            <w:vAlign w:val="center"/>
          </w:tcPr>
          <w:p>
            <w:r>
              <w:rPr>
                <w:sz w:val="18"/>
                <w:szCs w:val="18"/>
              </w:rPr>
              <w:t xml:space="preserve">ER-0007</w:t>
            </w:r>
          </w:p>
        </w:tc>
        <w:tc>
          <w:tcPr>
            <w:tcW w:type="dxa" w:w="1000"/>
            <w:shd w:fill="FFFFFF" w:val="clear"/>
            <w:vAlign w:val="center"/>
          </w:tcPr>
          <w:p>
            <w:r>
              <w:rPr>
                <w:sz w:val="18"/>
                <w:szCs w:val="18"/>
              </w:rPr>
              <w:t xml:space="preserve">WP-0002</w:t>
            </w:r>
          </w:p>
        </w:tc>
        <w:tc>
          <w:tcPr>
            <w:tcW w:type="dxa" w:w="1750"/>
            <w:shd w:fill="FFFFFF" w:val="clear"/>
            <w:vAlign w:val="center"/>
          </w:tcPr>
          <w:p>
            <w:r>
              <w:rPr>
                <w:sz w:val="18"/>
                <w:szCs w:val="18"/>
              </w:rPr>
              <w:t xml:space="preserve">RLS coverage ledger</w:t>
            </w:r>
          </w:p>
        </w:tc>
        <w:tc>
          <w:tcPr>
            <w:tcW w:type="dxa" w:w="1600"/>
            <w:shd w:fill="FFFFFF" w:val="clear"/>
            <w:vAlign w:val="center"/>
          </w:tcPr>
          <w:p>
            <w:r>
              <w:rPr>
                <w:sz w:val="18"/>
                <w:szCs w:val="18"/>
              </w:rPr>
              <w:t xml:space="preserve">Section 9 — WP-0002 §H</w:t>
            </w:r>
          </w:p>
        </w:tc>
        <w:tc>
          <w:tcPr>
            <w:tcW w:type="dxa" w:w="1500"/>
            <w:shd w:fill="FFFFFF" w:val="clear"/>
            <w:vAlign w:val="center"/>
          </w:tcPr>
          <w:p>
            <w:r>
              <w:rPr>
                <w:sz w:val="18"/>
                <w:szCs w:val="18"/>
              </w:rPr>
              <w:t xml:space="preserve">Accepted, in progress; execution pending</w:t>
            </w:r>
          </w:p>
        </w:tc>
      </w:tr>
      <w:tr>
        <w:tc>
          <w:tcPr>
            <w:tcW w:type="dxa" w:w="1150"/>
            <w:shd w:fill="F2F2F2" w:val="clear"/>
            <w:vAlign w:val="center"/>
          </w:tcPr>
          <w:p>
            <w:r>
              <w:rPr>
                <w:sz w:val="18"/>
                <w:szCs w:val="18"/>
              </w:rPr>
              <w:t xml:space="preserve">AR-0004</w:t>
            </w:r>
          </w:p>
        </w:tc>
        <w:tc>
          <w:tcPr>
            <w:tcW w:type="dxa" w:w="1200"/>
            <w:shd w:fill="F2F2F2" w:val="clear"/>
            <w:vAlign w:val="center"/>
          </w:tcPr>
          <w:p>
            <w:r>
              <w:rPr>
                <w:sz w:val="18"/>
                <w:szCs w:val="18"/>
              </w:rPr>
              <w:t xml:space="preserve">EGD-0004</w:t>
            </w:r>
          </w:p>
        </w:tc>
        <w:tc>
          <w:tcPr>
            <w:tcW w:type="dxa" w:w="1150"/>
            <w:shd w:fill="F2F2F2" w:val="clear"/>
            <w:vAlign w:val="center"/>
          </w:tcPr>
          <w:p>
            <w:r>
              <w:rPr>
                <w:sz w:val="18"/>
                <w:szCs w:val="18"/>
              </w:rPr>
              <w:t xml:space="preserve">ER-0004</w:t>
            </w:r>
          </w:p>
        </w:tc>
        <w:tc>
          <w:tcPr>
            <w:tcW w:type="dxa" w:w="1000"/>
            <w:shd w:fill="F2F2F2" w:val="clear"/>
            <w:vAlign w:val="center"/>
          </w:tcPr>
          <w:p>
            <w:r>
              <w:rPr>
                <w:sz w:val="18"/>
                <w:szCs w:val="18"/>
              </w:rPr>
              <w:t xml:space="preserve">WP-0003</w:t>
            </w:r>
          </w:p>
        </w:tc>
        <w:tc>
          <w:tcPr>
            <w:tcW w:type="dxa" w:w="1750"/>
            <w:shd w:fill="F2F2F2" w:val="clear"/>
            <w:vAlign w:val="center"/>
          </w:tcPr>
          <w:p>
            <w:r>
              <w:rPr>
                <w:sz w:val="18"/>
                <w:szCs w:val="18"/>
              </w:rPr>
              <w:t xml:space="preserve">Row-count/growth monitoring</w:t>
            </w:r>
          </w:p>
        </w:tc>
        <w:tc>
          <w:tcPr>
            <w:tcW w:type="dxa" w:w="1600"/>
            <w:shd w:fill="F2F2F2" w:val="clear"/>
            <w:vAlign w:val="center"/>
          </w:tcPr>
          <w:p>
            <w:r>
              <w:rPr>
                <w:sz w:val="18"/>
                <w:szCs w:val="18"/>
              </w:rPr>
              <w:t xml:space="preserve">Section 9 — WP-0003 §H</w:t>
            </w:r>
          </w:p>
        </w:tc>
        <w:tc>
          <w:tcPr>
            <w:tcW w:type="dxa" w:w="1500"/>
            <w:shd w:fill="F2F2F2" w:val="clear"/>
            <w:vAlign w:val="center"/>
          </w:tcPr>
          <w:p>
            <w:r>
              <w:rPr>
                <w:sz w:val="18"/>
                <w:szCs w:val="18"/>
              </w:rPr>
              <w:t xml:space="preserve">Deferred; monitored, trigger-gated</w:t>
            </w:r>
          </w:p>
        </w:tc>
      </w:tr>
      <w:tr>
        <w:tc>
          <w:tcPr>
            <w:tcW w:type="dxa" w:w="1150"/>
            <w:shd w:fill="FFFFFF" w:val="clear"/>
            <w:vAlign w:val="center"/>
          </w:tcPr>
          <w:p>
            <w:r>
              <w:rPr>
                <w:sz w:val="18"/>
                <w:szCs w:val="18"/>
              </w:rPr>
              <w:t xml:space="preserve">AR-0003</w:t>
            </w:r>
          </w:p>
        </w:tc>
        <w:tc>
          <w:tcPr>
            <w:tcW w:type="dxa" w:w="1200"/>
            <w:shd w:fill="FFFFFF" w:val="clear"/>
            <w:vAlign w:val="center"/>
          </w:tcPr>
          <w:p>
            <w:r>
              <w:rPr>
                <w:sz w:val="18"/>
                <w:szCs w:val="18"/>
              </w:rPr>
              <w:t xml:space="preserve">EGD-0003</w:t>
            </w:r>
          </w:p>
        </w:tc>
        <w:tc>
          <w:tcPr>
            <w:tcW w:type="dxa" w:w="1150"/>
            <w:shd w:fill="FFFFFF" w:val="clear"/>
            <w:vAlign w:val="center"/>
          </w:tcPr>
          <w:p>
            <w:r>
              <w:rPr>
                <w:sz w:val="18"/>
                <w:szCs w:val="18"/>
              </w:rPr>
              <w:t xml:space="preserve">ER-0003</w:t>
            </w:r>
          </w:p>
        </w:tc>
        <w:tc>
          <w:tcPr>
            <w:tcW w:type="dxa" w:w="1000"/>
            <w:shd w:fill="FFFFFF" w:val="clear"/>
            <w:vAlign w:val="center"/>
          </w:tcPr>
          <w:p>
            <w:r>
              <w:rPr>
                <w:sz w:val="18"/>
                <w:szCs w:val="18"/>
              </w:rPr>
              <w:t xml:space="preserve">WP-0004</w:t>
            </w:r>
          </w:p>
        </w:tc>
        <w:tc>
          <w:tcPr>
            <w:tcW w:type="dxa" w:w="1750"/>
            <w:shd w:fill="FFFFFF" w:val="clear"/>
            <w:vAlign w:val="center"/>
          </w:tcPr>
          <w:p>
            <w:r>
              <w:rPr>
                <w:sz w:val="18"/>
                <w:szCs w:val="18"/>
              </w:rPr>
              <w:t xml:space="preserve">Per-release denormalization check</w:t>
            </w:r>
          </w:p>
        </w:tc>
        <w:tc>
          <w:tcPr>
            <w:tcW w:type="dxa" w:w="1600"/>
            <w:shd w:fill="FFFFFF" w:val="clear"/>
            <w:vAlign w:val="center"/>
          </w:tcPr>
          <w:p>
            <w:r>
              <w:rPr>
                <w:sz w:val="18"/>
                <w:szCs w:val="18"/>
              </w:rPr>
              <w:t xml:space="preserve">Section 9 — WP-0004 §H</w:t>
            </w:r>
          </w:p>
        </w:tc>
        <w:tc>
          <w:tcPr>
            <w:tcW w:type="dxa" w:w="1500"/>
            <w:shd w:fill="FFFFFF" w:val="clear"/>
            <w:vAlign w:val="center"/>
          </w:tcPr>
          <w:p>
            <w:r>
              <w:rPr>
                <w:sz w:val="18"/>
                <w:szCs w:val="18"/>
              </w:rPr>
              <w:t xml:space="preserve">Accepted, conditional; execution pending</w:t>
            </w:r>
          </w:p>
        </w:tc>
      </w:tr>
      <w:tr>
        <w:tc>
          <w:tcPr>
            <w:tcW w:type="dxa" w:w="1150"/>
            <w:shd w:fill="F2F2F2" w:val="clear"/>
            <w:vAlign w:val="center"/>
          </w:tcPr>
          <w:p>
            <w:r>
              <w:rPr>
                <w:sz w:val="18"/>
                <w:szCs w:val="18"/>
              </w:rPr>
              <w:t xml:space="preserve">AR-0007 (ext.)</w:t>
            </w:r>
          </w:p>
        </w:tc>
        <w:tc>
          <w:tcPr>
            <w:tcW w:type="dxa" w:w="1200"/>
            <w:shd w:fill="F2F2F2" w:val="clear"/>
            <w:vAlign w:val="center"/>
          </w:tcPr>
          <w:p>
            <w:r>
              <w:rPr>
                <w:sz w:val="18"/>
                <w:szCs w:val="18"/>
              </w:rPr>
              <w:t xml:space="preserve">EGD-0007</w:t>
            </w:r>
          </w:p>
        </w:tc>
        <w:tc>
          <w:tcPr>
            <w:tcW w:type="dxa" w:w="1150"/>
            <w:shd w:fill="F2F2F2" w:val="clear"/>
            <w:vAlign w:val="center"/>
          </w:tcPr>
          <w:p>
            <w:r>
              <w:rPr>
                <w:sz w:val="18"/>
                <w:szCs w:val="18"/>
              </w:rPr>
              <w:t xml:space="preserve">ER-0007</w:t>
            </w:r>
          </w:p>
        </w:tc>
        <w:tc>
          <w:tcPr>
            <w:tcW w:type="dxa" w:w="1000"/>
            <w:shd w:fill="F2F2F2" w:val="clear"/>
            <w:vAlign w:val="center"/>
          </w:tcPr>
          <w:p>
            <w:r>
              <w:rPr>
                <w:sz w:val="18"/>
                <w:szCs w:val="18"/>
              </w:rPr>
              <w:t xml:space="preserve">WP-0005</w:t>
            </w:r>
          </w:p>
        </w:tc>
        <w:tc>
          <w:tcPr>
            <w:tcW w:type="dxa" w:w="1750"/>
            <w:shd w:fill="F2F2F2" w:val="clear"/>
            <w:vAlign w:val="center"/>
          </w:tcPr>
          <w:p>
            <w:r>
              <w:rPr>
                <w:sz w:val="18"/>
                <w:szCs w:val="18"/>
              </w:rPr>
              <w:t xml:space="preserve">Query-based access review</w:t>
            </w:r>
          </w:p>
        </w:tc>
        <w:tc>
          <w:tcPr>
            <w:tcW w:type="dxa" w:w="1600"/>
            <w:shd w:fill="F2F2F2" w:val="clear"/>
            <w:vAlign w:val="center"/>
          </w:tcPr>
          <w:p>
            <w:r>
              <w:rPr>
                <w:sz w:val="18"/>
                <w:szCs w:val="18"/>
              </w:rPr>
              <w:t xml:space="preserve">Section 9 — WP-0005 §H</w:t>
            </w:r>
          </w:p>
        </w:tc>
        <w:tc>
          <w:tcPr>
            <w:tcW w:type="dxa" w:w="1500"/>
            <w:shd w:fill="F2F2F2" w:val="clear"/>
            <w:vAlign w:val="center"/>
          </w:tcPr>
          <w:p>
            <w:r>
              <w:rPr>
                <w:sz w:val="18"/>
                <w:szCs w:val="18"/>
              </w:rPr>
              <w:t xml:space="preserve">Accepted; execution pending</w:t>
            </w:r>
          </w:p>
        </w:tc>
      </w:tr>
      <w:tr>
        <w:tc>
          <w:tcPr>
            <w:tcW w:type="dxa" w:w="1150"/>
            <w:shd w:fill="FFFFFF" w:val="clear"/>
            <w:vAlign w:val="center"/>
          </w:tcPr>
          <w:p>
            <w:r>
              <w:rPr>
                <w:sz w:val="18"/>
                <w:szCs w:val="18"/>
              </w:rPr>
              <w:t xml:space="preserve">AP-009</w:t>
            </w:r>
          </w:p>
        </w:tc>
        <w:tc>
          <w:tcPr>
            <w:tcW w:type="dxa" w:w="1200"/>
            <w:shd w:fill="FFFFFF" w:val="clear"/>
            <w:vAlign w:val="center"/>
          </w:tcPr>
          <w:p>
            <w:r>
              <w:rPr>
                <w:sz w:val="18"/>
                <w:szCs w:val="18"/>
              </w:rPr>
              <w:t xml:space="preserve">EGD-0001–0009</w:t>
            </w:r>
          </w:p>
        </w:tc>
        <w:tc>
          <w:tcPr>
            <w:tcW w:type="dxa" w:w="1150"/>
            <w:shd w:fill="FFFFFF" w:val="clear"/>
            <w:vAlign w:val="center"/>
          </w:tcPr>
          <w:p>
            <w:r>
              <w:rPr>
                <w:sz w:val="18"/>
                <w:szCs w:val="18"/>
              </w:rPr>
              <w:t xml:space="preserve">ER-0001–0010</w:t>
            </w:r>
          </w:p>
        </w:tc>
        <w:tc>
          <w:tcPr>
            <w:tcW w:type="dxa" w:w="1000"/>
            <w:shd w:fill="FFFFFF" w:val="clear"/>
            <w:vAlign w:val="center"/>
          </w:tcPr>
          <w:p>
            <w:r>
              <w:rPr>
                <w:sz w:val="18"/>
                <w:szCs w:val="18"/>
              </w:rPr>
              <w:t xml:space="preserve">WP-0006</w:t>
            </w:r>
          </w:p>
        </w:tc>
        <w:tc>
          <w:tcPr>
            <w:tcW w:type="dxa" w:w="1750"/>
            <w:shd w:fill="FFFFFF" w:val="clear"/>
            <w:vAlign w:val="center"/>
          </w:tcPr>
          <w:p>
            <w:r>
              <w:rPr>
                <w:sz w:val="18"/>
                <w:szCs w:val="18"/>
              </w:rPr>
              <w:t xml:space="preserve">Named-assignment confirmation</w:t>
            </w:r>
          </w:p>
        </w:tc>
        <w:tc>
          <w:tcPr>
            <w:tcW w:type="dxa" w:w="1600"/>
            <w:shd w:fill="FFFFFF" w:val="clear"/>
            <w:vAlign w:val="center"/>
          </w:tcPr>
          <w:p>
            <w:r>
              <w:rPr>
                <w:sz w:val="18"/>
                <w:szCs w:val="18"/>
              </w:rPr>
              <w:t xml:space="preserve">Section 9 — WP-0006 §H</w:t>
            </w:r>
          </w:p>
        </w:tc>
        <w:tc>
          <w:tcPr>
            <w:tcW w:type="dxa" w:w="1500"/>
            <w:shd w:fill="FFFFFF" w:val="clear"/>
            <w:vAlign w:val="center"/>
          </w:tcPr>
          <w:p>
            <w:r>
              <w:rPr>
                <w:sz w:val="18"/>
                <w:szCs w:val="18"/>
              </w:rPr>
              <w:t xml:space="preserve">Not Evidenced in Current Baseline — pending assignment</w:t>
            </w:r>
          </w:p>
        </w:tc>
      </w:tr>
      <w:tr>
        <w:tc>
          <w:tcPr>
            <w:tcW w:type="dxa" w:w="1150"/>
            <w:shd w:fill="F2F2F2" w:val="clear"/>
            <w:vAlign w:val="center"/>
          </w:tcPr>
          <w:p>
            <w:r>
              <w:rPr>
                <w:sz w:val="18"/>
                <w:szCs w:val="18"/>
              </w:rPr>
              <w:t xml:space="preserve">AR-0001, 0005, 0006, 0008–0010</w:t>
            </w:r>
          </w:p>
        </w:tc>
        <w:tc>
          <w:tcPr>
            <w:tcW w:type="dxa" w:w="1200"/>
            <w:shd w:fill="F2F2F2" w:val="clear"/>
            <w:vAlign w:val="center"/>
          </w:tcPr>
          <w:p>
            <w:r>
              <w:rPr>
                <w:sz w:val="18"/>
                <w:szCs w:val="18"/>
              </w:rPr>
              <w:t xml:space="preserve">EGD-0001, 0005, 0006, 0008, 0009</w:t>
            </w:r>
          </w:p>
        </w:tc>
        <w:tc>
          <w:tcPr>
            <w:tcW w:type="dxa" w:w="1150"/>
            <w:shd w:fill="F2F2F2" w:val="clear"/>
            <w:vAlign w:val="center"/>
          </w:tcPr>
          <w:p>
            <w:r>
              <w:rPr>
                <w:sz w:val="18"/>
                <w:szCs w:val="18"/>
              </w:rPr>
              <w:t xml:space="preserve">ER-0001, 0005, 0006, 0008–0010</w:t>
            </w:r>
          </w:p>
        </w:tc>
        <w:tc>
          <w:tcPr>
            <w:tcW w:type="dxa" w:w="1000"/>
            <w:shd w:fill="F2F2F2" w:val="clear"/>
            <w:vAlign w:val="center"/>
          </w:tcPr>
          <w:p>
            <w:r>
              <w:rPr>
                <w:sz w:val="18"/>
                <w:szCs w:val="18"/>
              </w:rPr>
              <w:t xml:space="preserve">None (not Work-Package-bound)</w:t>
            </w:r>
          </w:p>
        </w:tc>
        <w:tc>
          <w:tcPr>
            <w:tcW w:type="dxa" w:w="1750"/>
            <w:shd w:fill="F2F2F2" w:val="clear"/>
            <w:vAlign w:val="center"/>
          </w:tcPr>
          <w:p>
            <w:r>
              <w:rPr>
                <w:sz w:val="18"/>
                <w:szCs w:val="18"/>
              </w:rPr>
              <w:t xml:space="preserve">Standing or monitoring review</w:t>
            </w:r>
          </w:p>
        </w:tc>
        <w:tc>
          <w:tcPr>
            <w:tcW w:type="dxa" w:w="1600"/>
            <w:shd w:fill="F2F2F2" w:val="clear"/>
            <w:vAlign w:val="center"/>
          </w:tcPr>
          <w:p>
            <w:r>
              <w:rPr>
                <w:sz w:val="18"/>
                <w:szCs w:val="18"/>
              </w:rPr>
              <w:t xml:space="preserve">Not Evidenced in Current Baseline for acceptance</w:t>
            </w:r>
          </w:p>
        </w:tc>
        <w:tc>
          <w:tcPr>
            <w:tcW w:type="dxa" w:w="1500"/>
            <w:shd w:fill="F2F2F2" w:val="clear"/>
            <w:vAlign w:val="center"/>
          </w:tcPr>
          <w:p>
            <w:r>
              <w:rPr>
                <w:sz w:val="18"/>
                <w:szCs w:val="18"/>
              </w:rPr>
              <w:t xml:space="preserve">Decided; no execution decision pending</w:t>
            </w:r>
          </w:p>
        </w:tc>
      </w:tr>
    </w:tbl>
    <w:p>
      <w:pPr>
        <w:spacing w:after="160"/>
        <w:jc w:val="both"/>
      </w:pPr>
      <w:r>
        <w:rPr>
          <w:sz w:val="22"/>
          <w:szCs w:val="22"/>
        </w:rPr>
        <w:t xml:space="preserve">Every decision in the ERP-01 baseline traces completely from its governing Architecture Requirement through to an executive decision status. No decision in this matrix is newly introduced; each reuses the identifiers and dispositions established in Phase A.3, Section 7, Section 9, and Sections 10.7–10.11.</w:t>
      </w:r>
    </w:p>
    <w:p>
      <w:pPr>
        <w:spacing w:after="160"/>
        <w:jc w:val="both"/>
      </w:pPr>
      <w:r>
        <w:rPr>
          <w:i/>
          <w:iCs/>
          <w:sz w:val="20"/>
          <w:szCs w:val="20"/>
        </w:rPr>
        <w:t xml:space="preserve">Evidence Classification: Observed Evidence.</w:t>
      </w:r>
    </w:p>
    <w:p>
      <w:pPr>
        <w:pStyle w:val="Heading1"/>
        <w:spacing w:after="140" w:before="280"/>
      </w:pPr>
      <w:r>
        <w:t xml:space="preserve">10.13.9 — Executive Decision Summary</w:t>
      </w:r>
    </w:p>
    <w:p>
      <w:pPr>
        <w:pStyle w:val="ListParagraph"/>
        <w:numPr>
          <w:ilvl w:val="0"/>
          <w:numId w:val="1"/>
        </w:numPr>
        <w:spacing w:after="80"/>
      </w:pPr>
      <w:r>
        <w:rPr>
          <w:sz w:val="22"/>
          <w:szCs w:val="22"/>
        </w:rPr>
        <w:t xml:space="preserve">Decisions completed: 10 of 10 Architecture Requirements dispositioned; 9 of 9 Enterprise Governance Decisions recorded; 10 of 10 Enterprise Resolutions recorded; 4 of 4 Variances approved.</w:t>
      </w:r>
    </w:p>
    <w:p>
      <w:pPr>
        <w:pStyle w:val="ListParagraph"/>
        <w:numPr>
          <w:ilvl w:val="0"/>
          <w:numId w:val="1"/>
        </w:numPr>
        <w:spacing w:after="80"/>
      </w:pPr>
      <w:r>
        <w:rPr>
          <w:sz w:val="22"/>
          <w:szCs w:val="22"/>
        </w:rPr>
        <w:t xml:space="preserve">Decisions pending execution (not pending judgment): WP-0001, WP-0002, WP-0004, WP-0005, WP-0006 — each already decided and awaiting execution, not further deliberation.</w:t>
      </w:r>
    </w:p>
    <w:p>
      <w:pPr>
        <w:pStyle w:val="ListParagraph"/>
        <w:numPr>
          <w:ilvl w:val="0"/>
          <w:numId w:val="1"/>
        </w:numPr>
        <w:spacing w:after="80"/>
      </w:pPr>
      <w:r>
        <w:rPr>
          <w:sz w:val="22"/>
          <w:szCs w:val="22"/>
        </w:rPr>
        <w:t xml:space="preserve">Decisions awaiting an external trigger: WP-0003 / EGD-0004 — correctly held pending row-count/growth data, not pending an executive judgment call.</w:t>
      </w:r>
    </w:p>
    <w:p>
      <w:pPr>
        <w:pStyle w:val="ListParagraph"/>
        <w:numPr>
          <w:ilvl w:val="0"/>
          <w:numId w:val="1"/>
        </w:numPr>
        <w:spacing w:after="80"/>
      </w:pPr>
      <w:r>
        <w:rPr>
          <w:sz w:val="22"/>
          <w:szCs w:val="22"/>
        </w:rPr>
        <w:t xml:space="preserve">Reserved decisions: Portfolios 3–7 and Waves 4–5 — no decision is due because no approved scope exists; each is Reserved for Future Realization Phases.</w:t>
      </w:r>
    </w:p>
    <w:p>
      <w:pPr>
        <w:pStyle w:val="ListParagraph"/>
        <w:numPr>
          <w:ilvl w:val="0"/>
          <w:numId w:val="1"/>
        </w:numPr>
        <w:spacing w:after="80"/>
      </w:pPr>
      <w:r>
        <w:rPr>
          <w:sz w:val="22"/>
          <w:szCs w:val="22"/>
        </w:rPr>
        <w:t xml:space="preserve">Executive confidence in decision completeness: High. No Architecture Requirement, Work Package, or governance area in the current baseline lacks a recorded decision; the only outstanding item is the administrative act of naming an owner under WP-0006.</w:t>
      </w:r>
    </w:p>
    <w:p>
      <w:pPr>
        <w:spacing w:after="160"/>
        <w:jc w:val="both"/>
      </w:pPr>
      <w:r>
        <w:rPr>
          <w:i/>
          <w:iCs/>
          <w:sz w:val="20"/>
          <w:szCs w:val="20"/>
        </w:rPr>
        <w:t xml:space="preserve">Evidence Classification: Derived Executive Assessment (direct aggregation of Sections 10.13.2–10.13.8; no new decision introduced).</w:t>
      </w:r>
    </w:p>
    <w:p>
      <w:pPr>
        <w:pStyle w:val="Heading1"/>
        <w:spacing w:after="140" w:before="280"/>
      </w:pPr>
      <w:r>
        <w:t xml:space="preserve">10.13.10 — Executive Conclusion</w:t>
      </w:r>
    </w:p>
    <w:p>
      <w:pPr>
        <w:spacing w:after="160"/>
        <w:jc w:val="both"/>
      </w:pPr>
      <w:r>
        <w:rPr>
          <w:sz w:val="22"/>
          <w:szCs w:val="22"/>
        </w:rPr>
        <w:t xml:space="preserve">The enterprise decision posture of ERP-01 is complete. Every Architecture Requirement, Enterprise Governance Decision, Enterprise Resolution, and Variance in the approved baseline carries a recorded, dispositioned decision; none is pending further executive judgment. What remains is execution of decisions already made, not additional decision-making.</w:t>
      </w:r>
    </w:p>
    <w:p>
      <w:pPr>
        <w:spacing w:after="160"/>
        <w:jc w:val="both"/>
      </w:pPr>
      <w:r>
        <w:rPr>
          <w:sz w:val="22"/>
          <w:szCs w:val="22"/>
        </w:rPr>
        <w:t xml:space="preserve">Governance confidence is high: the decision register is internally consistent with Phase A.3 and unchanged through every subsequent Phase C section, and no decision in this matrix conflicts with, or has been superseded by, another. Decision readiness for Wave 1 (WP-0002, WP-0006) is complete and requires only authorization to execute.</w:t>
      </w:r>
    </w:p>
    <w:p>
      <w:pPr>
        <w:spacing w:after="160"/>
        <w:jc w:val="both"/>
      </w:pPr>
      <w:r>
        <w:rPr>
          <w:sz w:val="22"/>
          <w:szCs w:val="22"/>
        </w:rPr>
        <w:t xml:space="preserve">The single outstanding executive action across the entire decision register is naming an accountable owner under WP-0006, which the nine Enterprise Governance Decisions' owner fields have each awaited since Phase A.3. Overall executive disposition: authorize Wave 1 execution now; no further decision, review, or governance action is required to do so.</w:t>
      </w:r>
    </w:p>
    <w:p>
      <w:pPr>
        <w:spacing w:after="160"/>
        <w:jc w:val="both"/>
      </w:pPr>
      <w:r>
        <w:rPr>
          <w:i/>
          <w:iCs/>
          <w:sz w:val="20"/>
          <w:szCs w:val="20"/>
        </w:rPr>
        <w:t xml:space="preserve">This conclusion introduces no new Architecture Requirement, Enterprise Governance Decision, Enterprise Resolution, Variance, Work Package, Portfolio, Wave, KPI, governance authority, or implementation evidence. It is a direct synthesis of decisions already approved in ERP-01 Phase A.1 through Phase C Section 10.12.</w:t>
      </w:r>
    </w:p>
    <w:p>
      <w:pPr>
        <w:spacing w:before="300"/>
      </w:pPr>
    </w:p>
    <w:p>
      <w:pPr>
        <w:spacing w:after="160"/>
        <w:jc w:val="both"/>
      </w:pPr>
      <w:r>
        <w:rPr>
          <w:i/>
          <w:iCs/>
          <w:sz w:val="18"/>
          <w:szCs w:val="18"/>
        </w:rPr>
        <w:t xml:space="preserve">End of Section 10.13 — the final analytical dashboard in the ERP-01 Phase C Executive Dashboard Suite (Sections 10.1–10.13). This document is internal Enterprise Architecture and engineering governance documentation for the HireRise Career Intelligence Platform. It introduces no new enterprise artifact or governance construct beyond what ERP-01 Phase A.1 through Phase C Section 10.12 already established, and does not represent external audit, assurance, or certification by any third party. Per agreed scope, the Executive Dashboard Suite will be reviewed before any additional executive documents are commissioned.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Calibri" w:cs="Calibri" w:eastAsia="Calibri" w:hAnsi="Calibri"/>
      <w:b/>
      <w:bCs/>
      <w:color w:val="1F3864"/>
      <w:sz w:val="30"/>
      <w:szCs w:val="30"/>
    </w:rPr>
  </w:style>
  <w:style w:type="paragraph" w:styleId="Heading2">
    <w:name w:val="Heading 2"/>
    <w:basedOn w:val="Normal"/>
    <w:next w:val="Normal"/>
    <w:pPr>
      <w:spacing w:after="140" w:before="280"/>
      <w:outlineLvl w:val="1"/>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2026-07-09T20:45:17.522Z</dcterms:created>
  <dcterms:modified xsi:type="dcterms:W3CDTF">2026-07-09T20:45:17.537Z</dcterms:modified>
</cp:coreProperties>
</file>

<file path=docProps/custom.xml><?xml version="1.0" encoding="utf-8"?>
<Properties xmlns="http://schemas.openxmlformats.org/officeDocument/2006/custom-properties" xmlns:vt="http://schemas.openxmlformats.org/officeDocument/2006/docPropsVTypes"/>
</file>