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24"/>
          <w:szCs w:val="24"/>
        </w:rPr>
        <w:t xml:space="preserve">ERP-01 — Phase C</w:t>
      </w:r>
    </w:p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Section 10.14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Executive Portfolio Scorecard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HireRise Career Intelligence Platform | Internal Governance Documentation | Version 1.0 | DRAFT FOR REVIEW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Scope Notice: Internal Enterprise Architecture and Engineering Governance documentation. Not an external audit, assurance report, or third-party certification. "Board," "Steering Committee," and "PMO" references describe target-state governance roles (Phase B §9), not currently-convened bodies. Every entry below is Observed Evidence or Derived Executive Assessment reused from ERP-01 Phase A.1–Phase C Section 10.13, unless marked Not Evidenced in Current Baseline or Reserved for Future Realization Phases.</w:t>
            </w:r>
          </w:p>
        </w:tc>
      </w:tr>
    </w:tbl>
    <w:p>
      <w:pPr>
        <w:pStyle w:val="Heading1"/>
        <w:spacing w:after="120" w:before="240"/>
      </w:pPr>
      <w:r>
        <w:t xml:space="preserve">10.14.1 — Scorecard Overview</w:t>
      </w:r>
    </w:p>
    <w:p>
      <w:pPr>
        <w:spacing w:after="120"/>
        <w:jc w:val="both"/>
      </w:pPr>
      <w:r>
        <w:rPr>
          <w:sz w:val="21"/>
          <w:szCs w:val="21"/>
        </w:rPr>
        <w:t xml:space="preserve">This is the one-stop executive status summary for ERP-01: everything a CIO, CTO, or Executive Sponsor needs to assess program health in about five minutes, before a governance meeting. It summarizes and consolidates only; it performs no new analysis. For underlying detail, see Section 10.10 (evidence), 10.11 (acceptance), 10.12 (readiness), and 10.13 (decisions).</w:t>
      </w:r>
    </w:p>
    <w:p>
      <w:pPr>
        <w:pStyle w:val="Heading1"/>
        <w:spacing w:after="120" w:before="240"/>
      </w:pPr>
      <w:r>
        <w:t xml:space="preserve">10.14.2 — Enterprise Executive Scorecard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Dimension</w:t>
            </w:r>
          </w:p>
        </w:tc>
        <w:tc>
          <w:tcPr>
            <w:tcW w:type="dxa" w:w="655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8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Architecture</w:t>
            </w:r>
          </w:p>
        </w:tc>
        <w:tc>
          <w:tcPr>
            <w:tcW w:type="dxa" w:w="65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L1–L3 MET; L4 pending 6 of 10 ARs; L5 NOT MET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Engineering</w:t>
            </w:r>
          </w:p>
        </w:tc>
        <w:tc>
          <w:tcPr>
            <w:tcW w:type="dxa" w:w="65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6 of 6 WPs designed; 0 of 6 executed</w:t>
            </w:r>
          </w:p>
        </w:tc>
      </w:tr>
      <w:tr>
        <w:tc>
          <w:tcPr>
            <w:tcW w:type="dxa" w:w="28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Repository</w:t>
            </w:r>
          </w:p>
        </w:tc>
        <w:tc>
          <w:tcPr>
            <w:tcW w:type="dxa" w:w="65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Documentation/Database/Test sound; Backend/Frontend/Infra Not Evidenced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Portfolio</w:t>
            </w:r>
          </w:p>
        </w:tc>
        <w:tc>
          <w:tcPr>
            <w:tcW w:type="dxa" w:w="65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3 of 8 active — READY WITH CONDITIONS</w:t>
            </w:r>
          </w:p>
        </w:tc>
      </w:tr>
      <w:tr>
        <w:tc>
          <w:tcPr>
            <w:tcW w:type="dxa" w:w="28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Wave</w:t>
            </w:r>
          </w:p>
        </w:tc>
        <w:tc>
          <w:tcPr>
            <w:tcW w:type="dxa" w:w="65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Wave 1 Fully Ready · Wave 2 Ready · Wave 3 Not Ready (trigger)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Conformance</w:t>
            </w:r>
          </w:p>
        </w:tc>
        <w:tc>
          <w:tcPr>
            <w:tcW w:type="dxa" w:w="65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Conformant within evidenced scope; 0 undispositioned gaps</w:t>
            </w:r>
          </w:p>
        </w:tc>
      </w:tr>
      <w:tr>
        <w:tc>
          <w:tcPr>
            <w:tcW w:type="dxa" w:w="28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Verification</w:t>
            </w:r>
          </w:p>
        </w:tc>
        <w:tc>
          <w:tcPr>
            <w:tcW w:type="dxa" w:w="65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Method defined for all 10 ARs / 6 WPs; 0 executed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Risk</w:t>
            </w:r>
          </w:p>
        </w:tc>
        <w:tc>
          <w:tcPr>
            <w:tcW w:type="dxa" w:w="65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7 risks evidenced, all mitigated or monitored; READY WITH CONDITIONS</w:t>
            </w:r>
          </w:p>
        </w:tc>
      </w:tr>
      <w:tr>
        <w:tc>
          <w:tcPr>
            <w:tcW w:type="dxa" w:w="28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Acceptance</w:t>
            </w:r>
          </w:p>
        </w:tc>
        <w:tc>
          <w:tcPr>
            <w:tcW w:type="dxa" w:w="65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0 of 6 WPs accepted; 2 (WP-0002, WP-0006) accept-ready today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Readiness</w:t>
            </w:r>
          </w:p>
        </w:tc>
        <w:tc>
          <w:tcPr>
            <w:tcW w:type="dxa" w:w="65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READY WITH CONDITIONS across all 9 sub-dimensions</w:t>
            </w:r>
          </w:p>
        </w:tc>
      </w:tr>
      <w:tr>
        <w:tc>
          <w:tcPr>
            <w:tcW w:type="dxa" w:w="28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Decisions</w:t>
            </w:r>
          </w:p>
        </w:tc>
        <w:tc>
          <w:tcPr>
            <w:tcW w:type="dxa" w:w="65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10/10 AR, 9/9 EGD, 10/10 ER, 4/4 VAR decided — 0 pending judgment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Overall ERP-01 Status</w:t>
            </w:r>
          </w:p>
        </w:tc>
        <w:tc>
          <w:tcPr>
            <w:tcW w:type="dxa" w:w="65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DEFINED, NOT YET REALIZED — READY WITH CONDITIONS</w:t>
            </w:r>
          </w:p>
        </w:tc>
      </w:tr>
    </w:tbl>
    <w:p>
      <w:pPr>
        <w:pStyle w:val="Heading1"/>
        <w:spacing w:after="120" w:before="240"/>
      </w:pPr>
      <w:r>
        <w:t xml:space="preserve">10.14.3 — Portfolio Health Scorecard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50"/>
        <w:gridCol w:w="1050"/>
        <w:gridCol w:w="2050"/>
        <w:gridCol w:w="2600"/>
      </w:tblGrid>
      <w:tr>
        <w:tc>
          <w:tcPr>
            <w:tcW w:type="dxa" w:w="210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Portfolio</w:t>
            </w:r>
          </w:p>
        </w:tc>
        <w:tc>
          <w:tcPr>
            <w:tcW w:type="dxa" w:w="155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105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Health</w:t>
            </w:r>
          </w:p>
        </w:tc>
        <w:tc>
          <w:tcPr>
            <w:tcW w:type="dxa" w:w="205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Primary Dependency</w:t>
            </w:r>
          </w:p>
        </w:tc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Next Executive Action</w:t>
            </w:r>
          </w:p>
        </w:tc>
      </w:tr>
      <w:tr>
        <w:tc>
          <w:tcPr>
            <w:tcW w:type="dxa" w:w="21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P1 — Data Platform</w:t>
            </w:r>
          </w:p>
        </w:tc>
        <w:tc>
          <w:tcPr>
            <w:tcW w:type="dxa" w:w="15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Scoped, active</w:t>
            </w:r>
          </w:p>
        </w:tc>
        <w:tc>
          <w:tcPr>
            <w:tcW w:type="dxa" w:w="10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Good</w:t>
            </w:r>
          </w:p>
        </w:tc>
        <w:tc>
          <w:tcPr>
            <w:tcW w:type="dxa" w:w="20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Wave 1 completion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Sequence Wave 2 after Wave 1</w:t>
            </w:r>
          </w:p>
        </w:tc>
      </w:tr>
      <w:tr>
        <w:tc>
          <w:tcPr>
            <w:tcW w:type="dxa" w:w="21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P2 — Security</w:t>
            </w:r>
          </w:p>
        </w:tc>
        <w:tc>
          <w:tcPr>
            <w:tcW w:type="dxa" w:w="15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Scoped, active</w:t>
            </w:r>
          </w:p>
        </w:tc>
        <w:tc>
          <w:tcPr>
            <w:tcW w:type="dxa" w:w="10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Good</w:t>
            </w:r>
          </w:p>
        </w:tc>
        <w:tc>
          <w:tcPr>
            <w:tcW w:type="dxa" w:w="20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Authorize WP-0002</w:t>
            </w:r>
          </w:p>
        </w:tc>
      </w:tr>
      <w:tr>
        <w:tc>
          <w:tcPr>
            <w:tcW w:type="dxa" w:w="21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P8 — Governance &amp; Quality</w:t>
            </w:r>
          </w:p>
        </w:tc>
        <w:tc>
          <w:tcPr>
            <w:tcW w:type="dxa" w:w="15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Scoped, active</w:t>
            </w:r>
          </w:p>
        </w:tc>
        <w:tc>
          <w:tcPr>
            <w:tcW w:type="dxa" w:w="10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Good</w:t>
            </w:r>
          </w:p>
        </w:tc>
        <w:tc>
          <w:tcPr>
            <w:tcW w:type="dxa" w:w="20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26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Authorize WP-0006</w:t>
            </w:r>
          </w:p>
        </w:tc>
      </w:tr>
      <w:tr>
        <w:tc>
          <w:tcPr>
            <w:tcW w:type="dxa" w:w="21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P3–P7 (Reserved)</w:t>
            </w:r>
          </w:p>
        </w:tc>
        <w:tc>
          <w:tcPr>
            <w:tcW w:type="dxa" w:w="15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Not scoped</w:t>
            </w:r>
          </w:p>
        </w:tc>
        <w:tc>
          <w:tcPr>
            <w:tcW w:type="dxa" w:w="10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20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Future realization phase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None due — Reserved for Future Realization Phases</w:t>
            </w:r>
          </w:p>
        </w:tc>
      </w:tr>
    </w:tbl>
    <w:p>
      <w:pPr>
        <w:pStyle w:val="Heading1"/>
        <w:spacing w:after="120" w:before="240"/>
      </w:pPr>
      <w:r>
        <w:t xml:space="preserve">10.14.4 — Work Package Executive Scorecard</w:t>
      </w:r>
    </w:p>
    <w:tbl>
      <w:tblPr>
        <w:tblW w:type="dxa" w:w="9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150"/>
        <w:gridCol w:w="700"/>
        <w:gridCol w:w="1750"/>
        <w:gridCol w:w="1150"/>
        <w:gridCol w:w="1400"/>
        <w:gridCol w:w="1150"/>
      </w:tblGrid>
      <w:tr>
        <w:tc>
          <w:tcPr>
            <w:tcW w:type="dxa" w:w="95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WP</w:t>
            </w:r>
          </w:p>
        </w:tc>
        <w:tc>
          <w:tcPr>
            <w:tcW w:type="dxa" w:w="215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70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Wave</w:t>
            </w:r>
          </w:p>
        </w:tc>
        <w:tc>
          <w:tcPr>
            <w:tcW w:type="dxa" w:w="175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Dependency</w:t>
            </w:r>
          </w:p>
        </w:tc>
        <w:tc>
          <w:tcPr>
            <w:tcW w:type="dxa" w:w="115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Readiness</w:t>
            </w:r>
          </w:p>
        </w:tc>
        <w:tc>
          <w:tcPr>
            <w:tcW w:type="dxa" w:w="140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Acceptance</w:t>
            </w:r>
          </w:p>
        </w:tc>
        <w:tc>
          <w:tcPr>
            <w:tcW w:type="dxa" w:w="115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Executive Action</w:t>
            </w:r>
          </w:p>
        </w:tc>
      </w:tr>
      <w:tr>
        <w:tc>
          <w:tcPr>
            <w:tcW w:type="dxa" w:w="9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WP-0001</w:t>
            </w:r>
          </w:p>
        </w:tc>
        <w:tc>
          <w:tcPr>
            <w:tcW w:type="dxa" w:w="21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Designed, not executed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7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1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Ready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Not accepted</w:t>
            </w:r>
          </w:p>
        </w:tc>
        <w:tc>
          <w:tcPr>
            <w:tcW w:type="dxa" w:w="11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Authorize after Wave 1</w:t>
            </w:r>
          </w:p>
        </w:tc>
      </w:tr>
      <w:tr>
        <w:tc>
          <w:tcPr>
            <w:tcW w:type="dxa" w:w="9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WP-0002</w:t>
            </w:r>
          </w:p>
        </w:tc>
        <w:tc>
          <w:tcPr>
            <w:tcW w:type="dxa" w:w="21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Designed, not executed</w:t>
            </w:r>
          </w:p>
        </w:tc>
        <w:tc>
          <w:tcPr>
            <w:tcW w:type="dxa" w:w="7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1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Ready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Not accepted</w:t>
            </w:r>
          </w:p>
        </w:tc>
        <w:tc>
          <w:tcPr>
            <w:tcW w:type="dxa" w:w="11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Authorize now</w:t>
            </w:r>
          </w:p>
        </w:tc>
      </w:tr>
      <w:tr>
        <w:tc>
          <w:tcPr>
            <w:tcW w:type="dxa" w:w="9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WP-0003</w:t>
            </w:r>
          </w:p>
        </w:tc>
        <w:tc>
          <w:tcPr>
            <w:tcW w:type="dxa" w:w="21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Designed, not executed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7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EGD-0004 trigger</w:t>
            </w:r>
          </w:p>
        </w:tc>
        <w:tc>
          <w:tcPr>
            <w:tcW w:type="dxa" w:w="11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Not Ready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Not acceptance-ready</w:t>
            </w:r>
          </w:p>
        </w:tc>
        <w:tc>
          <w:tcPr>
            <w:tcW w:type="dxa" w:w="11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Monitor only</w:t>
            </w:r>
          </w:p>
        </w:tc>
      </w:tr>
      <w:tr>
        <w:tc>
          <w:tcPr>
            <w:tcW w:type="dxa" w:w="9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WP-0004</w:t>
            </w:r>
          </w:p>
        </w:tc>
        <w:tc>
          <w:tcPr>
            <w:tcW w:type="dxa" w:w="21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Designed, not executed</w:t>
            </w:r>
          </w:p>
        </w:tc>
        <w:tc>
          <w:tcPr>
            <w:tcW w:type="dxa" w:w="7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7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1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Ready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Not accepted</w:t>
            </w:r>
          </w:p>
        </w:tc>
        <w:tc>
          <w:tcPr>
            <w:tcW w:type="dxa" w:w="11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Authorize after Wave 1</w:t>
            </w:r>
          </w:p>
        </w:tc>
      </w:tr>
      <w:tr>
        <w:tc>
          <w:tcPr>
            <w:tcW w:type="dxa" w:w="9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WP-0005</w:t>
            </w:r>
          </w:p>
        </w:tc>
        <w:tc>
          <w:tcPr>
            <w:tcW w:type="dxa" w:w="21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Designed, not executed</w:t>
            </w:r>
          </w:p>
        </w:tc>
        <w:tc>
          <w:tcPr>
            <w:tcW w:type="dxa" w:w="7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7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WP-0002 sequencing</w:t>
            </w:r>
          </w:p>
        </w:tc>
        <w:tc>
          <w:tcPr>
            <w:tcW w:type="dxa" w:w="11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Ready</w:t>
            </w:r>
          </w:p>
        </w:tc>
        <w:tc>
          <w:tcPr>
            <w:tcW w:type="dxa" w:w="14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Not accepted</w:t>
            </w:r>
          </w:p>
        </w:tc>
        <w:tc>
          <w:tcPr>
            <w:tcW w:type="dxa" w:w="11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Authorize after Wave 1</w:t>
            </w:r>
          </w:p>
        </w:tc>
      </w:tr>
      <w:tr>
        <w:tc>
          <w:tcPr>
            <w:tcW w:type="dxa" w:w="9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WP-0006</w:t>
            </w:r>
          </w:p>
        </w:tc>
        <w:tc>
          <w:tcPr>
            <w:tcW w:type="dxa" w:w="21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Designed, not executed</w:t>
            </w:r>
          </w:p>
        </w:tc>
        <w:tc>
          <w:tcPr>
            <w:tcW w:type="dxa" w:w="7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7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1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Ready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Not accepted</w:t>
            </w:r>
          </w:p>
        </w:tc>
        <w:tc>
          <w:tcPr>
            <w:tcW w:type="dxa" w:w="11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Authorize now</w:t>
            </w:r>
          </w:p>
        </w:tc>
      </w:tr>
    </w:tbl>
    <w:p>
      <w:pPr>
        <w:pStyle w:val="Heading1"/>
        <w:spacing w:after="120" w:before="240"/>
      </w:pPr>
      <w:r>
        <w:t xml:space="preserve">10.14.5 — Executive Risk &amp; Dependency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0"/>
      </w:tblGrid>
      <w:tr>
        <w:tc>
          <w:tcPr>
            <w:tcW w:type="dxa" w:w="290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Top Dependency</w:t>
            </w:r>
          </w:p>
        </w:tc>
        <w:tc>
          <w:tcPr>
            <w:tcW w:type="dxa" w:w="645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9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KPI-08 — Ownership Assignment</w:t>
            </w:r>
          </w:p>
        </w:tc>
        <w:tc>
          <w:tcPr>
            <w:tcW w:type="dxa" w:w="64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0% — the single cross-cutting blocker for every WP and EGD</w:t>
            </w:r>
          </w:p>
        </w:tc>
      </w:tr>
      <w:tr>
        <w:tc>
          <w:tcPr>
            <w:tcW w:type="dxa" w:w="29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Wave sequencing</w:t>
            </w:r>
          </w:p>
        </w:tc>
        <w:tc>
          <w:tcPr>
            <w:tcW w:type="dxa" w:w="64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Wave 1 unblocked → Wave 2 follows → Wave 3 trigger-gated</w:t>
            </w:r>
          </w:p>
        </w:tc>
      </w:tr>
      <w:tr>
        <w:tc>
          <w:tcPr>
            <w:tcW w:type="dxa" w:w="29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External trigger dependencies</w:t>
            </w:r>
          </w:p>
        </w:tc>
        <w:tc>
          <w:tcPr>
            <w:tcW w:type="dxa" w:w="64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WP-0003 / EGD-0004 — row-count/growth threshold, not yet fired</w:t>
            </w:r>
          </w:p>
        </w:tc>
      </w:tr>
      <w:tr>
        <w:tc>
          <w:tcPr>
            <w:tcW w:type="dxa" w:w="29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Reserved realization activities</w:t>
            </w:r>
          </w:p>
        </w:tc>
        <w:tc>
          <w:tcPr>
            <w:tcW w:type="dxa" w:w="64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Portfolios 3–7, Waves 4–5 — Reserved for Future Realization Phases</w:t>
            </w:r>
          </w:p>
        </w:tc>
      </w:tr>
    </w:tbl>
    <w:p>
      <w:pPr>
        <w:spacing w:after="120"/>
        <w:jc w:val="both"/>
      </w:pPr>
      <w:r>
        <w:rPr>
          <w:i/>
          <w:iCs/>
          <w:sz w:val="18"/>
          <w:szCs w:val="18"/>
        </w:rPr>
        <w:t xml:space="preserve">Full risk register: Section 8; Section 10.9; Section 10.12.7.</w:t>
      </w:r>
    </w:p>
    <w:p>
      <w:pPr>
        <w:pStyle w:val="Heading1"/>
        <w:spacing w:after="120" w:before="240"/>
      </w:pPr>
      <w:r>
        <w:t xml:space="preserve">10.14.6 — Executive Program Health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Health Area</w:t>
            </w:r>
          </w:p>
        </w:tc>
        <w:tc>
          <w:tcPr>
            <w:tcW w:type="dxa" w:w="635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Rating</w:t>
            </w:r>
          </w:p>
        </w:tc>
      </w:tr>
      <w:tr>
        <w:tc>
          <w:tcPr>
            <w:tcW w:type="dxa" w:w="30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Engineering Health</w:t>
            </w:r>
          </w:p>
        </w:tc>
        <w:tc>
          <w:tcPr>
            <w:tcW w:type="dxa" w:w="63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Strong — 100% design complete, 0% executed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Governance Health</w:t>
            </w:r>
          </w:p>
        </w:tc>
        <w:tc>
          <w:tcPr>
            <w:tcW w:type="dxa" w:w="63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Strong — 0 undispositioned decisions</w:t>
            </w:r>
          </w:p>
        </w:tc>
      </w:tr>
      <w:tr>
        <w:tc>
          <w:tcPr>
            <w:tcW w:type="dxa" w:w="30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Architecture Health</w:t>
            </w:r>
          </w:p>
        </w:tc>
        <w:tc>
          <w:tcPr>
            <w:tcW w:type="dxa" w:w="63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Strong — L1–L3 fully met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Portfolio Health</w:t>
            </w:r>
          </w:p>
        </w:tc>
        <w:tc>
          <w:tcPr>
            <w:tcW w:type="dxa" w:w="63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Good — active scope fully ready, no unmitigated risk</w:t>
            </w:r>
          </w:p>
        </w:tc>
      </w:tr>
      <w:tr>
        <w:tc>
          <w:tcPr>
            <w:tcW w:type="dxa" w:w="30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Delivery Readiness</w:t>
            </w:r>
          </w:p>
        </w:tc>
        <w:tc>
          <w:tcPr>
            <w:tcW w:type="dxa" w:w="63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Ready — Wave 1 startable with zero blocker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Decision Completeness</w:t>
            </w:r>
          </w:p>
        </w:tc>
        <w:tc>
          <w:tcPr>
            <w:tcW w:type="dxa" w:w="63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Complete — 0 decisions pending judgment</w:t>
            </w:r>
          </w:p>
        </w:tc>
      </w:tr>
    </w:tbl>
    <w:p>
      <w:pPr>
        <w:pStyle w:val="Heading1"/>
        <w:spacing w:after="120" w:before="240"/>
      </w:pPr>
      <w:r>
        <w:t xml:space="preserve">10.14.7 — Executive Action Scorecard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50"/>
        <w:gridCol w:w="1000"/>
        <w:gridCol w:w="2350"/>
        <w:gridCol w:w="1950"/>
      </w:tblGrid>
      <w:tr>
        <w:tc>
          <w:tcPr>
            <w:tcW w:type="dxa" w:w="230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Executive Action</w:t>
            </w:r>
          </w:p>
        </w:tc>
        <w:tc>
          <w:tcPr>
            <w:tcW w:type="dxa" w:w="175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Evidence Source</w:t>
            </w:r>
          </w:p>
        </w:tc>
        <w:tc>
          <w:tcPr>
            <w:tcW w:type="dxa" w:w="100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235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1950"/>
            <w:shd w:fill="1F3864" w:val="clear"/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Responsible Role (Target-State)</w:t>
            </w:r>
          </w:p>
        </w:tc>
      </w:tr>
      <w:tr>
        <w:tc>
          <w:tcPr>
            <w:tcW w:type="dxa" w:w="23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Assign named owner (WP-0006)</w:t>
            </w:r>
          </w:p>
        </w:tc>
        <w:tc>
          <w:tcPr>
            <w:tcW w:type="dxa" w:w="17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Phase A.3 §4; KPI-08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Highest</w:t>
            </w:r>
          </w:p>
        </w:tc>
        <w:tc>
          <w:tcPr>
            <w:tcW w:type="dxa" w:w="23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Not Evidenced in Current Baseline</w:t>
            </w:r>
          </w:p>
        </w:tc>
        <w:tc>
          <w:tcPr>
            <w:tcW w:type="dxa" w:w="19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Executive Sponsor / Governance Board</w:t>
            </w:r>
          </w:p>
        </w:tc>
      </w:tr>
      <w:tr>
        <w:tc>
          <w:tcPr>
            <w:tcW w:type="dxa" w:w="23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Authorize WP-0002 execution</w:t>
            </w:r>
          </w:p>
        </w:tc>
        <w:tc>
          <w:tcPr>
            <w:tcW w:type="dxa" w:w="17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Section 10.5; Section 9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3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Ready, awaiting authorization</w:t>
            </w:r>
          </w:p>
        </w:tc>
        <w:tc>
          <w:tcPr>
            <w:tcW w:type="dxa" w:w="19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Security/Platform Engineer</w:t>
            </w:r>
          </w:p>
        </w:tc>
      </w:tr>
      <w:tr>
        <w:tc>
          <w:tcPr>
            <w:tcW w:type="dxa" w:w="23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Authorize WP-0001 execution</w:t>
            </w:r>
          </w:p>
        </w:tc>
        <w:tc>
          <w:tcPr>
            <w:tcW w:type="dxa" w:w="17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Section 8; Section 9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3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Ready, sequenced Wave 2</w:t>
            </w:r>
          </w:p>
        </w:tc>
        <w:tc>
          <w:tcPr>
            <w:tcW w:type="dxa" w:w="19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Enterprise Architecture Owner</w:t>
            </w:r>
          </w:p>
        </w:tc>
      </w:tr>
      <w:tr>
        <w:tc>
          <w:tcPr>
            <w:tcW w:type="dxa" w:w="23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Sequence WP-0004 / WP-0005</w:t>
            </w:r>
          </w:p>
        </w:tc>
        <w:tc>
          <w:tcPr>
            <w:tcW w:type="dxa" w:w="17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Section 10.5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23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Ready, awaiting Wave 1 close</w:t>
            </w:r>
          </w:p>
        </w:tc>
        <w:tc>
          <w:tcPr>
            <w:tcW w:type="dxa" w:w="19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Data Governance Owner</w:t>
            </w:r>
          </w:p>
        </w:tc>
      </w:tr>
      <w:tr>
        <w:tc>
          <w:tcPr>
            <w:tcW w:type="dxa" w:w="23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Monitor WP-0003 trigger</w:t>
            </w:r>
          </w:p>
        </w:tc>
        <w:tc>
          <w:tcPr>
            <w:tcW w:type="dxa" w:w="17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EGD-0004</w:t>
            </w:r>
          </w:p>
        </w:tc>
        <w:tc>
          <w:tcPr>
            <w:tcW w:type="dxa" w:w="100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23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Monitoring, no action due</w:t>
            </w:r>
          </w:p>
        </w:tc>
        <w:tc>
          <w:tcPr>
            <w:tcW w:type="dxa" w:w="1950"/>
            <w:shd w:fill="F2F2F2" w:val="clear"/>
            <w:vAlign w:val="center"/>
          </w:tcPr>
          <w:p>
            <w:r>
              <w:rPr>
                <w:sz w:val="17"/>
                <w:szCs w:val="17"/>
              </w:rPr>
              <w:t xml:space="preserve">Platform Engineering Lead</w:t>
            </w:r>
          </w:p>
        </w:tc>
      </w:tr>
      <w:tr>
        <w:tc>
          <w:tcPr>
            <w:tcW w:type="dxa" w:w="23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Convene target-state governance bodies</w:t>
            </w:r>
          </w:p>
        </w:tc>
        <w:tc>
          <w:tcPr>
            <w:tcW w:type="dxa" w:w="17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Phase B §9</w:t>
            </w:r>
          </w:p>
        </w:tc>
        <w:tc>
          <w:tcPr>
            <w:tcW w:type="dxa" w:w="100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23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Not Evidenced in Current Baseline</w:t>
            </w:r>
          </w:p>
        </w:tc>
        <w:tc>
          <w:tcPr>
            <w:tcW w:type="dxa" w:w="1950"/>
            <w:shd w:fill="FFFFFF" w:val="clear"/>
            <w:vAlign w:val="center"/>
          </w:tcPr>
          <w:p>
            <w:r>
              <w:rPr>
                <w:sz w:val="17"/>
                <w:szCs w:val="17"/>
              </w:rPr>
              <w:t xml:space="preserve">Executive Sponsor</w:t>
            </w:r>
          </w:p>
        </w:tc>
      </w:tr>
    </w:tbl>
    <w:p>
      <w:pPr>
        <w:pStyle w:val="Heading1"/>
        <w:spacing w:after="120" w:before="240"/>
      </w:pPr>
      <w:r>
        <w:t xml:space="preserve">10.14.8 — Executive Conclusion</w:t>
      </w:r>
    </w:p>
    <w:p>
      <w:pPr>
        <w:spacing w:after="120"/>
        <w:jc w:val="both"/>
      </w:pPr>
      <w:r>
        <w:rPr>
          <w:sz w:val="21"/>
          <w:szCs w:val="21"/>
        </w:rPr>
        <w:t xml:space="preserve">ERP-01 is fully Defined and not yet Realized. Architecture, engineering design, governance decisions, verification methods, and acceptance criteria are complete and internally consistent across all 6 approved Work Packages. Executive confidence in the baseline is high; realization readiness for Wave 1 is complete.</w:t>
      </w:r>
    </w:p>
    <w:p>
      <w:pPr>
        <w:spacing w:after="120"/>
        <w:jc w:val="both"/>
      </w:pPr>
      <w:r>
        <w:rPr>
          <w:sz w:val="21"/>
          <w:szCs w:val="21"/>
        </w:rPr>
        <w:t xml:space="preserve">The single outstanding dependency across the entire program is naming an accountable owner under WP-0006 — every other item on this scorecard follows from that one action. Recommended disposition: authorize WP-0002 and WP-0006 now; no further review is required.</w:t>
      </w:r>
    </w:p>
    <w:p>
      <w:pPr>
        <w:spacing w:after="120"/>
        <w:jc w:val="both"/>
      </w:pPr>
      <w:r>
        <w:rPr>
          <w:i/>
          <w:iCs/>
          <w:sz w:val="18"/>
          <w:szCs w:val="18"/>
        </w:rPr>
        <w:t xml:space="preserve">This scorecard introduces no new architecture, governance decision, Work Package, KPI, or implementation evidence.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  <w:outlineLvl w:val="0"/>
    </w:pPr>
    <w:rPr>
      <w:rFonts w:ascii="Calibri" w:cs="Calibri" w:eastAsia="Calibri" w:hAnsi="Calibri"/>
      <w:b/>
      <w:bCs/>
      <w:color w:val="1F3864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2026-07-09T20:49:23.507Z</dcterms:created>
  <dcterms:modified xsi:type="dcterms:W3CDTF">2026-07-09T20:49:23.524Z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