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22"/>
          <w:szCs w:val="22"/>
        </w:rPr>
        <w:t xml:space="preserve">ERP-01 — Phase C</w:t>
      </w:r>
    </w:p>
    <w:p>
      <w:pPr>
        <w:spacing w:after="100"/>
      </w:pPr>
      <w:r>
        <w:rPr>
          <w:b/>
          <w:bCs/>
          <w:color w:val="1F3864"/>
          <w:sz w:val="34"/>
          <w:szCs w:val="34"/>
        </w:rPr>
        <w:t xml:space="preserve">Section 10.2 — Enterprise Engineering Status Dashboard</w:t>
      </w:r>
    </w:p>
    <w:p>
      <w:pPr>
        <w:spacing w:after="60"/>
      </w:pPr>
      <w:r>
        <w:rPr>
          <w:i/>
          <w:iCs/>
          <w:sz w:val="24"/>
          <w:szCs w:val="24"/>
        </w:rPr>
        <w:t xml:space="preserve">HireRise Career Intelligence Platform</w:t>
      </w:r>
    </w:p>
    <w:p>
      <w:pPr>
        <w:spacing w:after="60"/>
      </w:pPr>
      <w:r>
        <w:rPr>
          <w:i/>
          <w:iCs/>
          <w:color w:val="555555"/>
          <w:sz w:val="20"/>
          <w:szCs w:val="20"/>
        </w:rPr>
        <w:t xml:space="preserve">Enterprise Work Package Architecture &amp; Execution Planning</w:t>
      </w:r>
    </w:p>
    <w:p>
      <w:pPr>
        <w:spacing w:after="60"/>
      </w:pPr>
      <w:r>
        <w:rPr>
          <w:color w:val="555555"/>
          <w:sz w:val="20"/>
          <w:szCs w:val="20"/>
        </w:rPr>
        <w:t xml:space="preserve">Version 1.0  |  Status: DRAFT FOR REVIEW</w:t>
      </w:r>
    </w:p>
    <w:p>
      <w:pPr>
        <w:spacing w:after="300"/>
      </w:pPr>
      <w:r>
        <w:rPr>
          <w:color w:val="555555"/>
          <w:sz w:val="20"/>
          <w:szCs w:val="20"/>
        </w:rPr>
        <w:t xml:space="preserve">Consolidated Operational Dashboard — Second Dashboard Section of ERP-01 Phase C, Section 10</w:t>
      </w:r>
    </w:p>
    <w:p>
      <w:pPr>
        <w:pBdr>
          <w:bottom w:val="single" w:color="AAAAAA" w:sz="6" w:space="1"/>
        </w:pBdr>
        <w:spacing w:after="240"/>
      </w:pPr>
    </w:p>
    <w:p>
      <w:pPr>
        <w:spacing w:after="100"/>
      </w:pPr>
      <w:r>
        <w:rPr>
          <w:b/>
          <w:bCs/>
          <w:sz w:val="21"/>
          <w:szCs w:val="21"/>
        </w:rPr>
        <w:t xml:space="preserve">Relationship to Section 10.1</w:t>
      </w:r>
    </w:p>
    <w:p>
      <w:pPr>
        <w:spacing w:after="160"/>
        <w:jc w:val="left"/>
      </w:pPr>
      <w:r>
        <w:rPr>
          <w:b w:val="false"/>
          <w:bCs w:val="false"/>
          <w:i w:val="false"/>
          <w:iCs w:val="false"/>
          <w:sz w:val="21"/>
          <w:szCs w:val="21"/>
        </w:rPr>
        <w:t xml:space="preserve">Section 10.1 (Executive Overview) established the governance context, reporting philosophy, scope, and evidence-first principles for the ERP-01 Phase C executive reporting repository. This document, Section 10.2, is the first operational dashboard within that repository: it consolidates engineering status into a single decision-ready view for portfolio oversight. It introduces no new Work Package, Architecture Requirement (AR), Enterprise Governance Decision (EGD), Enterprise Resolution (ER), Variance (VAR), KPI, Portfolio, Wave, or Certification Level. Every figure below is reused, without re-derivation, from ERP-01 Phase A.1 through Phase C Section 9.</w:t>
      </w:r>
    </w:p>
    <w:p>
      <w:pPr>
        <w:spacing w:after="200"/>
      </w:pPr>
      <w:r>
        <w:rPr>
          <w:i/>
          <w:iCs/>
          <w:color w:val="555555"/>
          <w:sz w:val="20"/>
          <w:szCs w:val="20"/>
        </w:rPr>
        <w:t xml:space="preserve">Evidence-First Principle: where information is absent from the approved baseline, this document states "Not Evidenced in Current Baseline." Where reporting depends on an unrealized portfolio or a future ERP-01 phase, this document states "Reserved for Future Realization Phases." No engineering metric, KPI, executive score, or certification result is invented.</w:t>
      </w:r>
    </w:p>
    <w:p>
      <w:pPr>
        <w:pBdr>
          <w:bottom w:val="single" w:color="AAAAAA" w:sz="6" w:space="1"/>
        </w:pBdr>
        <w:spacing w:after="240"/>
      </w:pPr>
    </w:p>
    <w:p>
      <w:pPr>
        <w:pStyle w:val="Heading1"/>
        <w:spacing w:after="160" w:before="360"/>
      </w:pPr>
      <w:r>
        <w:t xml:space="preserve">10.2.1 — Executive Engineering Status Overview</w:t>
      </w:r>
    </w:p>
    <w:p>
      <w:pPr>
        <w:spacing w:after="160"/>
        <w:jc w:val="left"/>
      </w:pPr>
      <w:r>
        <w:rPr>
          <w:b/>
          <w:bCs/>
          <w:i w:val="false"/>
          <w:iCs w:val="false"/>
          <w:sz w:val="21"/>
          <w:szCs w:val="21"/>
        </w:rPr>
        <w:t xml:space="preserve">Overall Realization Posture: READY WITH CONDITIONS.</w:t>
      </w:r>
    </w:p>
    <w:p>
      <w:pPr>
        <w:spacing w:after="160"/>
        <w:jc w:val="left"/>
      </w:pPr>
      <w:r>
        <w:rPr>
          <w:b w:val="false"/>
          <w:bCs w:val="false"/>
          <w:i w:val="false"/>
          <w:iCs w:val="false"/>
          <w:sz w:val="21"/>
          <w:szCs w:val="21"/>
        </w:rPr>
        <w:t xml:space="preserve">The enterprise architecture baseline is established and fully dispositioned (zero undispositioned governance gaps), and the engineering profile for all six approved Work Packages is complete (Sections 2–5 of Phase C). As of this dashboard, zero of six Work Packages have been executed, verified, or formally accepted (Phase B §12; Section 9 §9). This is not a new finding — it is the same finding first recorded in Phase A.3 §15 and confirmed unchanged through Phase B and every section of Phase C.</w:t>
      </w:r>
    </w:p>
    <w:p>
      <w:pPr>
        <w:pStyle w:val="Heading3"/>
        <w:spacing w:after="100" w:before="200"/>
      </w:pPr>
      <w:r>
        <w:t xml:space="preserve">Maturity Summary</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gridCol w:w="3400"/>
      </w:tblGrid>
      <w:tr>
        <w:trPr>
          <w:tblHeader/>
        </w:trPr>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Dimension</w:t>
            </w:r>
          </w:p>
        </w:tc>
        <w:tc>
          <w:tcPr>
            <w:tcW w:type="dxa" w:w="5200"/>
            <w:shd w:fill="1F3864" w:val="clear"/>
            <w:tcMar>
              <w:top w:type="dxa" w:w="60"/>
              <w:left w:type="dxa" w:w="100"/>
              <w:bottom w:type="dxa" w:w="60"/>
              <w:right w:type="dxa" w:w="100"/>
            </w:tcMar>
            <w:vAlign w:val="center"/>
          </w:tcPr>
          <w:p>
            <w:pPr>
              <w:jc w:val="left"/>
            </w:pPr>
            <w:r>
              <w:rPr>
                <w:b/>
                <w:bCs/>
                <w:color w:val="FFFFFF"/>
                <w:sz w:val="19"/>
                <w:szCs w:val="19"/>
              </w:rPr>
              <w:t xml:space="preserve">Current Maturity</w:t>
            </w:r>
          </w:p>
        </w:tc>
        <w:tc>
          <w:tcPr>
            <w:tcW w:type="dxa" w:w="3400"/>
            <w:shd w:fill="1F3864" w:val="clear"/>
            <w:tcMar>
              <w:top w:type="dxa" w:w="60"/>
              <w:left w:type="dxa" w:w="100"/>
              <w:bottom w:type="dxa" w:w="60"/>
              <w:right w:type="dxa" w:w="100"/>
            </w:tcMar>
            <w:vAlign w:val="center"/>
          </w:tcPr>
          <w:p>
            <w:pPr>
              <w:jc w:val="left"/>
            </w:pPr>
            <w:r>
              <w:rPr>
                <w:b/>
                <w:bCs/>
                <w:color w:val="FFFFFF"/>
                <w:sz w:val="19"/>
                <w:szCs w:val="19"/>
              </w:rPr>
              <w:t xml:space="preserve">Source</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Realization maturity</w:t>
            </w:r>
          </w:p>
        </w:tc>
        <w:tc>
          <w:tcPr>
            <w:tcW w:type="dxa" w:w="5200"/>
            <w:tcMar>
              <w:top w:type="dxa" w:w="60"/>
              <w:left w:type="dxa" w:w="100"/>
              <w:bottom w:type="dxa" w:w="60"/>
              <w:right w:type="dxa" w:w="100"/>
            </w:tcMar>
            <w:vAlign w:val="center"/>
          </w:tcPr>
          <w:p>
            <w:pPr>
              <w:jc w:val="left"/>
            </w:pPr>
            <w:r>
              <w:rPr>
                <w:b w:val="false"/>
                <w:bCs w:val="false"/>
                <w:color w:val="000000"/>
                <w:sz w:val="19"/>
                <w:szCs w:val="19"/>
              </w:rPr>
              <w:t xml:space="preserve">Defined, not yet Realized — all six Work Packages fully specified; none executed</w:t>
            </w:r>
          </w:p>
        </w:tc>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Phase B §12; Section 9 §10</w:t>
            </w:r>
          </w:p>
        </w:tc>
      </w:tr>
      <w:tr>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Governance maturity</w:t>
            </w:r>
          </w:p>
        </w:tc>
        <w:tc>
          <w:tcPr>
            <w:tcW w:type="dxa" w:w="5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Complete — every AR has a dispositioned EGD; zero open gaps</w:t>
            </w:r>
          </w:p>
        </w:tc>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Phase A.2 (seven ADRs); Phase A.3 §L2</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Repository maturity</w:t>
            </w:r>
          </w:p>
        </w:tc>
        <w:tc>
          <w:tcPr>
            <w:tcW w:type="dxa" w:w="5200"/>
            <w:tcMar>
              <w:top w:type="dxa" w:w="60"/>
              <w:left w:type="dxa" w:w="100"/>
              <w:bottom w:type="dxa" w:w="60"/>
              <w:right w:type="dxa" w:w="100"/>
            </w:tcMar>
            <w:vAlign w:val="center"/>
          </w:tcPr>
          <w:p>
            <w:pPr>
              <w:jc w:val="left"/>
            </w:pPr>
            <w:r>
              <w:rPr>
                <w:b w:val="false"/>
                <w:bCs w:val="false"/>
                <w:color w:val="000000"/>
                <w:sz w:val="19"/>
                <w:szCs w:val="19"/>
              </w:rPr>
              <w:t xml:space="preserve">Documentation Accuracy 30/100 baseline; Database sound independently of Phase A conformance</w:t>
            </w:r>
          </w:p>
        </w:tc>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Phase A.3 §10; Phase A.1 §15</w:t>
            </w:r>
          </w:p>
        </w:tc>
      </w:tr>
      <w:tr>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Implementation posture</w:t>
            </w:r>
          </w:p>
        </w:tc>
        <w:tc>
          <w:tcPr>
            <w:tcW w:type="dxa" w:w="5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Engineering Design (Section 4) and Implementation Blueprint (Section 5) complete for all six WPs; zero execution</w:t>
            </w:r>
          </w:p>
        </w:tc>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Section 5 Executive Summary</w:t>
            </w:r>
          </w:p>
        </w:tc>
      </w:tr>
    </w:tbl>
    <w:p>
      <w:pPr>
        <w:spacing w:after="160"/>
        <w:jc w:val="left"/>
      </w:pPr>
      <w:r>
        <w:rPr>
          <w:b w:val="false"/>
          <w:bCs w:val="false"/>
          <w:i w:val="false"/>
          <w:iCs w:val="false"/>
          <w:sz w:val="21"/>
          <w:szCs w:val="21"/>
        </w:rPr>
        <w:t xml:space="preserve"/>
      </w:r>
    </w:p>
    <w:p>
      <w:pPr>
        <w:spacing w:after="160"/>
        <w:jc w:val="left"/>
      </w:pPr>
      <w:r>
        <w:rPr>
          <w:b w:val="false"/>
          <w:bCs w:val="false"/>
          <w:i w:val="false"/>
          <w:iCs w:val="false"/>
          <w:sz w:val="21"/>
          <w:szCs w:val="21"/>
        </w:rPr>
        <w:t xml:space="preserve">Executive Interpretation: the single condition recurring across every readiness dimension in this dashboard — architecture, engineering, repository, governance, verification, risk, and acceptance alike — is that named, accountable ownership (KPI-08 = 0%) has not yet been assigned (WP-0006). No other blocking dependency exists for Wave 1 (Section 1.4 below).</w:t>
      </w:r>
    </w:p>
    <w:p>
      <w:pPr>
        <w:pStyle w:val="Heading1"/>
        <w:spacing w:after="160" w:before="360"/>
      </w:pPr>
      <w:r>
        <w:t xml:space="preserve">10.2.2 — Architecture Execution Status</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gridCol w:w="2400"/>
      </w:tblGrid>
      <w:tr>
        <w:trPr>
          <w:tblHeader/>
        </w:trPr>
        <w:tc>
          <w:tcPr>
            <w:tcW w:type="dxa" w:w="3400"/>
            <w:shd w:fill="1F3864" w:val="clear"/>
            <w:tcMar>
              <w:top w:type="dxa" w:w="60"/>
              <w:left w:type="dxa" w:w="100"/>
              <w:bottom w:type="dxa" w:w="60"/>
              <w:right w:type="dxa" w:w="100"/>
            </w:tcMar>
            <w:vAlign w:val="center"/>
          </w:tcPr>
          <w:p>
            <w:pPr>
              <w:jc w:val="left"/>
            </w:pPr>
            <w:r>
              <w:rPr>
                <w:b/>
                <w:bCs/>
                <w:color w:val="FFFFFF"/>
                <w:sz w:val="19"/>
                <w:szCs w:val="19"/>
              </w:rPr>
              <w:t xml:space="preserve">Area</w:t>
            </w:r>
          </w:p>
        </w:tc>
        <w:tc>
          <w:tcPr>
            <w:tcW w:type="dxa" w:w="6000"/>
            <w:shd w:fill="1F3864" w:val="clear"/>
            <w:tcMar>
              <w:top w:type="dxa" w:w="60"/>
              <w:left w:type="dxa" w:w="100"/>
              <w:bottom w:type="dxa" w:w="60"/>
              <w:right w:type="dxa" w:w="100"/>
            </w:tcMar>
            <w:vAlign w:val="center"/>
          </w:tcPr>
          <w:p>
            <w:pPr>
              <w:jc w:val="left"/>
            </w:pPr>
            <w:r>
              <w:rPr>
                <w:b/>
                <w:bCs/>
                <w:color w:val="FFFFFF"/>
                <w:sz w:val="19"/>
                <w:szCs w:val="19"/>
              </w:rPr>
              <w:t xml:space="preserve">Status</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Source</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Architecture baseline completion</w:t>
            </w:r>
          </w:p>
        </w:tc>
        <w:tc>
          <w:tcPr>
            <w:tcW w:type="dxa" w:w="6000"/>
            <w:tcMar>
              <w:top w:type="dxa" w:w="60"/>
              <w:left w:type="dxa" w:w="100"/>
              <w:bottom w:type="dxa" w:w="60"/>
              <w:right w:type="dxa" w:w="100"/>
            </w:tcMar>
            <w:vAlign w:val="center"/>
          </w:tcPr>
          <w:p>
            <w:pPr>
              <w:jc w:val="left"/>
            </w:pPr>
            <w:r>
              <w:rPr>
                <w:b w:val="false"/>
                <w:bCs w:val="false"/>
                <w:color w:val="000000"/>
                <w:sz w:val="19"/>
                <w:szCs w:val="19"/>
              </w:rPr>
              <w:t xml:space="preserve">MET — complete AP/AR/EGD/ER/VAR registers, cross-referenced</w:t>
            </w:r>
          </w:p>
        </w:tc>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Phase A.3 §2–6 (Certification Level L1)</w:t>
            </w:r>
          </w:p>
        </w:tc>
      </w:tr>
      <w:tr>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Architecture realization planning</w:t>
            </w:r>
          </w:p>
        </w:tc>
        <w:tc>
          <w:tcPr>
            <w:tcW w:type="dxa" w:w="6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Complete — 6 Work Packages sequenced across 3 Waves and 3 active Portfolios</w:t>
            </w:r>
          </w:p>
        </w:tc>
        <w:tc>
          <w:tcPr>
            <w:tcW w:type="dxa" w:w="2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Phase B §3–5</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Architecture governance completion</w:t>
            </w:r>
          </w:p>
        </w:tc>
        <w:tc>
          <w:tcPr>
            <w:tcW w:type="dxa" w:w="6000"/>
            <w:tcMar>
              <w:top w:type="dxa" w:w="60"/>
              <w:left w:type="dxa" w:w="100"/>
              <w:bottom w:type="dxa" w:w="60"/>
              <w:right w:type="dxa" w:w="100"/>
            </w:tcMar>
            <w:vAlign w:val="center"/>
          </w:tcPr>
          <w:p>
            <w:pPr>
              <w:jc w:val="left"/>
            </w:pPr>
            <w:r>
              <w:rPr>
                <w:b w:val="false"/>
                <w:bCs w:val="false"/>
                <w:color w:val="000000"/>
                <w:sz w:val="19"/>
                <w:szCs w:val="19"/>
              </w:rPr>
              <w:t xml:space="preserve">MET — every AR has a corresponding EGD with explicit disposition; no open gaps</w:t>
            </w:r>
          </w:p>
        </w:tc>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Phase A.2 seven ADRs; EGD-0008/0009 (Certification Level L2)</w:t>
            </w:r>
          </w:p>
        </w:tc>
      </w:tr>
      <w:tr>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Architecture conformance planning</w:t>
            </w:r>
          </w:p>
        </w:tc>
        <w:tc>
          <w:tcPr>
            <w:tcW w:type="dxa" w:w="6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Established — full Traceability Matrix linking every AR to evidence, WP, and verification method</w:t>
            </w:r>
          </w:p>
        </w:tc>
        <w:tc>
          <w:tcPr>
            <w:tcW w:type="dxa" w:w="2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Phase A.3 §7 (Certification Level L3)</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Outstanding architecture conditions</w:t>
            </w:r>
          </w:p>
        </w:tc>
        <w:tc>
          <w:tcPr>
            <w:tcW w:type="dxa" w:w="6000"/>
            <w:tcMar>
              <w:top w:type="dxa" w:w="60"/>
              <w:left w:type="dxa" w:w="100"/>
              <w:bottom w:type="dxa" w:w="60"/>
              <w:right w:type="dxa" w:w="100"/>
            </w:tcMar>
            <w:vAlign w:val="center"/>
          </w:tcPr>
          <w:p>
            <w:pPr>
              <w:jc w:val="left"/>
            </w:pPr>
            <w:r>
              <w:rPr>
                <w:b w:val="false"/>
                <w:bCs w:val="false"/>
                <w:color w:val="000000"/>
                <w:sz w:val="19"/>
                <w:szCs w:val="19"/>
              </w:rPr>
              <w:t xml:space="preserve">AR-0002 (Naming Governance) Non-conformant pending WP-0001; AR-0007 (Security) Partially conformant pending WP-0002; AR-0004 (Performance/Scalability) Non-conformant, deferred, trigger-gated pending WP-0003</w:t>
            </w:r>
          </w:p>
        </w:tc>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Section 8 (Risk-Control Matrix)</w:t>
            </w:r>
          </w:p>
        </w:tc>
      </w:tr>
    </w:tbl>
    <w:p>
      <w:pPr>
        <w:pStyle w:val="Heading1"/>
        <w:spacing w:after="160" w:before="360"/>
      </w:pPr>
      <w:r>
        <w:t xml:space="preserve">10.2.3 — Engineering Execution Status</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gridCol w:w="2400"/>
      </w:tblGrid>
      <w:tr>
        <w:trPr>
          <w:tblHeader/>
        </w:trPr>
        <w:tc>
          <w:tcPr>
            <w:tcW w:type="dxa" w:w="3400"/>
            <w:shd w:fill="1F3864" w:val="clear"/>
            <w:tcMar>
              <w:top w:type="dxa" w:w="60"/>
              <w:left w:type="dxa" w:w="100"/>
              <w:bottom w:type="dxa" w:w="60"/>
              <w:right w:type="dxa" w:w="100"/>
            </w:tcMar>
            <w:vAlign w:val="center"/>
          </w:tcPr>
          <w:p>
            <w:pPr>
              <w:jc w:val="left"/>
            </w:pPr>
            <w:r>
              <w:rPr>
                <w:b/>
                <w:bCs/>
                <w:color w:val="FFFFFF"/>
                <w:sz w:val="19"/>
                <w:szCs w:val="19"/>
              </w:rPr>
              <w:t xml:space="preserve">Area</w:t>
            </w:r>
          </w:p>
        </w:tc>
        <w:tc>
          <w:tcPr>
            <w:tcW w:type="dxa" w:w="6000"/>
            <w:shd w:fill="1F3864" w:val="clear"/>
            <w:tcMar>
              <w:top w:type="dxa" w:w="60"/>
              <w:left w:type="dxa" w:w="100"/>
              <w:bottom w:type="dxa" w:w="60"/>
              <w:right w:type="dxa" w:w="100"/>
            </w:tcMar>
            <w:vAlign w:val="center"/>
          </w:tcPr>
          <w:p>
            <w:pPr>
              <w:jc w:val="left"/>
            </w:pPr>
            <w:r>
              <w:rPr>
                <w:b/>
                <w:bCs/>
                <w:color w:val="FFFFFF"/>
                <w:sz w:val="19"/>
                <w:szCs w:val="19"/>
              </w:rPr>
              <w:t xml:space="preserve">Status</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Source</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Engineering design readiness</w:t>
            </w:r>
          </w:p>
        </w:tc>
        <w:tc>
          <w:tcPr>
            <w:tcW w:type="dxa" w:w="6000"/>
            <w:tcMar>
              <w:top w:type="dxa" w:w="60"/>
              <w:left w:type="dxa" w:w="100"/>
              <w:bottom w:type="dxa" w:w="60"/>
              <w:right w:type="dxa" w:w="100"/>
            </w:tcMar>
            <w:vAlign w:val="center"/>
          </w:tcPr>
          <w:p>
            <w:pPr>
              <w:jc w:val="left"/>
            </w:pPr>
            <w:r>
              <w:rPr>
                <w:b w:val="false"/>
                <w:bCs w:val="false"/>
                <w:color w:val="000000"/>
                <w:sz w:val="19"/>
                <w:szCs w:val="19"/>
              </w:rPr>
              <w:t xml:space="preserve">Complete for all six Work Packages</w:t>
            </w:r>
          </w:p>
        </w:tc>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Section 4 (Engineering Design Specification)</w:t>
            </w:r>
          </w:p>
        </w:tc>
      </w:tr>
      <w:tr>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Engineering implementation readiness</w:t>
            </w:r>
          </w:p>
        </w:tc>
        <w:tc>
          <w:tcPr>
            <w:tcW w:type="dxa" w:w="6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Complete for all six Work Packages; zero executed</w:t>
            </w:r>
          </w:p>
        </w:tc>
        <w:tc>
          <w:tcPr>
            <w:tcW w:type="dxa" w:w="2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Section 5 (Implementation Blueprint)</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Work Package engineering maturity</w:t>
            </w:r>
          </w:p>
        </w:tc>
        <w:tc>
          <w:tcPr>
            <w:tcW w:type="dxa" w:w="6000"/>
            <w:tcMar>
              <w:top w:type="dxa" w:w="60"/>
              <w:left w:type="dxa" w:w="100"/>
              <w:bottom w:type="dxa" w:w="60"/>
              <w:right w:type="dxa" w:w="100"/>
            </w:tcMar>
            <w:vAlign w:val="center"/>
          </w:tcPr>
          <w:p>
            <w:pPr>
              <w:jc w:val="left"/>
            </w:pPr>
            <w:r>
              <w:rPr>
                <w:b w:val="false"/>
                <w:bCs w:val="false"/>
                <w:color w:val="000000"/>
                <w:sz w:val="19"/>
                <w:szCs w:val="19"/>
              </w:rPr>
              <w:t xml:space="preserve">High in specification, zero in execution — a gap this program consistently reports rather than obscures</w:t>
            </w:r>
          </w:p>
        </w:tc>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Section 10.1 §14 restated</w:t>
            </w:r>
          </w:p>
        </w:tc>
      </w:tr>
      <w:tr>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Implementation planning maturity</w:t>
            </w:r>
          </w:p>
        </w:tc>
        <w:tc>
          <w:tcPr>
            <w:tcW w:type="dxa" w:w="6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Wave 1 (WP-0002, WP-0006) immediately startable, zero blocking dependency; Wave 2 (WP-0001, WP-0004, WP-0005) sequenced to follow; Wave 3 (WP-0003) monitoring-ready, not execution-ready, pending its trigger</w:t>
            </w:r>
          </w:p>
        </w:tc>
        <w:tc>
          <w:tcPr>
            <w:tcW w:type="dxa" w:w="2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Phase B §5</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Overall engineering execution posture</w:t>
            </w:r>
          </w:p>
        </w:tc>
        <w:tc>
          <w:tcPr>
            <w:tcW w:type="dxa" w:w="6000"/>
            <w:tcMar>
              <w:top w:type="dxa" w:w="60"/>
              <w:left w:type="dxa" w:w="100"/>
              <w:bottom w:type="dxa" w:w="60"/>
              <w:right w:type="dxa" w:w="100"/>
            </w:tcMar>
            <w:vAlign w:val="center"/>
          </w:tcPr>
          <w:p>
            <w:pPr>
              <w:jc w:val="left"/>
            </w:pPr>
            <w:r>
              <w:rPr>
                <w:b w:val="false"/>
                <w:bCs w:val="false"/>
                <w:color w:val="000000"/>
                <w:sz w:val="19"/>
                <w:szCs w:val="19"/>
              </w:rPr>
              <w:t xml:space="preserve">READY WITH CONDITIONS — the single outstanding condition is Resource Readiness: 0% ownership assigned (KPI-08)</w:t>
            </w:r>
          </w:p>
        </w:tc>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Section 1 §12</w:t>
            </w:r>
          </w:p>
        </w:tc>
      </w:tr>
    </w:tbl>
    <w:p>
      <w:pPr>
        <w:spacing w:after="200"/>
      </w:pPr>
      <w:r>
        <w:rPr>
          <w:i/>
          <w:iCs/>
          <w:color w:val="555555"/>
          <w:sz w:val="20"/>
          <w:szCs w:val="20"/>
        </w:rPr>
        <w:t xml:space="preserve">This section does not infer implementation progress that has not occurred: zero of six Work Packages have moved beyond the specification stage as of this dashboard.</w:t>
      </w:r>
    </w:p>
    <w:p>
      <w:pPr>
        <w:pStyle w:val="Heading1"/>
        <w:spacing w:after="160" w:before="360"/>
      </w:pPr>
      <w:r>
        <w:t xml:space="preserve">10.2.4 — Enterprise Work Package Dashboard</w:t>
      </w:r>
    </w:p>
    <w:p>
      <w:pPr>
        <w:spacing w:after="160"/>
        <w:jc w:val="left"/>
      </w:pPr>
      <w:r>
        <w:rPr>
          <w:b w:val="false"/>
          <w:bCs w:val="false"/>
          <w:i w:val="false"/>
          <w:iCs w:val="false"/>
          <w:sz w:val="21"/>
          <w:szCs w:val="21"/>
        </w:rPr>
        <w:t xml:space="preserve">All statuses below are reused verbatim from Section 2 (Engineering Catalog), Section 6 (Conformance), Section 7 (Verification), Section 8 (Risk), and Section 9 (Acceptance). No status is newly assigned.</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2400"/>
        <w:gridCol w:w="900"/>
        <w:gridCol w:w="2000"/>
        <w:gridCol w:w="1500"/>
      </w:tblGrid>
      <w:tr>
        <w:trPr>
          <w:tblHeader/>
        </w:trPr>
        <w:tc>
          <w:tcPr>
            <w:tcW w:type="dxa" w:w="1200"/>
            <w:shd w:fill="1F3864" w:val="clear"/>
            <w:tcMar>
              <w:top w:type="dxa" w:w="60"/>
              <w:left w:type="dxa" w:w="100"/>
              <w:bottom w:type="dxa" w:w="60"/>
              <w:right w:type="dxa" w:w="100"/>
            </w:tcMar>
            <w:vAlign w:val="center"/>
          </w:tcPr>
          <w:p>
            <w:pPr>
              <w:jc w:val="left"/>
            </w:pPr>
            <w:r>
              <w:rPr>
                <w:b/>
                <w:bCs/>
                <w:color w:val="FFFFFF"/>
                <w:sz w:val="19"/>
                <w:szCs w:val="19"/>
              </w:rPr>
              <w:t xml:space="preserve">WP</w:t>
            </w:r>
          </w:p>
        </w:tc>
        <w:tc>
          <w:tcPr>
            <w:tcW w:type="dxa" w:w="4000"/>
            <w:shd w:fill="1F3864" w:val="clear"/>
            <w:tcMar>
              <w:top w:type="dxa" w:w="60"/>
              <w:left w:type="dxa" w:w="100"/>
              <w:bottom w:type="dxa" w:w="60"/>
              <w:right w:type="dxa" w:w="100"/>
            </w:tcMar>
            <w:vAlign w:val="center"/>
          </w:tcPr>
          <w:p>
            <w:pPr>
              <w:jc w:val="left"/>
            </w:pPr>
            <w:r>
              <w:rPr>
                <w:b/>
                <w:bCs/>
                <w:color w:val="FFFFFF"/>
                <w:sz w:val="19"/>
                <w:szCs w:val="19"/>
              </w:rPr>
              <w:t xml:space="preserve">Name</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Portfolio</w:t>
            </w:r>
          </w:p>
        </w:tc>
        <w:tc>
          <w:tcPr>
            <w:tcW w:type="dxa" w:w="900"/>
            <w:shd w:fill="1F3864" w:val="clear"/>
            <w:tcMar>
              <w:top w:type="dxa" w:w="60"/>
              <w:left w:type="dxa" w:w="100"/>
              <w:bottom w:type="dxa" w:w="60"/>
              <w:right w:type="dxa" w:w="100"/>
            </w:tcMar>
            <w:vAlign w:val="center"/>
          </w:tcPr>
          <w:p>
            <w:pPr>
              <w:jc w:val="left"/>
            </w:pPr>
            <w:r>
              <w:rPr>
                <w:b/>
                <w:bCs/>
                <w:color w:val="FFFFFF"/>
                <w:sz w:val="19"/>
                <w:szCs w:val="19"/>
              </w:rPr>
              <w:t xml:space="preserve">Wave</w:t>
            </w:r>
          </w:p>
        </w:tc>
        <w:tc>
          <w:tcPr>
            <w:tcW w:type="dxa" w:w="2000"/>
            <w:shd w:fill="1F3864" w:val="clear"/>
            <w:tcMar>
              <w:top w:type="dxa" w:w="60"/>
              <w:left w:type="dxa" w:w="100"/>
              <w:bottom w:type="dxa" w:w="60"/>
              <w:right w:type="dxa" w:w="100"/>
            </w:tcMar>
            <w:vAlign w:val="center"/>
          </w:tcPr>
          <w:p>
            <w:pPr>
              <w:jc w:val="left"/>
            </w:pPr>
            <w:r>
              <w:rPr>
                <w:b/>
                <w:bCs/>
                <w:color w:val="FFFFFF"/>
                <w:sz w:val="19"/>
                <w:szCs w:val="19"/>
              </w:rPr>
              <w:t xml:space="preserve">Status</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Cert. Level</w:t>
            </w:r>
          </w:p>
        </w:tc>
      </w:tr>
      <w:tr>
        <w:tc>
          <w:tcPr>
            <w:tcW w:type="dxa" w:w="1200"/>
            <w:tcMar>
              <w:top w:type="dxa" w:w="60"/>
              <w:left w:type="dxa" w:w="100"/>
              <w:bottom w:type="dxa" w:w="60"/>
              <w:right w:type="dxa" w:w="100"/>
            </w:tcMar>
            <w:vAlign w:val="center"/>
          </w:tcPr>
          <w:p>
            <w:pPr>
              <w:jc w:val="left"/>
            </w:pPr>
            <w:r>
              <w:rPr>
                <w:b w:val="false"/>
                <w:bCs w:val="false"/>
                <w:color w:val="000000"/>
                <w:sz w:val="19"/>
                <w:szCs w:val="19"/>
              </w:rPr>
              <w:t xml:space="preserve">WP-0001</w:t>
            </w:r>
          </w:p>
        </w:tc>
        <w:tc>
          <w:tcPr>
            <w:tcW w:type="dxa" w:w="4000"/>
            <w:tcMar>
              <w:top w:type="dxa" w:w="60"/>
              <w:left w:type="dxa" w:w="100"/>
              <w:bottom w:type="dxa" w:w="60"/>
              <w:right w:type="dxa" w:w="100"/>
            </w:tcMar>
            <w:vAlign w:val="center"/>
          </w:tcPr>
          <w:p>
            <w:pPr>
              <w:jc w:val="left"/>
            </w:pPr>
            <w:r>
              <w:rPr>
                <w:b w:val="false"/>
                <w:bCs w:val="false"/>
                <w:color w:val="000000"/>
                <w:sz w:val="19"/>
                <w:szCs w:val="19"/>
              </w:rPr>
              <w:t xml:space="preserve">Revise EEP-01 Phase A architecture document to canonical live-schema baseline</w:t>
            </w:r>
          </w:p>
        </w:tc>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1 — Data Platform</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Not started</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L4 (pending)</w:t>
            </w:r>
          </w:p>
        </w:tc>
      </w:tr>
      <w:tr>
        <w:tc>
          <w:tcPr>
            <w:tcW w:type="dxa" w:w="1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WP-0002</w:t>
            </w:r>
          </w:p>
        </w:tc>
        <w:tc>
          <w:tcPr>
            <w:tcW w:type="dxa" w:w="4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Verify Row-Level Security coverage on student-owned tables</w:t>
            </w:r>
          </w:p>
        </w:tc>
        <w:tc>
          <w:tcPr>
            <w:tcW w:type="dxa" w:w="2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2 — Security</w:t>
            </w:r>
          </w:p>
        </w:tc>
        <w:tc>
          <w:tcPr>
            <w:tcW w:type="dxa" w:w="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1</w:t>
            </w:r>
          </w:p>
        </w:tc>
        <w:tc>
          <w:tcPr>
            <w:tcW w:type="dxa" w:w="2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Not started</w:t>
            </w:r>
          </w:p>
        </w:tc>
        <w:tc>
          <w:tcPr>
            <w:tcW w:type="dxa" w:w="1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L4 (pending)</w:t>
            </w:r>
          </w:p>
        </w:tc>
      </w:tr>
      <w:tr>
        <w:tc>
          <w:tcPr>
            <w:tcW w:type="dxa" w:w="1200"/>
            <w:tcMar>
              <w:top w:type="dxa" w:w="60"/>
              <w:left w:type="dxa" w:w="100"/>
              <w:bottom w:type="dxa" w:w="60"/>
              <w:right w:type="dxa" w:w="100"/>
            </w:tcMar>
            <w:vAlign w:val="center"/>
          </w:tcPr>
          <w:p>
            <w:pPr>
              <w:jc w:val="left"/>
            </w:pPr>
            <w:r>
              <w:rPr>
                <w:b w:val="false"/>
                <w:bCs w:val="false"/>
                <w:color w:val="000000"/>
                <w:sz w:val="19"/>
                <w:szCs w:val="19"/>
              </w:rPr>
              <w:t xml:space="preserve">WP-0003</w:t>
            </w:r>
          </w:p>
        </w:tc>
        <w:tc>
          <w:tcPr>
            <w:tcW w:type="dxa" w:w="4000"/>
            <w:tcMar>
              <w:top w:type="dxa" w:w="60"/>
              <w:left w:type="dxa" w:w="100"/>
              <w:bottom w:type="dxa" w:w="60"/>
              <w:right w:type="dxa" w:w="100"/>
            </w:tcMar>
            <w:vAlign w:val="center"/>
          </w:tcPr>
          <w:p>
            <w:pPr>
              <w:jc w:val="left"/>
            </w:pPr>
            <w:r>
              <w:rPr>
                <w:b w:val="false"/>
                <w:bCs w:val="false"/>
                <w:color w:val="000000"/>
                <w:sz w:val="19"/>
                <w:szCs w:val="19"/>
              </w:rPr>
              <w:t xml:space="preserve">Partitioning assessment and plan for high-growth tables</w:t>
            </w:r>
          </w:p>
        </w:tc>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1 — Data Platform</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Not started — trigger-gated</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L3 (standing)</w:t>
            </w:r>
          </w:p>
        </w:tc>
      </w:tr>
      <w:tr>
        <w:tc>
          <w:tcPr>
            <w:tcW w:type="dxa" w:w="1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WP-0004</w:t>
            </w:r>
          </w:p>
        </w:tc>
        <w:tc>
          <w:tcPr>
            <w:tcW w:type="dxa" w:w="4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Document the accepted direct-FK taxonomy pattern</w:t>
            </w:r>
          </w:p>
        </w:tc>
        <w:tc>
          <w:tcPr>
            <w:tcW w:type="dxa" w:w="2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1 — Data Platform</w:t>
            </w:r>
          </w:p>
        </w:tc>
        <w:tc>
          <w:tcPr>
            <w:tcW w:type="dxa" w:w="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2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Not started</w:t>
            </w:r>
          </w:p>
        </w:tc>
        <w:tc>
          <w:tcPr>
            <w:tcW w:type="dxa" w:w="1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L4 (pending)</w:t>
            </w:r>
          </w:p>
        </w:tc>
      </w:tr>
      <w:tr>
        <w:tc>
          <w:tcPr>
            <w:tcW w:type="dxa" w:w="1200"/>
            <w:tcMar>
              <w:top w:type="dxa" w:w="60"/>
              <w:left w:type="dxa" w:w="100"/>
              <w:bottom w:type="dxa" w:w="60"/>
              <w:right w:type="dxa" w:w="100"/>
            </w:tcMar>
            <w:vAlign w:val="center"/>
          </w:tcPr>
          <w:p>
            <w:pPr>
              <w:jc w:val="left"/>
            </w:pPr>
            <w:r>
              <w:rPr>
                <w:b w:val="false"/>
                <w:bCs w:val="false"/>
                <w:color w:val="000000"/>
                <w:sz w:val="19"/>
                <w:szCs w:val="19"/>
              </w:rPr>
              <w:t xml:space="preserve">WP-0005</w:t>
            </w:r>
          </w:p>
        </w:tc>
        <w:tc>
          <w:tcPr>
            <w:tcW w:type="dxa" w:w="4000"/>
            <w:tcMar>
              <w:top w:type="dxa" w:w="60"/>
              <w:left w:type="dxa" w:w="100"/>
              <w:bottom w:type="dxa" w:w="60"/>
              <w:right w:type="dxa" w:w="100"/>
            </w:tcMar>
            <w:vAlign w:val="center"/>
          </w:tcPr>
          <w:p>
            <w:pPr>
              <w:jc w:val="left"/>
            </w:pPr>
            <w:r>
              <w:rPr>
                <w:b w:val="false"/>
                <w:bCs w:val="false"/>
                <w:color w:val="000000"/>
                <w:sz w:val="19"/>
                <w:szCs w:val="19"/>
              </w:rPr>
              <w:t xml:space="preserve">Column-level access review for free-text/JSON payload columns</w:t>
            </w:r>
          </w:p>
        </w:tc>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1 — Data Platform</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Not started</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L4 (pending)</w:t>
            </w:r>
          </w:p>
        </w:tc>
      </w:tr>
      <w:tr>
        <w:tc>
          <w:tcPr>
            <w:tcW w:type="dxa" w:w="1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WP-0006</w:t>
            </w:r>
          </w:p>
        </w:tc>
        <w:tc>
          <w:tcPr>
            <w:tcW w:type="dxa" w:w="4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Assign named, accountable owners to every unassigned role</w:t>
            </w:r>
          </w:p>
        </w:tc>
        <w:tc>
          <w:tcPr>
            <w:tcW w:type="dxa" w:w="2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8 — Governance &amp; Quality</w:t>
            </w:r>
          </w:p>
        </w:tc>
        <w:tc>
          <w:tcPr>
            <w:tcW w:type="dxa" w:w="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1</w:t>
            </w:r>
          </w:p>
        </w:tc>
        <w:tc>
          <w:tcPr>
            <w:tcW w:type="dxa" w:w="2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Not started</w:t>
            </w:r>
          </w:p>
        </w:tc>
        <w:tc>
          <w:tcPr>
            <w:tcW w:type="dxa" w:w="1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N/A — organizational</w:t>
            </w:r>
          </w:p>
        </w:tc>
      </w:tr>
    </w:tbl>
    <w:p>
      <w:pPr>
        <w:pStyle w:val="Heading1"/>
        <w:spacing w:after="160" w:before="360"/>
      </w:pPr>
      <w:r>
        <w:t xml:space="preserve">10.2.5 — Portfolio Dashboard</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3600"/>
        <w:gridCol w:w="4100"/>
      </w:tblGrid>
      <w:tr>
        <w:trPr>
          <w:tblHeader/>
        </w:trPr>
        <w:tc>
          <w:tcPr>
            <w:tcW w:type="dxa" w:w="700"/>
            <w:shd w:fill="1F3864" w:val="clear"/>
            <w:tcMar>
              <w:top w:type="dxa" w:w="60"/>
              <w:left w:type="dxa" w:w="100"/>
              <w:bottom w:type="dxa" w:w="60"/>
              <w:right w:type="dxa" w:w="100"/>
            </w:tcMar>
            <w:vAlign w:val="center"/>
          </w:tcPr>
          <w:p>
            <w:pPr>
              <w:jc w:val="left"/>
            </w:pPr>
            <w:r>
              <w:rPr>
                <w:b/>
                <w:bCs/>
                <w:color w:val="FFFFFF"/>
                <w:sz w:val="19"/>
                <w:szCs w:val="19"/>
              </w:rPr>
              <w:t xml:space="preserve">#</w:t>
            </w:r>
          </w:p>
        </w:tc>
        <w:tc>
          <w:tcPr>
            <w:tcW w:type="dxa" w:w="3400"/>
            <w:shd w:fill="1F3864" w:val="clear"/>
            <w:tcMar>
              <w:top w:type="dxa" w:w="60"/>
              <w:left w:type="dxa" w:w="100"/>
              <w:bottom w:type="dxa" w:w="60"/>
              <w:right w:type="dxa" w:w="100"/>
            </w:tcMar>
            <w:vAlign w:val="center"/>
          </w:tcPr>
          <w:p>
            <w:pPr>
              <w:jc w:val="left"/>
            </w:pPr>
            <w:r>
              <w:rPr>
                <w:b/>
                <w:bCs/>
                <w:color w:val="FFFFFF"/>
                <w:sz w:val="19"/>
                <w:szCs w:val="19"/>
              </w:rPr>
              <w:t xml:space="preserve">Portfolio</w:t>
            </w:r>
          </w:p>
        </w:tc>
        <w:tc>
          <w:tcPr>
            <w:tcW w:type="dxa" w:w="3600"/>
            <w:shd w:fill="1F3864" w:val="clear"/>
            <w:tcMar>
              <w:top w:type="dxa" w:w="60"/>
              <w:left w:type="dxa" w:w="100"/>
              <w:bottom w:type="dxa" w:w="60"/>
              <w:right w:type="dxa" w:w="100"/>
            </w:tcMar>
            <w:vAlign w:val="center"/>
          </w:tcPr>
          <w:p>
            <w:pPr>
              <w:jc w:val="left"/>
            </w:pPr>
            <w:r>
              <w:rPr>
                <w:b/>
                <w:bCs/>
                <w:color w:val="FFFFFF"/>
                <w:sz w:val="19"/>
                <w:szCs w:val="19"/>
              </w:rPr>
              <w:t xml:space="preserve">Work Packages</w:t>
            </w:r>
          </w:p>
        </w:tc>
        <w:tc>
          <w:tcPr>
            <w:tcW w:type="dxa" w:w="4100"/>
            <w:shd w:fill="1F3864" w:val="clear"/>
            <w:tcMar>
              <w:top w:type="dxa" w:w="60"/>
              <w:left w:type="dxa" w:w="100"/>
              <w:bottom w:type="dxa" w:w="60"/>
              <w:right w:type="dxa" w:w="100"/>
            </w:tcMar>
            <w:vAlign w:val="center"/>
          </w:tcPr>
          <w:p>
            <w:pPr>
              <w:jc w:val="left"/>
            </w:pPr>
            <w:r>
              <w:rPr>
                <w:b/>
                <w:bCs/>
                <w:color w:val="FFFFFF"/>
                <w:sz w:val="19"/>
                <w:szCs w:val="19"/>
              </w:rPr>
              <w:t xml:space="preserve">Status</w:t>
            </w:r>
          </w:p>
        </w:tc>
      </w:tr>
      <w:tr>
        <w:tc>
          <w:tcPr>
            <w:tcW w:type="dxa" w:w="700"/>
            <w:tcMar>
              <w:top w:type="dxa" w:w="60"/>
              <w:left w:type="dxa" w:w="100"/>
              <w:bottom w:type="dxa" w:w="60"/>
              <w:right w:type="dxa" w:w="100"/>
            </w:tcMar>
            <w:vAlign w:val="center"/>
          </w:tcPr>
          <w:p>
            <w:pPr>
              <w:jc w:val="left"/>
            </w:pPr>
            <w:r>
              <w:rPr>
                <w:b w:val="false"/>
                <w:bCs w:val="false"/>
                <w:color w:val="000000"/>
                <w:sz w:val="19"/>
                <w:szCs w:val="19"/>
              </w:rPr>
              <w:t xml:space="preserve">1</w:t>
            </w:r>
          </w:p>
        </w:tc>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Enterprise Data Platform</w:t>
            </w:r>
          </w:p>
        </w:tc>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WP-0001, WP-0003, WP-0004, WP-0005</w:t>
            </w:r>
          </w:p>
        </w:tc>
        <w:tc>
          <w:tcPr>
            <w:tcW w:type="dxa" w:w="4100"/>
            <w:tcMar>
              <w:top w:type="dxa" w:w="60"/>
              <w:left w:type="dxa" w:w="100"/>
              <w:bottom w:type="dxa" w:w="60"/>
              <w:right w:type="dxa" w:w="100"/>
            </w:tcMar>
            <w:vAlign w:val="center"/>
          </w:tcPr>
          <w:p>
            <w:pPr>
              <w:jc w:val="left"/>
            </w:pPr>
            <w:r>
              <w:rPr>
                <w:b w:val="false"/>
                <w:bCs w:val="false"/>
                <w:color w:val="000000"/>
                <w:sz w:val="19"/>
                <w:szCs w:val="19"/>
              </w:rPr>
              <w:t xml:space="preserve">Active — 4 evidenced WPs</w:t>
            </w:r>
          </w:p>
        </w:tc>
      </w:tr>
      <w:tr>
        <w:tc>
          <w:tcPr>
            <w:tcW w:type="dxa" w:w="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Enterprise Security</w:t>
            </w:r>
          </w:p>
        </w:tc>
        <w:tc>
          <w:tcPr>
            <w:tcW w:type="dxa" w:w="3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WP-0002</w:t>
            </w:r>
          </w:p>
        </w:tc>
        <w:tc>
          <w:tcPr>
            <w:tcW w:type="dxa" w:w="41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Active — 1 evidenced WP</w:t>
            </w:r>
          </w:p>
        </w:tc>
      </w:tr>
      <w:tr>
        <w:tc>
          <w:tcPr>
            <w:tcW w:type="dxa" w:w="700"/>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Enterprise AI</w:t>
            </w:r>
          </w:p>
        </w:tc>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None</w:t>
            </w:r>
          </w:p>
        </w:tc>
        <w:tc>
          <w:tcPr>
            <w:tcW w:type="dxa" w:w="4100"/>
            <w:tcMar>
              <w:top w:type="dxa" w:w="60"/>
              <w:left w:type="dxa" w:w="100"/>
              <w:bottom w:type="dxa" w:w="60"/>
              <w:right w:type="dxa" w:w="100"/>
            </w:tcMar>
            <w:vAlign w:val="center"/>
          </w:tcPr>
          <w:p>
            <w:pPr>
              <w:jc w:val="left"/>
            </w:pPr>
            <w:r>
              <w:rPr>
                <w:b w:val="false"/>
                <w:bCs w:val="false"/>
                <w:color w:val="000000"/>
                <w:sz w:val="19"/>
                <w:szCs w:val="19"/>
              </w:rPr>
              <w:t xml:space="preserve">Reserved for Future Realization Phases</w:t>
            </w:r>
          </w:p>
        </w:tc>
      </w:tr>
      <w:tr>
        <w:tc>
          <w:tcPr>
            <w:tcW w:type="dxa" w:w="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4</w:t>
            </w:r>
          </w:p>
        </w:tc>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Business Capabilities</w:t>
            </w:r>
          </w:p>
        </w:tc>
        <w:tc>
          <w:tcPr>
            <w:tcW w:type="dxa" w:w="3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None</w:t>
            </w:r>
          </w:p>
        </w:tc>
        <w:tc>
          <w:tcPr>
            <w:tcW w:type="dxa" w:w="41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Reserved for Future Realization Phases</w:t>
            </w:r>
          </w:p>
        </w:tc>
      </w:tr>
      <w:tr>
        <w:tc>
          <w:tcPr>
            <w:tcW w:type="dxa" w:w="700"/>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Knowledge Platform</w:t>
            </w:r>
          </w:p>
        </w:tc>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None</w:t>
            </w:r>
          </w:p>
        </w:tc>
        <w:tc>
          <w:tcPr>
            <w:tcW w:type="dxa" w:w="4100"/>
            <w:tcMar>
              <w:top w:type="dxa" w:w="60"/>
              <w:left w:type="dxa" w:w="100"/>
              <w:bottom w:type="dxa" w:w="60"/>
              <w:right w:type="dxa" w:w="100"/>
            </w:tcMar>
            <w:vAlign w:val="center"/>
          </w:tcPr>
          <w:p>
            <w:pPr>
              <w:jc w:val="left"/>
            </w:pPr>
            <w:r>
              <w:rPr>
                <w:b w:val="false"/>
                <w:bCs w:val="false"/>
                <w:color w:val="000000"/>
                <w:sz w:val="19"/>
                <w:szCs w:val="19"/>
              </w:rPr>
              <w:t xml:space="preserve">Reserved for Future Realization Phases</w:t>
            </w:r>
          </w:p>
        </w:tc>
      </w:tr>
      <w:tr>
        <w:tc>
          <w:tcPr>
            <w:tcW w:type="dxa" w:w="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6</w:t>
            </w:r>
          </w:p>
        </w:tc>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Integration Platform</w:t>
            </w:r>
          </w:p>
        </w:tc>
        <w:tc>
          <w:tcPr>
            <w:tcW w:type="dxa" w:w="3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None</w:t>
            </w:r>
          </w:p>
        </w:tc>
        <w:tc>
          <w:tcPr>
            <w:tcW w:type="dxa" w:w="41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Reserved for Future Realization Phases</w:t>
            </w:r>
          </w:p>
        </w:tc>
      </w:tr>
      <w:tr>
        <w:tc>
          <w:tcPr>
            <w:tcW w:type="dxa" w:w="700"/>
            <w:tcMar>
              <w:top w:type="dxa" w:w="60"/>
              <w:left w:type="dxa" w:w="100"/>
              <w:bottom w:type="dxa" w:w="60"/>
              <w:right w:type="dxa" w:w="100"/>
            </w:tcMar>
            <w:vAlign w:val="center"/>
          </w:tcPr>
          <w:p>
            <w:pPr>
              <w:jc w:val="left"/>
            </w:pPr>
            <w:r>
              <w:rPr>
                <w:b w:val="false"/>
                <w:bCs w:val="false"/>
                <w:color w:val="000000"/>
                <w:sz w:val="19"/>
                <w:szCs w:val="19"/>
              </w:rPr>
              <w:t xml:space="preserve">7</w:t>
            </w:r>
          </w:p>
        </w:tc>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Operations &amp; Observability</w:t>
            </w:r>
          </w:p>
        </w:tc>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None</w:t>
            </w:r>
          </w:p>
        </w:tc>
        <w:tc>
          <w:tcPr>
            <w:tcW w:type="dxa" w:w="4100"/>
            <w:tcMar>
              <w:top w:type="dxa" w:w="60"/>
              <w:left w:type="dxa" w:w="100"/>
              <w:bottom w:type="dxa" w:w="60"/>
              <w:right w:type="dxa" w:w="100"/>
            </w:tcMar>
            <w:vAlign w:val="center"/>
          </w:tcPr>
          <w:p>
            <w:pPr>
              <w:jc w:val="left"/>
            </w:pPr>
            <w:r>
              <w:rPr>
                <w:b w:val="false"/>
                <w:bCs w:val="false"/>
                <w:color w:val="000000"/>
                <w:sz w:val="19"/>
                <w:szCs w:val="19"/>
              </w:rPr>
              <w:t xml:space="preserve">Reserved for Future Realization Phases</w:t>
            </w:r>
          </w:p>
        </w:tc>
      </w:tr>
      <w:tr>
        <w:tc>
          <w:tcPr>
            <w:tcW w:type="dxa" w:w="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8</w:t>
            </w:r>
          </w:p>
        </w:tc>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Governance &amp; Quality</w:t>
            </w:r>
          </w:p>
        </w:tc>
        <w:tc>
          <w:tcPr>
            <w:tcW w:type="dxa" w:w="3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WP-0006</w:t>
            </w:r>
          </w:p>
        </w:tc>
        <w:tc>
          <w:tcPr>
            <w:tcW w:type="dxa" w:w="41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Active — 1 evidenced WP, treated as the portfolio's own precondition</w:t>
            </w:r>
          </w:p>
        </w:tc>
      </w:tr>
    </w:tbl>
    <w:p>
      <w:pPr>
        <w:spacing w:after="160"/>
        <w:jc w:val="left"/>
      </w:pPr>
      <w:r>
        <w:rPr>
          <w:b w:val="false"/>
          <w:bCs w:val="false"/>
          <w:i w:val="false"/>
          <w:iCs w:val="false"/>
          <w:sz w:val="21"/>
          <w:szCs w:val="21"/>
        </w:rPr>
        <w:t xml:space="preserve"/>
      </w:r>
    </w:p>
    <w:p>
      <w:pPr>
        <w:spacing w:after="160"/>
        <w:jc w:val="left"/>
      </w:pPr>
      <w:r>
        <w:rPr>
          <w:b w:val="false"/>
          <w:bCs w:val="false"/>
          <w:i w:val="false"/>
          <w:iCs w:val="false"/>
          <w:sz w:val="21"/>
          <w:szCs w:val="21"/>
        </w:rPr>
        <w:t xml:space="preserve">Portfolio Progress: 2 of 8 portfolios active (Phase B §11). Portfolios 3–7 remain in the enterprise structure, named and numbered per the permanent-identifier policy (Phase A.3), but carry no engineering, readiness, or risk content until a Phase A.1-style realization assessment produces AR/EGD evidence in that domain.</w:t>
      </w:r>
    </w:p>
    <w:p>
      <w:pPr>
        <w:pStyle w:val="Heading1"/>
        <w:spacing w:after="160" w:before="360"/>
      </w:pPr>
      <w:r>
        <w:t xml:space="preserve">10.2.6 — Wave Progress Dashboard</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3400"/>
        <w:gridCol w:w="4500"/>
      </w:tblGrid>
      <w:tr>
        <w:trPr>
          <w:tblHeader/>
        </w:trPr>
        <w:tc>
          <w:tcPr>
            <w:tcW w:type="dxa" w:w="1300"/>
            <w:shd w:fill="1F3864" w:val="clear"/>
            <w:tcMar>
              <w:top w:type="dxa" w:w="60"/>
              <w:left w:type="dxa" w:w="100"/>
              <w:bottom w:type="dxa" w:w="60"/>
              <w:right w:type="dxa" w:w="100"/>
            </w:tcMar>
            <w:vAlign w:val="center"/>
          </w:tcPr>
          <w:p>
            <w:pPr>
              <w:jc w:val="left"/>
            </w:pPr>
            <w:r>
              <w:rPr>
                <w:b/>
                <w:bCs/>
                <w:color w:val="FFFFFF"/>
                <w:sz w:val="19"/>
                <w:szCs w:val="19"/>
              </w:rPr>
              <w:t xml:space="preserve">Wave</w:t>
            </w:r>
          </w:p>
        </w:tc>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Theme</w:t>
            </w:r>
          </w:p>
        </w:tc>
        <w:tc>
          <w:tcPr>
            <w:tcW w:type="dxa" w:w="3400"/>
            <w:shd w:fill="1F3864" w:val="clear"/>
            <w:tcMar>
              <w:top w:type="dxa" w:w="60"/>
              <w:left w:type="dxa" w:w="100"/>
              <w:bottom w:type="dxa" w:w="60"/>
              <w:right w:type="dxa" w:w="100"/>
            </w:tcMar>
            <w:vAlign w:val="center"/>
          </w:tcPr>
          <w:p>
            <w:pPr>
              <w:jc w:val="left"/>
            </w:pPr>
            <w:r>
              <w:rPr>
                <w:b/>
                <w:bCs/>
                <w:color w:val="FFFFFF"/>
                <w:sz w:val="19"/>
                <w:szCs w:val="19"/>
              </w:rPr>
              <w:t xml:space="preserve">Assigned WPs</w:t>
            </w:r>
          </w:p>
        </w:tc>
        <w:tc>
          <w:tcPr>
            <w:tcW w:type="dxa" w:w="4500"/>
            <w:shd w:fill="1F3864" w:val="clear"/>
            <w:tcMar>
              <w:top w:type="dxa" w:w="60"/>
              <w:left w:type="dxa" w:w="100"/>
              <w:bottom w:type="dxa" w:w="60"/>
              <w:right w:type="dxa" w:w="100"/>
            </w:tcMar>
            <w:vAlign w:val="center"/>
          </w:tcPr>
          <w:p>
            <w:pPr>
              <w:jc w:val="left"/>
            </w:pPr>
            <w:r>
              <w:rPr>
                <w:b/>
                <w:bCs/>
                <w:color w:val="FFFFFF"/>
                <w:sz w:val="19"/>
                <w:szCs w:val="19"/>
              </w:rPr>
              <w:t xml:space="preserve">Status</w:t>
            </w:r>
          </w:p>
        </w:tc>
      </w:tr>
      <w:tr>
        <w:tc>
          <w:tcPr>
            <w:tcW w:type="dxa" w:w="1300"/>
            <w:tcMar>
              <w:top w:type="dxa" w:w="60"/>
              <w:left w:type="dxa" w:w="100"/>
              <w:bottom w:type="dxa" w:w="60"/>
              <w:right w:type="dxa" w:w="100"/>
            </w:tcMar>
            <w:vAlign w:val="center"/>
          </w:tcPr>
          <w:p>
            <w:pPr>
              <w:jc w:val="left"/>
            </w:pPr>
            <w:r>
              <w:rPr>
                <w:b w:val="false"/>
                <w:bCs w:val="false"/>
                <w:color w:val="000000"/>
                <w:sz w:val="19"/>
                <w:szCs w:val="19"/>
              </w:rPr>
              <w:t xml:space="preserve">Wave 1</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Critical</w:t>
            </w:r>
          </w:p>
        </w:tc>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WP-0006, WP-0002</w:t>
            </w:r>
          </w:p>
        </w:tc>
        <w:tc>
          <w:tcPr>
            <w:tcW w:type="dxa" w:w="4500"/>
            <w:tcMar>
              <w:top w:type="dxa" w:w="60"/>
              <w:left w:type="dxa" w:w="100"/>
              <w:bottom w:type="dxa" w:w="60"/>
              <w:right w:type="dxa" w:w="100"/>
            </w:tcMar>
            <w:vAlign w:val="center"/>
          </w:tcPr>
          <w:p>
            <w:pPr>
              <w:jc w:val="left"/>
            </w:pPr>
            <w:r>
              <w:rPr>
                <w:b w:val="false"/>
                <w:bCs w:val="false"/>
                <w:color w:val="000000"/>
                <w:sz w:val="19"/>
                <w:szCs w:val="19"/>
              </w:rPr>
              <w:t xml:space="preserve">Both startable immediately, zero blocking dependency</w:t>
            </w:r>
          </w:p>
        </w:tc>
      </w:tr>
      <w:tr>
        <w:tc>
          <w:tcPr>
            <w:tcW w:type="dxa" w:w="13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Wave 2</w:t>
            </w:r>
          </w:p>
        </w:tc>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Platform Stabilization</w:t>
            </w:r>
          </w:p>
        </w:tc>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WP-0001, WP-0004, WP-0005</w:t>
            </w:r>
          </w:p>
        </w:tc>
        <w:tc>
          <w:tcPr>
            <w:tcW w:type="dxa" w:w="4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Sequenced after Wave 1 so ownership is assigned first</w:t>
            </w:r>
          </w:p>
        </w:tc>
      </w:tr>
      <w:tr>
        <w:tc>
          <w:tcPr>
            <w:tcW w:type="dxa" w:w="1300"/>
            <w:tcMar>
              <w:top w:type="dxa" w:w="60"/>
              <w:left w:type="dxa" w:w="100"/>
              <w:bottom w:type="dxa" w:w="60"/>
              <w:right w:type="dxa" w:w="100"/>
            </w:tcMar>
            <w:vAlign w:val="center"/>
          </w:tcPr>
          <w:p>
            <w:pPr>
              <w:jc w:val="left"/>
            </w:pPr>
            <w:r>
              <w:rPr>
                <w:b w:val="false"/>
                <w:bCs w:val="false"/>
                <w:color w:val="000000"/>
                <w:sz w:val="19"/>
                <w:szCs w:val="19"/>
              </w:rPr>
              <w:t xml:space="preserve">Wave 3</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Trigger-Gated</w:t>
            </w:r>
          </w:p>
        </w:tc>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WP-0003</w:t>
            </w:r>
          </w:p>
        </w:tc>
        <w:tc>
          <w:tcPr>
            <w:tcW w:type="dxa" w:w="4500"/>
            <w:tcMar>
              <w:top w:type="dxa" w:w="60"/>
              <w:left w:type="dxa" w:w="100"/>
              <w:bottom w:type="dxa" w:w="60"/>
              <w:right w:type="dxa" w:w="100"/>
            </w:tcMar>
            <w:vAlign w:val="center"/>
          </w:tcPr>
          <w:p>
            <w:pPr>
              <w:jc w:val="left"/>
            </w:pPr>
            <w:r>
              <w:rPr>
                <w:b w:val="false"/>
                <w:bCs w:val="false"/>
                <w:color w:val="000000"/>
                <w:sz w:val="19"/>
                <w:szCs w:val="19"/>
              </w:rPr>
              <w:t xml:space="preserve">Not calendar-gated; awaits EGD-0004 trigger (10M rows, latency degradation, or 10-downstream-system scale)</w:t>
            </w:r>
          </w:p>
        </w:tc>
      </w:tr>
      <w:tr>
        <w:tc>
          <w:tcPr>
            <w:tcW w:type="dxa" w:w="13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Wave 4</w:t>
            </w:r>
          </w:p>
        </w:tc>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Business</w:t>
            </w:r>
          </w:p>
        </w:tc>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None assigned</w:t>
            </w:r>
          </w:p>
        </w:tc>
        <w:tc>
          <w:tcPr>
            <w:tcW w:type="dxa" w:w="4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Reserved for Future Realization Phases — no AR/EGD exists</w:t>
            </w:r>
          </w:p>
        </w:tc>
      </w:tr>
      <w:tr>
        <w:tc>
          <w:tcPr>
            <w:tcW w:type="dxa" w:w="1300"/>
            <w:tcMar>
              <w:top w:type="dxa" w:w="60"/>
              <w:left w:type="dxa" w:w="100"/>
              <w:bottom w:type="dxa" w:w="60"/>
              <w:right w:type="dxa" w:w="100"/>
            </w:tcMar>
            <w:vAlign w:val="center"/>
          </w:tcPr>
          <w:p>
            <w:pPr>
              <w:jc w:val="left"/>
            </w:pPr>
            <w:r>
              <w:rPr>
                <w:b w:val="false"/>
                <w:bCs w:val="false"/>
                <w:color w:val="000000"/>
                <w:sz w:val="19"/>
                <w:szCs w:val="19"/>
              </w:rPr>
              <w:t xml:space="preserve">Wave 5</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Enterprise</w:t>
            </w:r>
          </w:p>
        </w:tc>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None assigned</w:t>
            </w:r>
          </w:p>
        </w:tc>
        <w:tc>
          <w:tcPr>
            <w:tcW w:type="dxa" w:w="4500"/>
            <w:tcMar>
              <w:top w:type="dxa" w:w="60"/>
              <w:left w:type="dxa" w:w="100"/>
              <w:bottom w:type="dxa" w:w="60"/>
              <w:right w:type="dxa" w:w="100"/>
            </w:tcMar>
            <w:vAlign w:val="center"/>
          </w:tcPr>
          <w:p>
            <w:pPr>
              <w:jc w:val="left"/>
            </w:pPr>
            <w:r>
              <w:rPr>
                <w:b w:val="false"/>
                <w:bCs w:val="false"/>
                <w:color w:val="000000"/>
                <w:sz w:val="19"/>
                <w:szCs w:val="19"/>
              </w:rPr>
              <w:t xml:space="preserve">Reserved for Future Realization Phases</w:t>
            </w:r>
          </w:p>
        </w:tc>
      </w:tr>
    </w:tbl>
    <w:p>
      <w:pPr>
        <w:pStyle w:val="Heading1"/>
        <w:spacing w:after="160" w:before="360"/>
      </w:pPr>
      <w:r>
        <w:t xml:space="preserve">10.2.7 — Repository Readiness Status</w:t>
      </w:r>
    </w:p>
    <w:p>
      <w:pPr>
        <w:spacing w:after="160"/>
        <w:jc w:val="left"/>
      </w:pPr>
      <w:r>
        <w:rPr>
          <w:b w:val="false"/>
          <w:bCs w:val="false"/>
          <w:i w:val="false"/>
          <w:iCs w:val="false"/>
          <w:sz w:val="21"/>
          <w:szCs w:val="21"/>
        </w:rPr>
        <w:t xml:space="preserve">Reused exclusively from Section 3 (Repository Impact Assessment). Where information does not exist, this dashboard states "Not Evidenced in Current Baseline."</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200"/>
        <w:gridCol w:w="3900"/>
      </w:tblGrid>
      <w:tr>
        <w:trPr>
          <w:tblHeader/>
        </w:trPr>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Repository</w:t>
            </w:r>
          </w:p>
        </w:tc>
        <w:tc>
          <w:tcPr>
            <w:tcW w:type="dxa" w:w="3600"/>
            <w:shd w:fill="1F3864" w:val="clear"/>
            <w:tcMar>
              <w:top w:type="dxa" w:w="60"/>
              <w:left w:type="dxa" w:w="100"/>
              <w:bottom w:type="dxa" w:w="60"/>
              <w:right w:type="dxa" w:w="100"/>
            </w:tcMar>
            <w:vAlign w:val="center"/>
          </w:tcPr>
          <w:p>
            <w:pPr>
              <w:jc w:val="left"/>
            </w:pPr>
            <w:r>
              <w:rPr>
                <w:b/>
                <w:bCs/>
                <w:color w:val="FFFFFF"/>
                <w:sz w:val="19"/>
                <w:szCs w:val="19"/>
              </w:rPr>
              <w:t xml:space="preserve">Current Status</w:t>
            </w:r>
          </w:p>
        </w:tc>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Approved Scope</w:t>
            </w:r>
          </w:p>
        </w:tc>
        <w:tc>
          <w:tcPr>
            <w:tcW w:type="dxa" w:w="3900"/>
            <w:shd w:fill="1F3864" w:val="clear"/>
            <w:tcMar>
              <w:top w:type="dxa" w:w="60"/>
              <w:left w:type="dxa" w:w="100"/>
              <w:bottom w:type="dxa" w:w="60"/>
              <w:right w:type="dxa" w:w="100"/>
            </w:tcMar>
            <w:vAlign w:val="center"/>
          </w:tcPr>
          <w:p>
            <w:pPr>
              <w:jc w:val="left"/>
            </w:pPr>
            <w:r>
              <w:rPr>
                <w:b/>
                <w:bCs/>
                <w:color w:val="FFFFFF"/>
                <w:sz w:val="19"/>
                <w:szCs w:val="19"/>
              </w:rPr>
              <w:t xml:space="preserve">Engineering Readiness</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Documentation</w:t>
            </w:r>
          </w:p>
        </w:tc>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Rich, detailed architecture documentation exists but not synchronized with implementation; maturity rated Initial</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WP-0001, WP-0004</w:t>
            </w:r>
          </w:p>
        </w:tc>
        <w:tc>
          <w:tcPr>
            <w:tcW w:type="dxa" w:w="3900"/>
            <w:tcMar>
              <w:top w:type="dxa" w:w="60"/>
              <w:left w:type="dxa" w:w="100"/>
              <w:bottom w:type="dxa" w:w="60"/>
              <w:right w:type="dxa" w:w="100"/>
            </w:tcMar>
            <w:vAlign w:val="center"/>
          </w:tcPr>
          <w:p>
            <w:pPr>
              <w:jc w:val="left"/>
            </w:pPr>
            <w:r>
              <w:rPr>
                <w:b w:val="false"/>
                <w:bCs w:val="false"/>
                <w:color w:val="000000"/>
                <w:sz w:val="19"/>
                <w:szCs w:val="19"/>
              </w:rPr>
              <w:t xml:space="preserve">Not yet started; KPI-02 = 30/100 baseline</w:t>
            </w:r>
          </w:p>
        </w:tc>
      </w:tr>
      <w:tr>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Database</w:t>
            </w:r>
          </w:p>
        </w:tc>
        <w:tc>
          <w:tcPr>
            <w:tcW w:type="dxa" w:w="3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Single, unscoped public-schema table set organized as timestamp-named feature migrations</w:t>
            </w:r>
          </w:p>
        </w:tc>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WP-0002, WP-0003 (conditional), WP-0004 (conditional), WP-0005 (conditional)</w:t>
            </w:r>
          </w:p>
        </w:tc>
        <w:tc>
          <w:tcPr>
            <w:tcW w:type="dxa" w:w="3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Sound independently of Phase A conformance — no integrity or engineering-quality blocker found</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Backend</w:t>
            </w:r>
          </w:p>
        </w:tc>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Not Evidenced in Current Baseline</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Not Evidenced in Current Baseline</w:t>
            </w:r>
          </w:p>
        </w:tc>
        <w:tc>
          <w:tcPr>
            <w:tcW w:type="dxa" w:w="3900"/>
            <w:tcMar>
              <w:top w:type="dxa" w:w="60"/>
              <w:left w:type="dxa" w:w="100"/>
              <w:bottom w:type="dxa" w:w="60"/>
              <w:right w:type="dxa" w:w="100"/>
            </w:tcMar>
            <w:vAlign w:val="center"/>
          </w:tcPr>
          <w:p>
            <w:pPr>
              <w:jc w:val="left"/>
            </w:pPr>
            <w:r>
              <w:rPr>
                <w:b w:val="false"/>
                <w:bCs w:val="false"/>
                <w:color w:val="000000"/>
                <w:sz w:val="19"/>
                <w:szCs w:val="19"/>
              </w:rPr>
              <w:t xml:space="preserve">Not Evidenced in Current Baseline</w:t>
            </w:r>
          </w:p>
        </w:tc>
      </w:tr>
      <w:tr>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Frontend</w:t>
            </w:r>
          </w:p>
        </w:tc>
        <w:tc>
          <w:tcPr>
            <w:tcW w:type="dxa" w:w="3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Not Evidenced in Current Baseline</w:t>
            </w:r>
          </w:p>
        </w:tc>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Not Evidenced in Current Baseline</w:t>
            </w:r>
          </w:p>
        </w:tc>
        <w:tc>
          <w:tcPr>
            <w:tcW w:type="dxa" w:w="3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Not Evidenced in Current Baseline</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Infrastructure</w:t>
            </w:r>
          </w:p>
        </w:tc>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Not Evidenced in Current Baseline</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Not Evidenced in Current Baseline</w:t>
            </w:r>
          </w:p>
        </w:tc>
        <w:tc>
          <w:tcPr>
            <w:tcW w:type="dxa" w:w="3900"/>
            <w:tcMar>
              <w:top w:type="dxa" w:w="60"/>
              <w:left w:type="dxa" w:w="100"/>
              <w:bottom w:type="dxa" w:w="60"/>
              <w:right w:type="dxa" w:w="100"/>
            </w:tcMar>
            <w:vAlign w:val="center"/>
          </w:tcPr>
          <w:p>
            <w:pPr>
              <w:jc w:val="left"/>
            </w:pPr>
            <w:r>
              <w:rPr>
                <w:b w:val="false"/>
                <w:bCs w:val="false"/>
                <w:color w:val="000000"/>
                <w:sz w:val="19"/>
                <w:szCs w:val="19"/>
              </w:rPr>
              <w:t xml:space="preserve">Not Evidenced in Current Baseline</w:t>
            </w:r>
          </w:p>
        </w:tc>
      </w:tr>
      <w:tr>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Integration</w:t>
            </w:r>
          </w:p>
        </w:tc>
        <w:tc>
          <w:tcPr>
            <w:tcW w:type="dxa" w:w="3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Reserved for Future Realization Phases</w:t>
            </w:r>
          </w:p>
        </w:tc>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Reserved for Future Realization Phases</w:t>
            </w:r>
          </w:p>
        </w:tc>
        <w:tc>
          <w:tcPr>
            <w:tcW w:type="dxa" w:w="3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Reserved for Future Realization Phases</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AI</w:t>
            </w:r>
          </w:p>
        </w:tc>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Reserved for Future Realization Phases (an unrelated, already-partitioned subsystem exists outside this domain)</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Reserved for Future Realization Phases</w:t>
            </w:r>
          </w:p>
        </w:tc>
        <w:tc>
          <w:tcPr>
            <w:tcW w:type="dxa" w:w="3900"/>
            <w:tcMar>
              <w:top w:type="dxa" w:w="60"/>
              <w:left w:type="dxa" w:w="100"/>
              <w:bottom w:type="dxa" w:w="60"/>
              <w:right w:type="dxa" w:w="100"/>
            </w:tcMar>
            <w:vAlign w:val="center"/>
          </w:tcPr>
          <w:p>
            <w:pPr>
              <w:jc w:val="left"/>
            </w:pPr>
            <w:r>
              <w:rPr>
                <w:b w:val="false"/>
                <w:bCs w:val="false"/>
                <w:color w:val="000000"/>
                <w:sz w:val="19"/>
                <w:szCs w:val="19"/>
              </w:rPr>
              <w:t xml:space="preserve">Reserved for Future Realization Phases</w:t>
            </w:r>
          </w:p>
        </w:tc>
      </w:tr>
      <w:tr>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Test</w:t>
            </w:r>
          </w:p>
        </w:tc>
        <w:tc>
          <w:tcPr>
            <w:tcW w:type="dxa" w:w="3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No automated test suite evidenced beyond migration idempotency checks</w:t>
            </w:r>
          </w:p>
        </w:tc>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WP-0002 (adopted template), WP-0004, WP-0005</w:t>
            </w:r>
          </w:p>
        </w:tc>
        <w:tc>
          <w:tcPr>
            <w:tcW w:type="dxa" w:w="3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WP-0002's method fully defined and ready to execute immediately</w:t>
            </w:r>
          </w:p>
        </w:tc>
      </w:tr>
    </w:tbl>
    <w:p>
      <w:pPr>
        <w:pStyle w:val="Heading1"/>
        <w:spacing w:after="160" w:before="360"/>
      </w:pPr>
      <w:r>
        <w:t xml:space="preserve">10.2.8 — Governance Readiness Status</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gridCol w:w="2400"/>
      </w:tblGrid>
      <w:tr>
        <w:trPr>
          <w:tblHeader/>
        </w:trPr>
        <w:tc>
          <w:tcPr>
            <w:tcW w:type="dxa" w:w="3400"/>
            <w:shd w:fill="1F3864" w:val="clear"/>
            <w:tcMar>
              <w:top w:type="dxa" w:w="60"/>
              <w:left w:type="dxa" w:w="100"/>
              <w:bottom w:type="dxa" w:w="60"/>
              <w:right w:type="dxa" w:w="100"/>
            </w:tcMar>
            <w:vAlign w:val="center"/>
          </w:tcPr>
          <w:p>
            <w:pPr>
              <w:jc w:val="left"/>
            </w:pPr>
            <w:r>
              <w:rPr>
                <w:b/>
                <w:bCs/>
                <w:color w:val="FFFFFF"/>
                <w:sz w:val="19"/>
                <w:szCs w:val="19"/>
              </w:rPr>
              <w:t xml:space="preserve">Area</w:t>
            </w:r>
          </w:p>
        </w:tc>
        <w:tc>
          <w:tcPr>
            <w:tcW w:type="dxa" w:w="6000"/>
            <w:shd w:fill="1F3864" w:val="clear"/>
            <w:tcMar>
              <w:top w:type="dxa" w:w="60"/>
              <w:left w:type="dxa" w:w="100"/>
              <w:bottom w:type="dxa" w:w="60"/>
              <w:right w:type="dxa" w:w="100"/>
            </w:tcMar>
            <w:vAlign w:val="center"/>
          </w:tcPr>
          <w:p>
            <w:pPr>
              <w:jc w:val="left"/>
            </w:pPr>
            <w:r>
              <w:rPr>
                <w:b/>
                <w:bCs/>
                <w:color w:val="FFFFFF"/>
                <w:sz w:val="19"/>
                <w:szCs w:val="19"/>
              </w:rPr>
              <w:t xml:space="preserve">Status</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Source</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Governance framework maturity</w:t>
            </w:r>
          </w:p>
        </w:tc>
        <w:tc>
          <w:tcPr>
            <w:tcW w:type="dxa" w:w="6000"/>
            <w:tcMar>
              <w:top w:type="dxa" w:w="60"/>
              <w:left w:type="dxa" w:w="100"/>
              <w:bottom w:type="dxa" w:w="60"/>
              <w:right w:type="dxa" w:w="100"/>
            </w:tcMar>
            <w:vAlign w:val="center"/>
          </w:tcPr>
          <w:p>
            <w:pPr>
              <w:jc w:val="left"/>
            </w:pPr>
            <w:r>
              <w:rPr>
                <w:b w:val="false"/>
                <w:bCs w:val="false"/>
                <w:color w:val="000000"/>
                <w:sz w:val="19"/>
                <w:szCs w:val="19"/>
              </w:rPr>
              <w:t xml:space="preserve">Complete — nine Enterprise Architecture Principles (AP-001–AP-009) established and consistently applied</w:t>
            </w:r>
          </w:p>
        </w:tc>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Phase A.3 §2</w:t>
            </w:r>
          </w:p>
        </w:tc>
      </w:tr>
      <w:tr>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Governance approvals</w:t>
            </w:r>
          </w:p>
        </w:tc>
        <w:tc>
          <w:tcPr>
            <w:tcW w:type="dxa" w:w="6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Seven ADRs approved (Phase A.2), extended by EGD-0008/0009 covering all ten Architecture Requirements</w:t>
            </w:r>
          </w:p>
        </w:tc>
        <w:tc>
          <w:tcPr>
            <w:tcW w:type="dxa" w:w="2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Phase A.2</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Enterprise Governance Decisions</w:t>
            </w:r>
          </w:p>
        </w:tc>
        <w:tc>
          <w:tcPr>
            <w:tcW w:type="dxa" w:w="6000"/>
            <w:tcMar>
              <w:top w:type="dxa" w:w="60"/>
              <w:left w:type="dxa" w:w="100"/>
              <w:bottom w:type="dxa" w:w="60"/>
              <w:right w:type="dxa" w:w="100"/>
            </w:tcMar>
            <w:vAlign w:val="center"/>
          </w:tcPr>
          <w:p>
            <w:pPr>
              <w:jc w:val="left"/>
            </w:pPr>
            <w:r>
              <w:rPr>
                <w:b w:val="false"/>
                <w:bCs w:val="false"/>
                <w:color w:val="000000"/>
                <w:sz w:val="19"/>
                <w:szCs w:val="19"/>
              </w:rPr>
              <w:t xml:space="preserve">All nine EGDs dispositioned: Accepted, Accepted (conditional), or Deferred (trigger-gated) — zero undispositioned</w:t>
            </w:r>
          </w:p>
        </w:tc>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Phase A.3 §L2</w:t>
            </w:r>
          </w:p>
        </w:tc>
      </w:tr>
      <w:tr>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Architecture governance readiness</w:t>
            </w:r>
          </w:p>
        </w:tc>
        <w:tc>
          <w:tcPr>
            <w:tcW w:type="dxa" w:w="6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MET (Certification Level L2)</w:t>
            </w:r>
          </w:p>
        </w:tc>
        <w:tc>
          <w:tcPr>
            <w:tcW w:type="dxa" w:w="2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Phase A.3 §Certification Framework</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Decision traceability maturity</w:t>
            </w:r>
          </w:p>
        </w:tc>
        <w:tc>
          <w:tcPr>
            <w:tcW w:type="dxa" w:w="6000"/>
            <w:tcMar>
              <w:top w:type="dxa" w:w="60"/>
              <w:left w:type="dxa" w:w="100"/>
              <w:bottom w:type="dxa" w:w="60"/>
              <w:right w:type="dxa" w:w="100"/>
            </w:tcMar>
            <w:vAlign w:val="center"/>
          </w:tcPr>
          <w:p>
            <w:pPr>
              <w:jc w:val="left"/>
            </w:pPr>
            <w:r>
              <w:rPr>
                <w:b w:val="false"/>
                <w:bCs w:val="false"/>
                <w:color w:val="000000"/>
                <w:sz w:val="19"/>
                <w:szCs w:val="19"/>
              </w:rPr>
              <w:t xml:space="preserve">KPI-07 Governance Decision Traceability % = 70/100 baseline against a target of 100</w:t>
            </w:r>
          </w:p>
        </w:tc>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Section 1 §12 (Success Measures)</w:t>
            </w:r>
          </w:p>
        </w:tc>
      </w:tr>
    </w:tbl>
    <w:p>
      <w:pPr>
        <w:pStyle w:val="Heading1"/>
        <w:spacing w:after="160" w:before="360"/>
      </w:pPr>
      <w:r>
        <w:t xml:space="preserve">10.2.9 — Verification Readiness Status</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gridCol w:w="2400"/>
      </w:tblGrid>
      <w:tr>
        <w:trPr>
          <w:tblHeader/>
        </w:trPr>
        <w:tc>
          <w:tcPr>
            <w:tcW w:type="dxa" w:w="3400"/>
            <w:shd w:fill="1F3864" w:val="clear"/>
            <w:tcMar>
              <w:top w:type="dxa" w:w="60"/>
              <w:left w:type="dxa" w:w="100"/>
              <w:bottom w:type="dxa" w:w="60"/>
              <w:right w:type="dxa" w:w="100"/>
            </w:tcMar>
            <w:vAlign w:val="center"/>
          </w:tcPr>
          <w:p>
            <w:pPr>
              <w:jc w:val="left"/>
            </w:pPr>
            <w:r>
              <w:rPr>
                <w:b/>
                <w:bCs/>
                <w:color w:val="FFFFFF"/>
                <w:sz w:val="19"/>
                <w:szCs w:val="19"/>
              </w:rPr>
              <w:t xml:space="preserve">Area</w:t>
            </w:r>
          </w:p>
        </w:tc>
        <w:tc>
          <w:tcPr>
            <w:tcW w:type="dxa" w:w="6000"/>
            <w:shd w:fill="1F3864" w:val="clear"/>
            <w:tcMar>
              <w:top w:type="dxa" w:w="60"/>
              <w:left w:type="dxa" w:w="100"/>
              <w:bottom w:type="dxa" w:w="60"/>
              <w:right w:type="dxa" w:w="100"/>
            </w:tcMar>
            <w:vAlign w:val="center"/>
          </w:tcPr>
          <w:p>
            <w:pPr>
              <w:jc w:val="left"/>
            </w:pPr>
            <w:r>
              <w:rPr>
                <w:b/>
                <w:bCs/>
                <w:color w:val="FFFFFF"/>
                <w:sz w:val="19"/>
                <w:szCs w:val="19"/>
              </w:rPr>
              <w:t xml:space="preserve">Status</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Source</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Verification strategy maturity</w:t>
            </w:r>
          </w:p>
        </w:tc>
        <w:tc>
          <w:tcPr>
            <w:tcW w:type="dxa" w:w="6000"/>
            <w:tcMar>
              <w:top w:type="dxa" w:w="60"/>
              <w:left w:type="dxa" w:w="100"/>
              <w:bottom w:type="dxa" w:w="60"/>
              <w:right w:type="dxa" w:w="100"/>
            </w:tcMar>
            <w:vAlign w:val="center"/>
          </w:tcPr>
          <w:p>
            <w:pPr>
              <w:jc w:val="left"/>
            </w:pPr>
            <w:r>
              <w:rPr>
                <w:b w:val="false"/>
                <w:bCs w:val="false"/>
                <w:color w:val="000000"/>
                <w:sz w:val="19"/>
                <w:szCs w:val="19"/>
              </w:rPr>
              <w:t xml:space="preserve">Established — WP-0002's query-based RLS verification adopted as the standing template for every future Realize-class verification</w:t>
            </w:r>
          </w:p>
        </w:tc>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Section 7 §7</w:t>
            </w:r>
          </w:p>
        </w:tc>
      </w:tr>
      <w:tr>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Test readiness</w:t>
            </w:r>
          </w:p>
        </w:tc>
        <w:tc>
          <w:tcPr>
            <w:tcW w:type="dxa" w:w="6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Repository verification readiness exact — scoped only to Documentation, Database, and Test repositories; High for WP-0002; no verification claim for Backend, Frontend, Integration, AI, or Infrastructure</w:t>
            </w:r>
          </w:p>
        </w:tc>
        <w:tc>
          <w:tcPr>
            <w:tcW w:type="dxa" w:w="2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Section 7</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Verification planning</w:t>
            </w:r>
          </w:p>
        </w:tc>
        <w:tc>
          <w:tcPr>
            <w:tcW w:type="dxa" w:w="6000"/>
            <w:tcMar>
              <w:top w:type="dxa" w:w="60"/>
              <w:left w:type="dxa" w:w="100"/>
              <w:bottom w:type="dxa" w:w="60"/>
              <w:right w:type="dxa" w:w="100"/>
            </w:tcMar>
            <w:vAlign w:val="center"/>
          </w:tcPr>
          <w:p>
            <w:pPr>
              <w:jc w:val="left"/>
            </w:pPr>
            <w:r>
              <w:rPr>
                <w:b w:val="false"/>
                <w:bCs w:val="false"/>
                <w:color w:val="000000"/>
                <w:sz w:val="19"/>
                <w:szCs w:val="19"/>
              </w:rPr>
              <w:t xml:space="preserve">Complete for all six Work Packages</w:t>
            </w:r>
          </w:p>
        </w:tc>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Section 7</w:t>
            </w:r>
          </w:p>
        </w:tc>
      </w:tr>
      <w:tr>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Outstanding verification activities</w:t>
            </w:r>
          </w:p>
        </w:tc>
        <w:tc>
          <w:tcPr>
            <w:tcW w:type="dxa" w:w="6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Two of six Work Packages (WP-0002, WP-0004) currently execute-ready; remainder pending Wave sequencing or trigger</w:t>
            </w:r>
          </w:p>
        </w:tc>
        <w:tc>
          <w:tcPr>
            <w:tcW w:type="dxa" w:w="2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Section 7 §Enterprise verification readiness</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Verification execution readiness</w:t>
            </w:r>
          </w:p>
        </w:tc>
        <w:tc>
          <w:tcPr>
            <w:tcW w:type="dxa" w:w="6000"/>
            <w:tcMar>
              <w:top w:type="dxa" w:w="60"/>
              <w:left w:type="dxa" w:w="100"/>
              <w:bottom w:type="dxa" w:w="60"/>
              <w:right w:type="dxa" w:w="100"/>
            </w:tcMar>
            <w:vAlign w:val="center"/>
          </w:tcPr>
          <w:p>
            <w:pPr>
              <w:jc w:val="left"/>
            </w:pPr>
            <w:r>
              <w:rPr>
                <w:b w:val="false"/>
                <w:bCs w:val="false"/>
                <w:color w:val="000000"/>
                <w:sz w:val="19"/>
                <w:szCs w:val="19"/>
              </w:rPr>
              <w:t xml:space="preserve">Startable, not yet fully executable — gated on WP-0006 ownership assignment (KPI-08 = 0%)</w:t>
            </w:r>
          </w:p>
        </w:tc>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Section 7</w:t>
            </w:r>
          </w:p>
        </w:tc>
      </w:tr>
    </w:tbl>
    <w:p>
      <w:pPr>
        <w:pStyle w:val="Heading1"/>
        <w:spacing w:after="160" w:before="360"/>
      </w:pPr>
      <w:r>
        <w:t xml:space="preserve">10.2.10 — Enterprise Risk Status</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gridCol w:w="2000"/>
      </w:tblGrid>
      <w:tr>
        <w:trPr>
          <w:tblHeader/>
        </w:trPr>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Area</w:t>
            </w:r>
          </w:p>
        </w:tc>
        <w:tc>
          <w:tcPr>
            <w:tcW w:type="dxa" w:w="6600"/>
            <w:shd w:fill="1F3864" w:val="clear"/>
            <w:tcMar>
              <w:top w:type="dxa" w:w="60"/>
              <w:left w:type="dxa" w:w="100"/>
              <w:bottom w:type="dxa" w:w="60"/>
              <w:right w:type="dxa" w:w="100"/>
            </w:tcMar>
            <w:vAlign w:val="center"/>
          </w:tcPr>
          <w:p>
            <w:pPr>
              <w:jc w:val="left"/>
            </w:pPr>
            <w:r>
              <w:rPr>
                <w:b/>
                <w:bCs/>
                <w:color w:val="FFFFFF"/>
                <w:sz w:val="19"/>
                <w:szCs w:val="19"/>
              </w:rPr>
              <w:t xml:space="preserve">Status</w:t>
            </w:r>
          </w:p>
        </w:tc>
        <w:tc>
          <w:tcPr>
            <w:tcW w:type="dxa" w:w="2000"/>
            <w:shd w:fill="1F3864" w:val="clear"/>
            <w:tcMar>
              <w:top w:type="dxa" w:w="60"/>
              <w:left w:type="dxa" w:w="100"/>
              <w:bottom w:type="dxa" w:w="60"/>
              <w:right w:type="dxa" w:w="100"/>
            </w:tcMar>
            <w:vAlign w:val="center"/>
          </w:tcPr>
          <w:p>
            <w:pPr>
              <w:jc w:val="left"/>
            </w:pPr>
            <w:r>
              <w:rPr>
                <w:b/>
                <w:bCs/>
                <w:color w:val="FFFFFF"/>
                <w:sz w:val="19"/>
                <w:szCs w:val="19"/>
              </w:rPr>
              <w:t xml:space="preserve">Source</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Current enterprise risk posture</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READY WITH CONDITIONS — every identified risk carries an assigned mitigation Work Package or defined monitoring cadence</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Section 8</w:t>
            </w:r>
          </w:p>
        </w:tc>
      </w:tr>
      <w:tr>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Highest engineering risks</w:t>
            </w:r>
          </w:p>
        </w:tc>
        <w:tc>
          <w:tcPr>
            <w:tcW w:type="dxa" w:w="6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AR-0007 (Security) — Critical-until-verified RLS coverage gap, confirmed on 2 of 4 table groups; AR-0002 (Naming Governance) — Non-conformant pending WP-0001, the single top-rated confirmed risk in Phase A.1 §13</w:t>
            </w:r>
          </w:p>
        </w:tc>
        <w:tc>
          <w:tcPr>
            <w:tcW w:type="dxa" w:w="2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Section 8; Phase A.1 §13</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Risk mitigation maturity</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Fully defined at the Work Package level; zero owner fields assigned in practice</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Section 8</w:t>
            </w:r>
          </w:p>
        </w:tc>
      </w:tr>
      <w:tr>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Residual risks</w:t>
            </w:r>
          </w:p>
        </w:tc>
        <w:tc>
          <w:tcPr>
            <w:tcW w:type="dxa" w:w="6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WP-0002: none evidenced beyond the pre-verification period. WP-0001: none identified beyond the interim period before publication. WP-0003: Medium, growing over time, until the EGD-0004 trigger fires</w:t>
            </w:r>
          </w:p>
        </w:tc>
        <w:tc>
          <w:tcPr>
            <w:tcW w:type="dxa" w:w="2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Section 8</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Outstanding risks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AR-0004 (Performance/Scalability) — Non-conformant, deferred, trigger-based, Medium and growing; AR-0003 (Data Governance) — Non-conformant, conditionally accepted, Medium/latent</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Section 8</w:t>
            </w:r>
          </w:p>
        </w:tc>
      </w:tr>
    </w:tbl>
    <w:p>
      <w:pPr>
        <w:pStyle w:val="Heading1"/>
        <w:spacing w:after="160" w:before="360"/>
      </w:pPr>
      <w:r>
        <w:t xml:space="preserve">10.2.11 — Engineering Acceptance Status</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gridCol w:w="2000"/>
      </w:tblGrid>
      <w:tr>
        <w:trPr>
          <w:tblHeader/>
        </w:trPr>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Area</w:t>
            </w:r>
          </w:p>
        </w:tc>
        <w:tc>
          <w:tcPr>
            <w:tcW w:type="dxa" w:w="6600"/>
            <w:shd w:fill="1F3864" w:val="clear"/>
            <w:tcMar>
              <w:top w:type="dxa" w:w="60"/>
              <w:left w:type="dxa" w:w="100"/>
              <w:bottom w:type="dxa" w:w="60"/>
              <w:right w:type="dxa" w:w="100"/>
            </w:tcMar>
            <w:vAlign w:val="center"/>
          </w:tcPr>
          <w:p>
            <w:pPr>
              <w:jc w:val="left"/>
            </w:pPr>
            <w:r>
              <w:rPr>
                <w:b/>
                <w:bCs/>
                <w:color w:val="FFFFFF"/>
                <w:sz w:val="19"/>
                <w:szCs w:val="19"/>
              </w:rPr>
              <w:t xml:space="preserve">Status</w:t>
            </w:r>
          </w:p>
        </w:tc>
        <w:tc>
          <w:tcPr>
            <w:tcW w:type="dxa" w:w="2000"/>
            <w:shd w:fill="1F3864" w:val="clear"/>
            <w:tcMar>
              <w:top w:type="dxa" w:w="60"/>
              <w:left w:type="dxa" w:w="100"/>
              <w:bottom w:type="dxa" w:w="60"/>
              <w:right w:type="dxa" w:w="100"/>
            </w:tcMar>
            <w:vAlign w:val="center"/>
          </w:tcPr>
          <w:p>
            <w:pPr>
              <w:jc w:val="left"/>
            </w:pPr>
            <w:r>
              <w:rPr>
                <w:b/>
                <w:bCs/>
                <w:color w:val="FFFFFF"/>
                <w:sz w:val="19"/>
                <w:szCs w:val="19"/>
              </w:rPr>
              <w:t xml:space="preserve">Source</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Acceptance readiness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READY WITH CONDITIONS — Wave 1 (WP-0002, WP-0006) carries no blocking Entry Criterion and is acceptance-ready to begin immediately</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Section 9 §9</w:t>
            </w:r>
          </w:p>
        </w:tc>
      </w:tr>
      <w:tr>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Acceptance maturity</w:t>
            </w:r>
          </w:p>
        </w:tc>
        <w:tc>
          <w:tcPr>
            <w:tcW w:type="dxa" w:w="6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Defined but not yet Realized — acceptance criteria fully defined for all six Work Packages; zero formally accepted</w:t>
            </w:r>
          </w:p>
        </w:tc>
        <w:tc>
          <w:tcPr>
            <w:tcW w:type="dxa" w:w="2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Section 9 §10</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Outstanding acceptance conditions</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WP-0002: RLS coverage confirmed today only on 2 of 4 named table groups. WP-0003: row-count/growth data not yet gathered, so the EGD-0004 trigger cannot yet be assessed</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Section 9 §9</w:t>
            </w:r>
          </w:p>
        </w:tc>
      </w:tr>
      <w:tr>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Acceptance governance</w:t>
            </w:r>
          </w:p>
        </w:tc>
        <w:tc>
          <w:tcPr>
            <w:tcW w:type="dxa" w:w="6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Wave 2 (WP-0001, WP-0004, WP-0005) ready to follow Wave 1; Wave 3 (WP-0003) monitoring-ready, not acceptance-ready, pending trigger</w:t>
            </w:r>
          </w:p>
        </w:tc>
        <w:tc>
          <w:tcPr>
            <w:tcW w:type="dxa" w:w="2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Section 9 §9</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Certification preparation</w:t>
            </w:r>
          </w:p>
        </w:tc>
        <w:tc>
          <w:tcPr>
            <w:tcW w:type="dxa" w:w="6600"/>
            <w:tcMar>
              <w:top w:type="dxa" w:w="60"/>
              <w:left w:type="dxa" w:w="100"/>
              <w:bottom w:type="dxa" w:w="60"/>
              <w:right w:type="dxa" w:w="100"/>
            </w:tcMar>
            <w:vAlign w:val="center"/>
          </w:tcPr>
          <w:p>
            <w:pPr>
              <w:jc w:val="left"/>
            </w:pPr>
            <w:r>
              <w:rPr>
                <w:b w:val="false"/>
                <w:bCs w:val="false"/>
                <w:color w:val="000000"/>
                <w:sz w:val="19"/>
                <w:szCs w:val="19"/>
              </w:rPr>
              <w:t xml:space="preserve">Consistent with Certification Level L3 (standing) baseline; no Work Package yet advances to L4</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Section 9; Phase A.3 §Certification Framework</w:t>
            </w:r>
          </w:p>
        </w:tc>
      </w:tr>
    </w:tbl>
    <w:p>
      <w:pPr>
        <w:pStyle w:val="Heading1"/>
        <w:spacing w:after="160" w:before="360"/>
      </w:pPr>
      <w:r>
        <w:t xml:space="preserve">10.2.12 — Enterprise Certification Readiness</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000"/>
        <w:gridCol w:w="2500"/>
      </w:tblGrid>
      <w:tr>
        <w:trPr>
          <w:tblHeader/>
        </w:trPr>
        <w:tc>
          <w:tcPr>
            <w:tcW w:type="dxa" w:w="900"/>
            <w:shd w:fill="1F3864" w:val="clear"/>
            <w:tcMar>
              <w:top w:type="dxa" w:w="60"/>
              <w:left w:type="dxa" w:w="100"/>
              <w:bottom w:type="dxa" w:w="60"/>
              <w:right w:type="dxa" w:w="100"/>
            </w:tcMar>
            <w:vAlign w:val="center"/>
          </w:tcPr>
          <w:p>
            <w:pPr>
              <w:jc w:val="left"/>
            </w:pPr>
            <w:r>
              <w:rPr>
                <w:b/>
                <w:bCs/>
                <w:color w:val="FFFFFF"/>
                <w:sz w:val="19"/>
                <w:szCs w:val="19"/>
              </w:rPr>
              <w:t xml:space="preserve">Level</w:t>
            </w:r>
          </w:p>
        </w:tc>
        <w:tc>
          <w:tcPr>
            <w:tcW w:type="dxa" w:w="3000"/>
            <w:shd w:fill="1F3864" w:val="clear"/>
            <w:tcMar>
              <w:top w:type="dxa" w:w="60"/>
              <w:left w:type="dxa" w:w="100"/>
              <w:bottom w:type="dxa" w:w="60"/>
              <w:right w:type="dxa" w:w="100"/>
            </w:tcMar>
            <w:vAlign w:val="center"/>
          </w:tcPr>
          <w:p>
            <w:pPr>
              <w:jc w:val="left"/>
            </w:pPr>
            <w:r>
              <w:rPr>
                <w:b/>
                <w:bCs/>
                <w:color w:val="FFFFFF"/>
                <w:sz w:val="19"/>
                <w:szCs w:val="19"/>
              </w:rPr>
              <w:t xml:space="preserve">Definition</w:t>
            </w:r>
          </w:p>
        </w:tc>
        <w:tc>
          <w:tcPr>
            <w:tcW w:type="dxa" w:w="5000"/>
            <w:shd w:fill="1F3864" w:val="clear"/>
            <w:tcMar>
              <w:top w:type="dxa" w:w="60"/>
              <w:left w:type="dxa" w:w="100"/>
              <w:bottom w:type="dxa" w:w="60"/>
              <w:right w:type="dxa" w:w="100"/>
            </w:tcMar>
            <w:vAlign w:val="center"/>
          </w:tcPr>
          <w:p>
            <w:pPr>
              <w:jc w:val="left"/>
            </w:pPr>
            <w:r>
              <w:rPr>
                <w:b/>
                <w:bCs/>
                <w:color w:val="FFFFFF"/>
                <w:sz w:val="19"/>
                <w:szCs w:val="19"/>
              </w:rPr>
              <w:t xml:space="preserve">Status</w:t>
            </w:r>
          </w:p>
        </w:tc>
        <w:tc>
          <w:tcPr>
            <w:tcW w:type="dxa" w:w="2500"/>
            <w:shd w:fill="1F3864" w:val="clear"/>
            <w:tcMar>
              <w:top w:type="dxa" w:w="60"/>
              <w:left w:type="dxa" w:w="100"/>
              <w:bottom w:type="dxa" w:w="60"/>
              <w:right w:type="dxa" w:w="100"/>
            </w:tcMar>
            <w:vAlign w:val="center"/>
          </w:tcPr>
          <w:p>
            <w:pPr>
              <w:jc w:val="left"/>
            </w:pPr>
            <w:r>
              <w:rPr>
                <w:b/>
                <w:bCs/>
                <w:color w:val="FFFFFF"/>
                <w:sz w:val="19"/>
                <w:szCs w:val="19"/>
              </w:rPr>
              <w:t xml:space="preserve">Source</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L1</w:t>
            </w:r>
          </w:p>
        </w:tc>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Architecture Baseline Established</w:t>
            </w:r>
          </w:p>
        </w:tc>
        <w:tc>
          <w:tcPr>
            <w:tcW w:type="dxa" w:w="5000"/>
            <w:tcMar>
              <w:top w:type="dxa" w:w="60"/>
              <w:left w:type="dxa" w:w="100"/>
              <w:bottom w:type="dxa" w:w="60"/>
              <w:right w:type="dxa" w:w="100"/>
            </w:tcMar>
            <w:vAlign w:val="center"/>
          </w:tcPr>
          <w:p>
            <w:pPr>
              <w:jc w:val="left"/>
            </w:pPr>
            <w:r>
              <w:rPr>
                <w:b w:val="false"/>
                <w:bCs w:val="false"/>
                <w:color w:val="000000"/>
                <w:sz w:val="19"/>
                <w:szCs w:val="19"/>
              </w:rPr>
              <w:t xml:space="preserve">MET — established by Phase A.3</w:t>
            </w:r>
          </w:p>
        </w:tc>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Phase A.3 §Certification Framework</w:t>
            </w:r>
          </w:p>
        </w:tc>
      </w:tr>
      <w:tr>
        <w:tc>
          <w:tcPr>
            <w:tcW w:type="dxa" w:w="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L2</w:t>
            </w:r>
          </w:p>
        </w:tc>
        <w:tc>
          <w:tcPr>
            <w:tcW w:type="dxa" w:w="3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Governance Complete</w:t>
            </w:r>
          </w:p>
        </w:tc>
        <w:tc>
          <w:tcPr>
            <w:tcW w:type="dxa" w:w="5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MET — every AR has a dispositioned EGD; no open gaps</w:t>
            </w:r>
          </w:p>
        </w:tc>
        <w:tc>
          <w:tcPr>
            <w:tcW w:type="dxa" w:w="2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Phase A.2 seven ADRs; EGD-0008/0009</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L3</w:t>
            </w:r>
          </w:p>
        </w:tc>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Implementation Traceable</w:t>
            </w:r>
          </w:p>
        </w:tc>
        <w:tc>
          <w:tcPr>
            <w:tcW w:type="dxa" w:w="5000"/>
            <w:tcMar>
              <w:top w:type="dxa" w:w="60"/>
              <w:left w:type="dxa" w:w="100"/>
              <w:bottom w:type="dxa" w:w="60"/>
              <w:right w:type="dxa" w:w="100"/>
            </w:tcMar>
            <w:vAlign w:val="center"/>
          </w:tcPr>
          <w:p>
            <w:pPr>
              <w:jc w:val="left"/>
            </w:pPr>
            <w:r>
              <w:rPr>
                <w:b w:val="false"/>
                <w:bCs w:val="false"/>
                <w:color w:val="000000"/>
                <w:sz w:val="19"/>
                <w:szCs w:val="19"/>
              </w:rPr>
              <w:t xml:space="preserve">MET — full Traceability Matrix established</w:t>
            </w:r>
          </w:p>
        </w:tc>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Phase A.3 §7</w:t>
            </w:r>
          </w:p>
        </w:tc>
      </w:tr>
      <w:tr>
        <w:tc>
          <w:tcPr>
            <w:tcW w:type="dxa" w:w="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L4</w:t>
            </w:r>
          </w:p>
        </w:tc>
        <w:tc>
          <w:tcPr>
            <w:tcW w:type="dxa" w:w="3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Implementation Verified</w:t>
            </w:r>
          </w:p>
        </w:tc>
        <w:tc>
          <w:tcPr>
            <w:tcW w:type="dxa" w:w="5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NOT MET — pending WP-0001 (documentation revision published) and WP-0002 (RLS verification completed with written confirmation)</w:t>
            </w:r>
          </w:p>
        </w:tc>
        <w:tc>
          <w:tcPr>
            <w:tcW w:type="dxa" w:w="2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Phase A.3 §Certification Framework</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L5</w:t>
            </w:r>
          </w:p>
        </w:tc>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Architecture Certified</w:t>
            </w:r>
          </w:p>
        </w:tc>
        <w:tc>
          <w:tcPr>
            <w:tcW w:type="dxa" w:w="5000"/>
            <w:tcMar>
              <w:top w:type="dxa" w:w="60"/>
              <w:left w:type="dxa" w:w="100"/>
              <w:bottom w:type="dxa" w:w="60"/>
              <w:right w:type="dxa" w:w="100"/>
            </w:tcMar>
            <w:vAlign w:val="center"/>
          </w:tcPr>
          <w:p>
            <w:pPr>
              <w:jc w:val="left"/>
            </w:pPr>
            <w:r>
              <w:rPr>
                <w:b w:val="false"/>
                <w:bCs w:val="false"/>
                <w:color w:val="000000"/>
                <w:sz w:val="19"/>
                <w:szCs w:val="19"/>
              </w:rPr>
              <w:t xml:space="preserve">NOT MET — pending L4 plus a closed-loop re-assessment (a Phase A.1-style realization audit re-run against the revised architecture)</w:t>
            </w:r>
          </w:p>
        </w:tc>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Phase A.3 §Certification Framework; Phase A.2 §9</w:t>
            </w:r>
          </w:p>
        </w:tc>
      </w:tr>
    </w:tbl>
    <w:p>
      <w:pPr>
        <w:spacing w:after="160"/>
        <w:jc w:val="left"/>
      </w:pPr>
      <w:r>
        <w:rPr>
          <w:b w:val="false"/>
          <w:bCs w:val="false"/>
          <w:i w:val="false"/>
          <w:iCs w:val="false"/>
          <w:sz w:val="21"/>
          <w:szCs w:val="21"/>
        </w:rPr>
        <w:t xml:space="preserve"/>
      </w:r>
    </w:p>
    <w:p>
      <w:pPr>
        <w:spacing w:after="160"/>
        <w:jc w:val="left"/>
      </w:pPr>
      <w:r>
        <w:rPr>
          <w:b w:val="false"/>
          <w:bCs w:val="false"/>
          <w:i w:val="false"/>
          <w:iCs w:val="false"/>
          <w:sz w:val="21"/>
          <w:szCs w:val="21"/>
        </w:rPr>
        <w:t xml:space="preserve">Outstanding certification conditions: certification progresses from L3 to L4 concurrently with Phase B rather than as a separate program — L4 requires WP-0001 and WP-0002 completion; L5 additionally requires a future closed-loop re-assessment not yet scheduled.</w:t>
      </w:r>
    </w:p>
    <w:p>
      <w:pPr>
        <w:pStyle w:val="Heading1"/>
        <w:spacing w:after="160" w:before="360"/>
      </w:pPr>
      <w:r>
        <w:t xml:space="preserve">10.2.13 — Enterprise KPI Dashboard</w:t>
      </w:r>
    </w:p>
    <w:p>
      <w:pPr>
        <w:spacing w:after="160"/>
        <w:jc w:val="left"/>
      </w:pPr>
      <w:r>
        <w:rPr>
          <w:b w:val="false"/>
          <w:bCs w:val="false"/>
          <w:i w:val="false"/>
          <w:iCs w:val="false"/>
          <w:sz w:val="21"/>
          <w:szCs w:val="21"/>
        </w:rPr>
        <w:t xml:space="preserve">Reused unchanged from Phase A.3 §10 (baseline) and Phase B §11 (end-of-Wave-2 targets).</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3200"/>
        <w:gridCol w:w="2700"/>
      </w:tblGrid>
      <w:tr>
        <w:trPr>
          <w:tblHeader/>
        </w:trPr>
        <w:tc>
          <w:tcPr>
            <w:tcW w:type="dxa" w:w="1300"/>
            <w:shd w:fill="1F3864" w:val="clear"/>
            <w:tcMar>
              <w:top w:type="dxa" w:w="60"/>
              <w:left w:type="dxa" w:w="100"/>
              <w:bottom w:type="dxa" w:w="60"/>
              <w:right w:type="dxa" w:w="100"/>
            </w:tcMar>
            <w:vAlign w:val="center"/>
          </w:tcPr>
          <w:p>
            <w:pPr>
              <w:jc w:val="left"/>
            </w:pPr>
            <w:r>
              <w:rPr>
                <w:b/>
                <w:bCs/>
                <w:color w:val="FFFFFF"/>
                <w:sz w:val="19"/>
                <w:szCs w:val="19"/>
              </w:rPr>
              <w:t xml:space="preserve">KPI</w:t>
            </w:r>
          </w:p>
        </w:tc>
        <w:tc>
          <w:tcPr>
            <w:tcW w:type="dxa" w:w="4200"/>
            <w:shd w:fill="1F3864" w:val="clear"/>
            <w:tcMar>
              <w:top w:type="dxa" w:w="60"/>
              <w:left w:type="dxa" w:w="100"/>
              <w:bottom w:type="dxa" w:w="60"/>
              <w:right w:type="dxa" w:w="100"/>
            </w:tcMar>
            <w:vAlign w:val="center"/>
          </w:tcPr>
          <w:p>
            <w:pPr>
              <w:jc w:val="left"/>
            </w:pPr>
            <w:r>
              <w:rPr>
                <w:b/>
                <w:bCs/>
                <w:color w:val="FFFFFF"/>
                <w:sz w:val="19"/>
                <w:szCs w:val="19"/>
              </w:rPr>
              <w:t xml:space="preserve">Metric</w:t>
            </w:r>
          </w:p>
        </w:tc>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Baseline</w:t>
            </w:r>
          </w:p>
        </w:tc>
        <w:tc>
          <w:tcPr>
            <w:tcW w:type="dxa" w:w="2700"/>
            <w:shd w:fill="1F3864" w:val="clear"/>
            <w:tcMar>
              <w:top w:type="dxa" w:w="60"/>
              <w:left w:type="dxa" w:w="100"/>
              <w:bottom w:type="dxa" w:w="60"/>
              <w:right w:type="dxa" w:w="100"/>
            </w:tcMar>
            <w:vAlign w:val="center"/>
          </w:tcPr>
          <w:p>
            <w:pPr>
              <w:jc w:val="left"/>
            </w:pPr>
            <w:r>
              <w:rPr>
                <w:b/>
                <w:bCs/>
                <w:color w:val="FFFFFF"/>
                <w:sz w:val="19"/>
                <w:szCs w:val="19"/>
              </w:rPr>
              <w:t xml:space="preserve">Target</w:t>
            </w:r>
          </w:p>
        </w:tc>
      </w:tr>
      <w:tr>
        <w:tc>
          <w:tcPr>
            <w:tcW w:type="dxa" w:w="1300"/>
            <w:tcMar>
              <w:top w:type="dxa" w:w="60"/>
              <w:left w:type="dxa" w:w="100"/>
              <w:bottom w:type="dxa" w:w="60"/>
              <w:right w:type="dxa" w:w="100"/>
            </w:tcMar>
            <w:vAlign w:val="center"/>
          </w:tcPr>
          <w:p>
            <w:pPr>
              <w:jc w:val="left"/>
            </w:pPr>
            <w:r>
              <w:rPr>
                <w:b w:val="false"/>
                <w:bCs w:val="false"/>
                <w:color w:val="000000"/>
                <w:sz w:val="19"/>
                <w:szCs w:val="19"/>
              </w:rPr>
              <w:t xml:space="preserve">KPI-01</w:t>
            </w:r>
          </w:p>
        </w:tc>
        <w:tc>
          <w:tcPr>
            <w:tcW w:type="dxa" w:w="4200"/>
            <w:tcMar>
              <w:top w:type="dxa" w:w="60"/>
              <w:left w:type="dxa" w:w="100"/>
              <w:bottom w:type="dxa" w:w="60"/>
              <w:right w:type="dxa" w:w="100"/>
            </w:tcMar>
            <w:vAlign w:val="center"/>
          </w:tcPr>
          <w:p>
            <w:pPr>
              <w:jc w:val="left"/>
            </w:pPr>
            <w:r>
              <w:rPr>
                <w:b w:val="false"/>
                <w:bCs w:val="false"/>
                <w:color w:val="000000"/>
                <w:sz w:val="19"/>
                <w:szCs w:val="19"/>
              </w:rPr>
              <w:t xml:space="preserve">Architecture Conformance %</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35/100</w:t>
            </w:r>
          </w:p>
        </w:tc>
        <w:tc>
          <w:tcPr>
            <w:tcW w:type="dxa" w:w="2700"/>
            <w:tcMar>
              <w:top w:type="dxa" w:w="60"/>
              <w:left w:type="dxa" w:w="100"/>
              <w:bottom w:type="dxa" w:w="60"/>
              <w:right w:type="dxa" w:w="100"/>
            </w:tcMar>
            <w:vAlign w:val="center"/>
          </w:tcPr>
          <w:p>
            <w:pPr>
              <w:jc w:val="left"/>
            </w:pPr>
            <w:r>
              <w:rPr>
                <w:b w:val="false"/>
                <w:bCs w:val="false"/>
                <w:color w:val="000000"/>
                <w:sz w:val="19"/>
                <w:szCs w:val="19"/>
              </w:rPr>
              <w:t xml:space="preserve">≥90</w:t>
            </w:r>
          </w:p>
        </w:tc>
      </w:tr>
      <w:tr>
        <w:tc>
          <w:tcPr>
            <w:tcW w:type="dxa" w:w="13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KPI-02</w:t>
            </w:r>
          </w:p>
        </w:tc>
        <w:tc>
          <w:tcPr>
            <w:tcW w:type="dxa" w:w="4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Documentation Accuracy %</w:t>
            </w:r>
          </w:p>
        </w:tc>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30/100</w:t>
            </w:r>
          </w:p>
        </w:tc>
        <w:tc>
          <w:tcPr>
            <w:tcW w:type="dxa" w:w="2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100</w:t>
            </w:r>
          </w:p>
        </w:tc>
      </w:tr>
      <w:tr>
        <w:tc>
          <w:tcPr>
            <w:tcW w:type="dxa" w:w="1300"/>
            <w:tcMar>
              <w:top w:type="dxa" w:w="60"/>
              <w:left w:type="dxa" w:w="100"/>
              <w:bottom w:type="dxa" w:w="60"/>
              <w:right w:type="dxa" w:w="100"/>
            </w:tcMar>
            <w:vAlign w:val="center"/>
          </w:tcPr>
          <w:p>
            <w:pPr>
              <w:jc w:val="left"/>
            </w:pPr>
            <w:r>
              <w:rPr>
                <w:b w:val="false"/>
                <w:bCs w:val="false"/>
                <w:color w:val="000000"/>
                <w:sz w:val="19"/>
                <w:szCs w:val="19"/>
              </w:rPr>
              <w:t xml:space="preserve">KPI-03</w:t>
            </w:r>
          </w:p>
        </w:tc>
        <w:tc>
          <w:tcPr>
            <w:tcW w:type="dxa" w:w="4200"/>
            <w:tcMar>
              <w:top w:type="dxa" w:w="60"/>
              <w:left w:type="dxa" w:w="100"/>
              <w:bottom w:type="dxa" w:w="60"/>
              <w:right w:type="dxa" w:w="100"/>
            </w:tcMar>
            <w:vAlign w:val="center"/>
          </w:tcPr>
          <w:p>
            <w:pPr>
              <w:jc w:val="left"/>
            </w:pPr>
            <w:r>
              <w:rPr>
                <w:b w:val="false"/>
                <w:bCs w:val="false"/>
                <w:color w:val="000000"/>
                <w:sz w:val="19"/>
                <w:szCs w:val="19"/>
              </w:rPr>
              <w:t xml:space="preserve">Overall Governance Compliance %</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48/100</w:t>
            </w:r>
          </w:p>
        </w:tc>
        <w:tc>
          <w:tcPr>
            <w:tcW w:type="dxa" w:w="2700"/>
            <w:tcMar>
              <w:top w:type="dxa" w:w="60"/>
              <w:left w:type="dxa" w:w="100"/>
              <w:bottom w:type="dxa" w:w="60"/>
              <w:right w:type="dxa" w:w="100"/>
            </w:tcMar>
            <w:vAlign w:val="center"/>
          </w:tcPr>
          <w:p>
            <w:pPr>
              <w:jc w:val="left"/>
            </w:pPr>
            <w:r>
              <w:rPr>
                <w:b w:val="false"/>
                <w:bCs w:val="false"/>
                <w:color w:val="000000"/>
                <w:sz w:val="19"/>
                <w:szCs w:val="19"/>
              </w:rPr>
              <w:t xml:space="preserve">≥70</w:t>
            </w:r>
          </w:p>
        </w:tc>
      </w:tr>
      <w:tr>
        <w:tc>
          <w:tcPr>
            <w:tcW w:type="dxa" w:w="13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KPI-04</w:t>
            </w:r>
          </w:p>
        </w:tc>
        <w:tc>
          <w:tcPr>
            <w:tcW w:type="dxa" w:w="4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Approved Variances (count)</w:t>
            </w:r>
          </w:p>
        </w:tc>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4</w:t>
            </w:r>
          </w:p>
        </w:tc>
        <w:tc>
          <w:tcPr>
            <w:tcW w:type="dxa" w:w="2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Stable or declining</w:t>
            </w:r>
          </w:p>
        </w:tc>
      </w:tr>
      <w:tr>
        <w:tc>
          <w:tcPr>
            <w:tcW w:type="dxa" w:w="1300"/>
            <w:tcMar>
              <w:top w:type="dxa" w:w="60"/>
              <w:left w:type="dxa" w:w="100"/>
              <w:bottom w:type="dxa" w:w="60"/>
              <w:right w:type="dxa" w:w="100"/>
            </w:tcMar>
            <w:vAlign w:val="center"/>
          </w:tcPr>
          <w:p>
            <w:pPr>
              <w:jc w:val="left"/>
            </w:pPr>
            <w:r>
              <w:rPr>
                <w:b w:val="false"/>
                <w:bCs w:val="false"/>
                <w:color w:val="000000"/>
                <w:sz w:val="19"/>
                <w:szCs w:val="19"/>
              </w:rPr>
              <w:t xml:space="preserve">KPI-05</w:t>
            </w:r>
          </w:p>
        </w:tc>
        <w:tc>
          <w:tcPr>
            <w:tcW w:type="dxa" w:w="4200"/>
            <w:tcMar>
              <w:top w:type="dxa" w:w="60"/>
              <w:left w:type="dxa" w:w="100"/>
              <w:bottom w:type="dxa" w:w="60"/>
              <w:right w:type="dxa" w:w="100"/>
            </w:tcMar>
            <w:vAlign w:val="center"/>
          </w:tcPr>
          <w:p>
            <w:pPr>
              <w:jc w:val="left"/>
            </w:pPr>
            <w:r>
              <w:rPr>
                <w:b w:val="false"/>
                <w:bCs w:val="false"/>
                <w:color w:val="000000"/>
                <w:sz w:val="19"/>
                <w:szCs w:val="19"/>
              </w:rPr>
              <w:t xml:space="preserve">Deferred Decisions (count)</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4</w:t>
            </w:r>
          </w:p>
        </w:tc>
        <w:tc>
          <w:tcPr>
            <w:tcW w:type="dxa" w:w="2700"/>
            <w:tcMar>
              <w:top w:type="dxa" w:w="60"/>
              <w:left w:type="dxa" w:w="100"/>
              <w:bottom w:type="dxa" w:w="60"/>
              <w:right w:type="dxa" w:w="100"/>
            </w:tcMar>
            <w:vAlign w:val="center"/>
          </w:tcPr>
          <w:p>
            <w:pPr>
              <w:jc w:val="left"/>
            </w:pPr>
            <w:r>
              <w:rPr>
                <w:b w:val="false"/>
                <w:bCs w:val="false"/>
                <w:color w:val="000000"/>
                <w:sz w:val="19"/>
                <w:szCs w:val="19"/>
              </w:rPr>
              <w:t xml:space="preserve">Declining as triggers fire</w:t>
            </w:r>
          </w:p>
        </w:tc>
      </w:tr>
      <w:tr>
        <w:tc>
          <w:tcPr>
            <w:tcW w:type="dxa" w:w="13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KPI-06</w:t>
            </w:r>
          </w:p>
        </w:tc>
        <w:tc>
          <w:tcPr>
            <w:tcW w:type="dxa" w:w="4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RLS Coverage %</w:t>
            </w:r>
          </w:p>
        </w:tc>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Confirmed on 2 tables; unverified elsewhere</w:t>
            </w:r>
          </w:p>
        </w:tc>
        <w:tc>
          <w:tcPr>
            <w:tcW w:type="dxa" w:w="2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100% confirmed</w:t>
            </w:r>
          </w:p>
        </w:tc>
      </w:tr>
      <w:tr>
        <w:tc>
          <w:tcPr>
            <w:tcW w:type="dxa" w:w="1300"/>
            <w:tcMar>
              <w:top w:type="dxa" w:w="60"/>
              <w:left w:type="dxa" w:w="100"/>
              <w:bottom w:type="dxa" w:w="60"/>
              <w:right w:type="dxa" w:w="100"/>
            </w:tcMar>
            <w:vAlign w:val="center"/>
          </w:tcPr>
          <w:p>
            <w:pPr>
              <w:jc w:val="left"/>
            </w:pPr>
            <w:r>
              <w:rPr>
                <w:b w:val="false"/>
                <w:bCs w:val="false"/>
                <w:color w:val="000000"/>
                <w:sz w:val="19"/>
                <w:szCs w:val="19"/>
              </w:rPr>
              <w:t xml:space="preserve">KPI-07</w:t>
            </w:r>
          </w:p>
        </w:tc>
        <w:tc>
          <w:tcPr>
            <w:tcW w:type="dxa" w:w="4200"/>
            <w:tcMar>
              <w:top w:type="dxa" w:w="60"/>
              <w:left w:type="dxa" w:w="100"/>
              <w:bottom w:type="dxa" w:w="60"/>
              <w:right w:type="dxa" w:w="100"/>
            </w:tcMar>
            <w:vAlign w:val="center"/>
          </w:tcPr>
          <w:p>
            <w:pPr>
              <w:jc w:val="left"/>
            </w:pPr>
            <w:r>
              <w:rPr>
                <w:b w:val="false"/>
                <w:bCs w:val="false"/>
                <w:color w:val="000000"/>
                <w:sz w:val="19"/>
                <w:szCs w:val="19"/>
              </w:rPr>
              <w:t xml:space="preserve">Governance Decision Traceability %</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70/100</w:t>
            </w:r>
          </w:p>
        </w:tc>
        <w:tc>
          <w:tcPr>
            <w:tcW w:type="dxa" w:w="2700"/>
            <w:tcMar>
              <w:top w:type="dxa" w:w="60"/>
              <w:left w:type="dxa" w:w="100"/>
              <w:bottom w:type="dxa" w:w="60"/>
              <w:right w:type="dxa" w:w="100"/>
            </w:tcMar>
            <w:vAlign w:val="center"/>
          </w:tcPr>
          <w:p>
            <w:pPr>
              <w:jc w:val="left"/>
            </w:pPr>
            <w:r>
              <w:rPr>
                <w:b w:val="false"/>
                <w:bCs w:val="false"/>
                <w:color w:val="000000"/>
                <w:sz w:val="19"/>
                <w:szCs w:val="19"/>
              </w:rPr>
              <w:t xml:space="preserve">100</w:t>
            </w:r>
          </w:p>
        </w:tc>
      </w:tr>
      <w:tr>
        <w:tc>
          <w:tcPr>
            <w:tcW w:type="dxa" w:w="13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KPI-08</w:t>
            </w:r>
          </w:p>
        </w:tc>
        <w:tc>
          <w:tcPr>
            <w:tcW w:type="dxa" w:w="4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Ownership Assignment %</w:t>
            </w:r>
          </w:p>
        </w:tc>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0%</w:t>
            </w:r>
          </w:p>
        </w:tc>
        <w:tc>
          <w:tcPr>
            <w:tcW w:type="dxa" w:w="2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100% on WP-0006</w:t>
            </w:r>
          </w:p>
        </w:tc>
      </w:tr>
      <w:tr>
        <w:tc>
          <w:tcPr>
            <w:tcW w:type="dxa" w:w="1300"/>
            <w:tcMar>
              <w:top w:type="dxa" w:w="60"/>
              <w:left w:type="dxa" w:w="100"/>
              <w:bottom w:type="dxa" w:w="60"/>
              <w:right w:type="dxa" w:w="100"/>
            </w:tcMar>
            <w:vAlign w:val="center"/>
          </w:tcPr>
          <w:p>
            <w:pPr>
              <w:jc w:val="left"/>
            </w:pPr>
            <w:r>
              <w:rPr>
                <w:b w:val="false"/>
                <w:bCs w:val="false"/>
                <w:color w:val="000000"/>
                <w:sz w:val="19"/>
                <w:szCs w:val="19"/>
              </w:rPr>
              <w:t xml:space="preserve">KPI-09</w:t>
            </w:r>
          </w:p>
        </w:tc>
        <w:tc>
          <w:tcPr>
            <w:tcW w:type="dxa" w:w="4200"/>
            <w:tcMar>
              <w:top w:type="dxa" w:w="60"/>
              <w:left w:type="dxa" w:w="100"/>
              <w:bottom w:type="dxa" w:w="60"/>
              <w:right w:type="dxa" w:w="100"/>
            </w:tcMar>
            <w:vAlign w:val="center"/>
          </w:tcPr>
          <w:p>
            <w:pPr>
              <w:jc w:val="left"/>
            </w:pPr>
            <w:r>
              <w:rPr>
                <w:b w:val="false"/>
                <w:bCs w:val="false"/>
                <w:color w:val="000000"/>
                <w:sz w:val="19"/>
                <w:szCs w:val="19"/>
              </w:rPr>
              <w:t xml:space="preserve">Technical Debt by Class (Crit/Strat/Tact/Accept)</w:t>
            </w:r>
          </w:p>
        </w:tc>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1/1/1/1</w:t>
            </w:r>
          </w:p>
        </w:tc>
        <w:tc>
          <w:tcPr>
            <w:tcW w:type="dxa" w:w="2700"/>
            <w:tcMar>
              <w:top w:type="dxa" w:w="60"/>
              <w:left w:type="dxa" w:w="100"/>
              <w:bottom w:type="dxa" w:w="60"/>
              <w:right w:type="dxa" w:w="100"/>
            </w:tcMar>
            <w:vAlign w:val="center"/>
          </w:tcPr>
          <w:p>
            <w:pPr>
              <w:jc w:val="left"/>
            </w:pPr>
            <w:r>
              <w:rPr>
                <w:b w:val="false"/>
                <w:bCs w:val="false"/>
                <w:color w:val="000000"/>
                <w:sz w:val="19"/>
                <w:szCs w:val="19"/>
              </w:rPr>
              <w:t xml:space="preserve">0 Critical on WP-0002</w:t>
            </w:r>
          </w:p>
        </w:tc>
      </w:tr>
      <w:tr>
        <w:tc>
          <w:tcPr>
            <w:tcW w:type="dxa" w:w="13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KPI-10</w:t>
            </w:r>
          </w:p>
        </w:tc>
        <w:tc>
          <w:tcPr>
            <w:tcW w:type="dxa" w:w="4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Architecture Review SLA</w:t>
            </w:r>
          </w:p>
        </w:tc>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Not yet defined</w:t>
            </w:r>
          </w:p>
        </w:tc>
        <w:tc>
          <w:tcPr>
            <w:tcW w:type="dxa" w:w="2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Quarterly, standing</w:t>
            </w:r>
          </w:p>
        </w:tc>
      </w:tr>
    </w:tbl>
    <w:p>
      <w:pPr>
        <w:pStyle w:val="Heading1"/>
        <w:spacing w:after="160" w:before="360"/>
      </w:pPr>
      <w:r>
        <w:t xml:space="preserve">10.2.14 — Overall Enterprise Realization Posture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600"/>
        <w:gridCol w:w="6200"/>
      </w:tblGrid>
      <w:tr>
        <w:trPr>
          <w:tblHeader/>
        </w:trPr>
        <w:tc>
          <w:tcPr>
            <w:tcW w:type="dxa" w:w="3600"/>
            <w:shd w:fill="1F3864" w:val="clear"/>
            <w:tcMar>
              <w:top w:type="dxa" w:w="60"/>
              <w:left w:type="dxa" w:w="100"/>
              <w:bottom w:type="dxa" w:w="60"/>
              <w:right w:type="dxa" w:w="100"/>
            </w:tcMar>
            <w:vAlign w:val="center"/>
          </w:tcPr>
          <w:p>
            <w:pPr>
              <w:jc w:val="left"/>
            </w:pPr>
            <w:r>
              <w:rPr>
                <w:b/>
                <w:bCs/>
                <w:color w:val="FFFFFF"/>
                <w:sz w:val="19"/>
                <w:szCs w:val="19"/>
              </w:rPr>
              <w:t xml:space="preserve">Readiness Dimension</w:t>
            </w:r>
          </w:p>
        </w:tc>
        <w:tc>
          <w:tcPr>
            <w:tcW w:type="dxa" w:w="6200"/>
            <w:shd w:fill="1F3864" w:val="clear"/>
            <w:tcMar>
              <w:top w:type="dxa" w:w="60"/>
              <w:left w:type="dxa" w:w="100"/>
              <w:bottom w:type="dxa" w:w="60"/>
              <w:right w:type="dxa" w:w="100"/>
            </w:tcMar>
            <w:vAlign w:val="center"/>
          </w:tcPr>
          <w:p>
            <w:pPr>
              <w:jc w:val="left"/>
            </w:pPr>
            <w:r>
              <w:rPr>
                <w:b/>
                <w:bCs/>
                <w:color w:val="FFFFFF"/>
                <w:sz w:val="19"/>
                <w:szCs w:val="19"/>
              </w:rPr>
              <w:t xml:space="preserve">Status</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Architecture Readiness</w:t>
            </w:r>
          </w:p>
        </w:tc>
        <w:tc>
          <w:tcPr>
            <w:tcW w:type="dxa" w:w="6200"/>
            <w:tcMar>
              <w:top w:type="dxa" w:w="60"/>
              <w:left w:type="dxa" w:w="100"/>
              <w:bottom w:type="dxa" w:w="60"/>
              <w:right w:type="dxa" w:w="100"/>
            </w:tcMar>
            <w:vAlign w:val="center"/>
          </w:tcPr>
          <w:p>
            <w:pPr>
              <w:jc w:val="left"/>
            </w:pPr>
            <w:r>
              <w:rPr>
                <w:b w:val="false"/>
                <w:bCs w:val="false"/>
                <w:color w:val="000000"/>
                <w:sz w:val="19"/>
                <w:szCs w:val="19"/>
              </w:rPr>
              <w:t xml:space="preserve">L1–L3 met; established and fully dispositioned</w:t>
            </w:r>
          </w:p>
        </w:tc>
      </w:tr>
      <w:tr>
        <w:tc>
          <w:tcPr>
            <w:tcW w:type="dxa" w:w="3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Engineering Readiness</w:t>
            </w:r>
          </w:p>
        </w:tc>
        <w:tc>
          <w:tcPr>
            <w:tcW w:type="dxa" w:w="6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Design and implementation blueprint complete for all six WPs; zero executed</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Repository Readiness</w:t>
            </w:r>
          </w:p>
        </w:tc>
        <w:tc>
          <w:tcPr>
            <w:tcW w:type="dxa" w:w="6200"/>
            <w:tcMar>
              <w:top w:type="dxa" w:w="60"/>
              <w:left w:type="dxa" w:w="100"/>
              <w:bottom w:type="dxa" w:w="60"/>
              <w:right w:type="dxa" w:w="100"/>
            </w:tcMar>
            <w:vAlign w:val="center"/>
          </w:tcPr>
          <w:p>
            <w:pPr>
              <w:jc w:val="left"/>
            </w:pPr>
            <w:r>
              <w:rPr>
                <w:b w:val="false"/>
                <w:bCs w:val="false"/>
                <w:color w:val="000000"/>
                <w:sz w:val="19"/>
                <w:szCs w:val="19"/>
              </w:rPr>
              <w:t xml:space="preserve">Sound and evidenced for Documentation, Database, and Test; Not Evidenced for Backend, Frontend, Infrastructure; Reserved for Integration and AI</w:t>
            </w:r>
          </w:p>
        </w:tc>
      </w:tr>
      <w:tr>
        <w:tc>
          <w:tcPr>
            <w:tcW w:type="dxa" w:w="3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Governance Readiness</w:t>
            </w:r>
          </w:p>
        </w:tc>
        <w:tc>
          <w:tcPr>
            <w:tcW w:type="dxa" w:w="6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Complete — zero undispositioned gaps</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Verification Readiness</w:t>
            </w:r>
          </w:p>
        </w:tc>
        <w:tc>
          <w:tcPr>
            <w:tcW w:type="dxa" w:w="6200"/>
            <w:tcMar>
              <w:top w:type="dxa" w:w="60"/>
              <w:left w:type="dxa" w:w="100"/>
              <w:bottom w:type="dxa" w:w="60"/>
              <w:right w:type="dxa" w:w="100"/>
            </w:tcMar>
            <w:vAlign w:val="center"/>
          </w:tcPr>
          <w:p>
            <w:pPr>
              <w:jc w:val="left"/>
            </w:pPr>
            <w:r>
              <w:rPr>
                <w:b w:val="false"/>
                <w:bCs w:val="false"/>
                <w:color w:val="000000"/>
                <w:sz w:val="19"/>
                <w:szCs w:val="19"/>
              </w:rPr>
              <w:t xml:space="preserve">Startable; two of six WPs execute-ready today</w:t>
            </w:r>
          </w:p>
        </w:tc>
      </w:tr>
      <w:tr>
        <w:tc>
          <w:tcPr>
            <w:tcW w:type="dxa" w:w="3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Risk Readiness</w:t>
            </w:r>
          </w:p>
        </w:tc>
        <w:tc>
          <w:tcPr>
            <w:tcW w:type="dxa" w:w="6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READY WITH CONDITIONS — every risk carries a mitigation WP or monitoring cadence</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Acceptance Readiness</w:t>
            </w:r>
          </w:p>
        </w:tc>
        <w:tc>
          <w:tcPr>
            <w:tcW w:type="dxa" w:w="6200"/>
            <w:tcMar>
              <w:top w:type="dxa" w:w="60"/>
              <w:left w:type="dxa" w:w="100"/>
              <w:bottom w:type="dxa" w:w="60"/>
              <w:right w:type="dxa" w:w="100"/>
            </w:tcMar>
            <w:vAlign w:val="center"/>
          </w:tcPr>
          <w:p>
            <w:pPr>
              <w:jc w:val="left"/>
            </w:pPr>
            <w:r>
              <w:rPr>
                <w:b w:val="false"/>
                <w:bCs w:val="false"/>
                <w:color w:val="000000"/>
                <w:sz w:val="19"/>
                <w:szCs w:val="19"/>
              </w:rPr>
              <w:t xml:space="preserve">READY WITH CONDITIONS — Wave 1 acceptance-ready immediately</w:t>
            </w:r>
          </w:p>
        </w:tc>
      </w:tr>
      <w:tr>
        <w:tc>
          <w:tcPr>
            <w:tcW w:type="dxa" w:w="3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Certification Readiness</w:t>
            </w:r>
          </w:p>
        </w:tc>
        <w:tc>
          <w:tcPr>
            <w:tcW w:type="dxa" w:w="6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L1–L3 MET; L4–L5 NOT MET</w:t>
            </w:r>
          </w:p>
        </w:tc>
      </w:tr>
    </w:tbl>
    <w:p>
      <w:pPr>
        <w:spacing w:after="160"/>
        <w:jc w:val="left"/>
      </w:pPr>
      <w:r>
        <w:rPr>
          <w:b w:val="false"/>
          <w:bCs w:val="false"/>
          <w:i w:val="false"/>
          <w:iCs w:val="false"/>
          <w:sz w:val="21"/>
          <w:szCs w:val="21"/>
        </w:rPr>
        <w:t xml:space="preserve"/>
      </w:r>
    </w:p>
    <w:p>
      <w:pPr>
        <w:spacing w:after="160"/>
        <w:jc w:val="left"/>
      </w:pPr>
      <w:r>
        <w:rPr>
          <w:b/>
          <w:bCs/>
          <w:sz w:val="21"/>
          <w:szCs w:val="21"/>
        </w:rPr>
        <w:t xml:space="preserve">Overall Enterprise Engineering Status: </w:t>
      </w:r>
      <w:r>
        <w:rPr>
          <w:sz w:val="21"/>
          <w:szCs w:val="21"/>
        </w:rPr>
        <w:t xml:space="preserve">READY WITH CONDITIONS.</w:t>
      </w:r>
    </w:p>
    <w:p>
      <w:pPr>
        <w:spacing w:after="160"/>
        <w:jc w:val="left"/>
      </w:pPr>
      <w:r>
        <w:rPr>
          <w:b/>
          <w:bCs/>
          <w:sz w:val="21"/>
          <w:szCs w:val="21"/>
        </w:rPr>
        <w:t xml:space="preserve">Overall Enterprise Execution Posture: </w:t>
      </w:r>
      <w:r>
        <w:rPr>
          <w:sz w:val="21"/>
          <w:szCs w:val="21"/>
        </w:rPr>
        <w:t xml:space="preserve">Wave 1 (WP-0002, WP-0006) is immediately executable with zero blocking dependency; Wave 2 (WP-0001, WP-0004, WP-0005) is ready to follow; Wave 3 (WP-0003) is monitoring-ready, not execution-ready, pending its trigger.</w:t>
      </w:r>
    </w:p>
    <w:p>
      <w:pPr>
        <w:spacing w:after="160"/>
        <w:jc w:val="left"/>
      </w:pPr>
      <w:r>
        <w:rPr>
          <w:b/>
          <w:bCs/>
          <w:sz w:val="21"/>
          <w:szCs w:val="21"/>
        </w:rPr>
        <w:t xml:space="preserve">Overall Executive Assessment: </w:t>
      </w:r>
      <w:r>
        <w:rPr>
          <w:sz w:val="21"/>
          <w:szCs w:val="21"/>
        </w:rPr>
        <w:t xml:space="preserve">Every readiness dimension across architecture, engineering, repository, governance, verification, risk, and acceptance converges on a single outstanding condition — named, accountable ownership (KPI-08) has not yet been assigned. This finding is unchanged from Phase A.3 §15 through Section 9, and is reported here, not re-derived.</w:t>
      </w:r>
    </w:p>
    <w:p>
      <w:pPr>
        <w:spacing w:after="160"/>
        <w:jc w:val="left"/>
      </w:pPr>
      <w:r>
        <w:rPr>
          <w:b/>
          <w:bCs/>
          <w:sz w:val="21"/>
          <w:szCs w:val="21"/>
        </w:rPr>
        <w:t xml:space="preserve">Overall Enterprise Realization Readiness: </w:t>
      </w:r>
      <w:r>
        <w:rPr>
          <w:sz w:val="21"/>
          <w:szCs w:val="21"/>
        </w:rPr>
        <w:t xml:space="preserve">Defined but not yet Realized. The engineering execution governance framework (Sections 1–9) is complete for all six approved Work Packages; execution itself has not begun.</w:t>
      </w:r>
    </w:p>
    <w:p>
      <w:pPr>
        <w:pBdr>
          <w:bottom w:val="single" w:color="AAAAAA" w:sz="6" w:space="1"/>
        </w:pBdr>
        <w:spacing w:after="240"/>
      </w:pPr>
    </w:p>
    <w:p>
      <w:pPr>
        <w:spacing w:after="200"/>
      </w:pPr>
      <w:r>
        <w:rPr>
          <w:i/>
          <w:iCs/>
          <w:color w:val="555555"/>
          <w:sz w:val="20"/>
          <w:szCs w:val="20"/>
        </w:rPr>
        <w:t xml:space="preserve">End of Section 10.2. This document introduces no new engineering work, governance decision, or readiness score beyond what ERP-01 Phase A.1 through Phase C Section 9 already established.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b/>
      <w:bCs/>
      <w:color w:val="1F3864"/>
      <w:sz w:val="27"/>
      <w:szCs w:val="27"/>
    </w:rPr>
  </w:style>
  <w:style w:type="paragraph" w:styleId="Heading2">
    <w:name w:val="Heading 2"/>
    <w:basedOn w:val="Normal"/>
    <w:next w:val="Normal"/>
    <w:qFormat/>
    <w:pPr>
      <w:spacing w:after="120" w:before="260"/>
    </w:pPr>
    <w:rPr>
      <w:b/>
      <w:bCs/>
      <w:color w:val="2E5395"/>
      <w:sz w:val="24"/>
      <w:szCs w:val="24"/>
    </w:rPr>
  </w:style>
  <w:style w:type="paragraph" w:styleId="Heading3">
    <w:name w:val="Heading 3"/>
    <w:basedOn w:val="Normal"/>
    <w:next w:val="Normal"/>
    <w:qFormat/>
    <w:pPr>
      <w:spacing w:after="100" w:before="200"/>
    </w:pPr>
    <w:rPr>
      <w:b/>
      <w:b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2026-07-09T19:02:27.978Z</dcterms:created>
  <dcterms:modified xsi:type="dcterms:W3CDTF">2026-07-09T19:02:27.993Z</dcterms:modified>
</cp:coreProperties>
</file>

<file path=docProps/custom.xml><?xml version="1.0" encoding="utf-8"?>
<Properties xmlns="http://schemas.openxmlformats.org/officeDocument/2006/custom-properties" xmlns:vt="http://schemas.openxmlformats.org/officeDocument/2006/docPropsVTypes"/>
</file>