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22"/>
          <w:szCs w:val="22"/>
        </w:rPr>
        <w:t xml:space="preserve">ERP-01 — Phase C</w:t>
      </w:r>
    </w:p>
    <w:p>
      <w:pPr>
        <w:spacing w:after="100"/>
      </w:pPr>
      <w:r>
        <w:rPr>
          <w:b/>
          <w:bCs/>
          <w:color w:val="1F3864"/>
          <w:sz w:val="34"/>
          <w:szCs w:val="34"/>
        </w:rPr>
        <w:t xml:space="preserve">Section 10.3 — Executive Work Package Dashboard</w:t>
      </w:r>
    </w:p>
    <w:p>
      <w:pPr>
        <w:spacing w:after="60"/>
      </w:pPr>
      <w:r>
        <w:rPr>
          <w:i/>
          <w:iCs/>
          <w:sz w:val="24"/>
          <w:szCs w:val="24"/>
        </w:rPr>
        <w:t xml:space="preserve">HireRise Career Intelligence Platform</w:t>
      </w:r>
    </w:p>
    <w:p>
      <w:pPr>
        <w:spacing w:after="60"/>
      </w:pPr>
      <w:r>
        <w:rPr>
          <w:i/>
          <w:iCs/>
          <w:color w:val="555555"/>
          <w:sz w:val="20"/>
          <w:szCs w:val="20"/>
        </w:rPr>
        <w:t xml:space="preserve">Enterprise Work Package Architecture &amp; Execution Planning</w:t>
      </w:r>
    </w:p>
    <w:p>
      <w:pPr>
        <w:spacing w:after="60"/>
      </w:pPr>
      <w:r>
        <w:rPr>
          <w:color w:val="555555"/>
          <w:sz w:val="20"/>
          <w:szCs w:val="20"/>
        </w:rPr>
        <w:t xml:space="preserve">Version 1.0  |  Status: DRAFT FOR REVIEW</w:t>
      </w:r>
    </w:p>
    <w:p>
      <w:pPr>
        <w:spacing w:after="300"/>
      </w:pPr>
      <w:r>
        <w:rPr>
          <w:color w:val="555555"/>
          <w:sz w:val="20"/>
          <w:szCs w:val="20"/>
        </w:rPr>
        <w:t xml:space="preserve">Third Dashboard Section of ERP-01 Phase C, Section 10</w:t>
      </w:r>
    </w:p>
    <w:p>
      <w:pPr>
        <w:pBdr>
          <w:bottom w:val="single" w:color="AAAAAA" w:sz="6" w:space="1"/>
        </w:pBdr>
        <w:spacing w:after="240"/>
      </w:pPr>
    </w:p>
    <w:p>
      <w:pPr>
        <w:pStyle w:val="Heading1"/>
        <w:spacing w:after="160" w:before="360"/>
      </w:pPr>
      <w:r>
        <w:t xml:space="preserve">10.3.1 — Executive Work Package Overview</w:t>
      </w:r>
    </w:p>
    <w:p>
      <w:pPr>
        <w:spacing w:after="160"/>
        <w:jc w:val="left"/>
      </w:pPr>
      <w:r>
        <w:rPr>
          <w:b/>
          <w:bCs/>
          <w:i w:val="false"/>
          <w:iCs w:val="false"/>
          <w:sz w:val="21"/>
          <w:szCs w:val="21"/>
        </w:rPr>
        <w:t xml:space="preserve">Purpose</w:t>
      </w:r>
    </w:p>
    <w:p>
      <w:pPr>
        <w:spacing w:after="160"/>
        <w:jc w:val="left"/>
      </w:pPr>
      <w:r>
        <w:rPr>
          <w:b w:val="false"/>
          <w:bCs w:val="false"/>
          <w:i w:val="false"/>
          <w:iCs w:val="false"/>
          <w:sz w:val="21"/>
          <w:szCs w:val="21"/>
        </w:rPr>
        <w:t xml:space="preserve">This section provides the executive portfolio view of every approved Work Package (WP-0001–WP-0006). Where Section 10.2 summarized overall enterprise engineering status across architecture, repository, governance, verification, risk, acceptance, and certification dimensions, this section drills down to the individual Work Package: its governance identity, engineering profile, dependencies, and readiness. It introduces no new Work Package, Architecture Requirement, Enterprise Governance Decision, Enterprise Resolution, Variance, KPI, or Certification Level.</w:t>
      </w:r>
    </w:p>
    <w:p>
      <w:pPr>
        <w:spacing w:after="160"/>
        <w:jc w:val="left"/>
      </w:pPr>
      <w:r>
        <w:rPr>
          <w:b/>
          <w:bCs/>
          <w:i w:val="false"/>
          <w:iCs w:val="false"/>
          <w:sz w:val="21"/>
          <w:szCs w:val="21"/>
        </w:rPr>
        <w:t xml:space="preserve">Relationship with Section 10.2</w:t>
      </w:r>
    </w:p>
    <w:p>
      <w:pPr>
        <w:spacing w:after="160"/>
        <w:jc w:val="left"/>
      </w:pPr>
      <w:r>
        <w:rPr>
          <w:b w:val="false"/>
          <w:bCs w:val="false"/>
          <w:i w:val="false"/>
          <w:iCs w:val="false"/>
          <w:sz w:val="21"/>
          <w:szCs w:val="21"/>
        </w:rPr>
        <w:t xml:space="preserve">Section 10.2 established that the enterprise realization posture is READY WITH CONDITIONS, with the single recurring condition across every dimension being unassigned ownership (KPI-08 = 0%, pending WP-0006). This section does not restate that consolidated finding; it reports the same condition at the Work Package level, showing exactly how it manifests for each of the six approved Work Packages individually.</w:t>
      </w:r>
    </w:p>
    <w:p>
      <w:pPr>
        <w:spacing w:after="160"/>
        <w:jc w:val="left"/>
      </w:pPr>
      <w:r>
        <w:rPr>
          <w:b/>
          <w:bCs/>
          <w:i w:val="false"/>
          <w:iCs w:val="false"/>
          <w:sz w:val="21"/>
          <w:szCs w:val="21"/>
        </w:rPr>
        <w:t xml:space="preserve">Executive Reporting Philosophy</w:t>
      </w:r>
    </w:p>
    <w:p>
      <w:pPr>
        <w:spacing w:after="160"/>
        <w:jc w:val="left"/>
      </w:pPr>
      <w:r>
        <w:rPr>
          <w:b w:val="false"/>
          <w:bCs w:val="false"/>
          <w:i w:val="false"/>
          <w:iCs w:val="false"/>
          <w:sz w:val="21"/>
          <w:szCs w:val="21"/>
        </w:rPr>
        <w:t xml:space="preserve">Each Work Package profile in Section 10.3.3 consolidates evidence already established in Section 2 (Engineering Catalog), Section 4 (Engineering Design), Section 5 (Implementation Blueprint), Section 6 (Architecture Conformance), Section 7 (Testing &amp; Verification), Section 8 (Risk-Control Matrix), and Section 9 (Acceptance Criteria). No field is re-derived or reinterpreted; each is reused, and cited back to its source of record.</w:t>
      </w:r>
    </w:p>
    <w:p>
      <w:pPr>
        <w:spacing w:after="160"/>
        <w:jc w:val="left"/>
      </w:pPr>
      <w:r>
        <w:rPr>
          <w:b/>
          <w:bCs/>
          <w:i w:val="false"/>
          <w:iCs w:val="false"/>
          <w:sz w:val="21"/>
          <w:szCs w:val="21"/>
        </w:rPr>
        <w:t xml:space="preserve">Work Package Governance</w:t>
      </w:r>
    </w:p>
    <w:p>
      <w:pPr>
        <w:spacing w:after="160"/>
        <w:jc w:val="left"/>
      </w:pPr>
      <w:r>
        <w:rPr>
          <w:b w:val="false"/>
          <w:bCs w:val="false"/>
          <w:i w:val="false"/>
          <w:iCs w:val="false"/>
          <w:sz w:val="21"/>
          <w:szCs w:val="21"/>
        </w:rPr>
        <w:t xml:space="preserve">All six Work Packages trace to Architecture Requirements and Enterprise Governance Decisions dispositioned in Phase A.2 and Phase A.3. Every Work Package's named Responsible Owner role (Enterprise Architecture Owner, Security/Platform Engineer, Platform Engineering Lead, Data Governance Owner, or Executive Sponsor/Governance Board) is defined per Phase B §9, but no individual is currently assigned to any of the five roles — this is the single cross-cutting governance condition WP-0006 exists to resolve (KPI-08 = 0%).</w:t>
      </w:r>
    </w:p>
    <w:p>
      <w:pPr>
        <w:spacing w:after="160"/>
        <w:jc w:val="left"/>
      </w:pPr>
      <w:r>
        <w:rPr>
          <w:b/>
          <w:bCs/>
          <w:i w:val="false"/>
          <w:iCs w:val="false"/>
          <w:sz w:val="21"/>
          <w:szCs w:val="21"/>
        </w:rPr>
        <w:t xml:space="preserve">Portfolio Visibility</w:t>
      </w:r>
    </w:p>
    <w:p>
      <w:pPr>
        <w:spacing w:after="160"/>
        <w:jc w:val="left"/>
      </w:pPr>
      <w:r>
        <w:rPr>
          <w:b w:val="false"/>
          <w:bCs w:val="false"/>
          <w:i w:val="false"/>
          <w:iCs w:val="false"/>
          <w:sz w:val="21"/>
          <w:szCs w:val="21"/>
        </w:rPr>
        <w:t xml:space="preserve">The six Work Packages sit within three currently-active portfolios: Portfolio 1 (Enterprise Data Platform — WP-0001, WP-0003, WP-0004, WP-0005), Portfolio 2 (Enterprise Security — WP-0002), and Portfolio 8 (Governance &amp; Quality — WP-0006). Portfolios 3–7 remain reserved and carry no Work Package.</w:t>
      </w:r>
    </w:p>
    <w:p>
      <w:pPr>
        <w:spacing w:after="200"/>
      </w:pPr>
      <w:r>
        <w:rPr>
          <w:i/>
          <w:iCs/>
          <w:color w:val="555555"/>
          <w:sz w:val="20"/>
          <w:szCs w:val="20"/>
        </w:rPr>
        <w:t xml:space="preserve">Evidence-First Reporting Principle: every field in every profile below is reused, unchanged, from the cited approved repository. Where evidence is unavailable, this document states "Not Evidenced in Current Baseline." Where content depends on a future realization phase, this document states "Reserved for Future Realization Phases."</w:t>
      </w:r>
    </w:p>
    <w:p>
      <w:pPr>
        <w:pStyle w:val="Heading1"/>
        <w:spacing w:after="160" w:before="360"/>
      </w:pPr>
      <w:r>
        <w:t xml:space="preserve">10.3.2 — Executive Work Package Summary</w:t>
      </w:r>
    </w:p>
    <w:p>
      <w:pPr>
        <w:spacing w:after="160"/>
        <w:jc w:val="left"/>
      </w:pPr>
      <w:r>
        <w:rPr>
          <w:b w:val="false"/>
          <w:bCs w:val="false"/>
          <w:i w:val="false"/>
          <w:iCs w:val="false"/>
          <w:sz w:val="21"/>
          <w:szCs w:val="21"/>
        </w:rPr>
        <w:t xml:space="preserve">All statuses below are reused verbatim from Section 2 (Engineering Catalog), Section 6 (Conformance), Section 8 (Risk), and Section 9 (Acceptance). No status is newly assigned.</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900"/>
        <w:gridCol w:w="700"/>
        <w:gridCol w:w="1900"/>
        <w:gridCol w:w="2000"/>
        <w:gridCol w:w="2600"/>
      </w:tblGrid>
      <w:tr>
        <w:trPr>
          <w:tblHeader/>
        </w:trPr>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WP</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Title</w:t>
            </w:r>
          </w:p>
        </w:tc>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Portfolio</w:t>
            </w:r>
          </w:p>
        </w:tc>
        <w:tc>
          <w:tcPr>
            <w:tcW w:type="dxa" w:w="700"/>
            <w:shd w:fill="1F3864" w:val="clear"/>
            <w:tcMar>
              <w:top w:type="dxa" w:w="60"/>
              <w:left w:type="dxa" w:w="100"/>
              <w:bottom w:type="dxa" w:w="60"/>
              <w:right w:type="dxa" w:w="100"/>
            </w:tcMar>
            <w:vAlign w:val="center"/>
          </w:tcPr>
          <w:p>
            <w:pPr>
              <w:jc w:val="left"/>
            </w:pPr>
            <w:r>
              <w:rPr>
                <w:b/>
                <w:bCs/>
                <w:color w:val="FFFFFF"/>
                <w:sz w:val="19"/>
                <w:szCs w:val="19"/>
              </w:rPr>
              <w:t xml:space="preserve">Wave</w:t>
            </w:r>
          </w:p>
        </w:tc>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Current Status</w:t>
            </w:r>
          </w:p>
        </w:tc>
        <w:tc>
          <w:tcPr>
            <w:tcW w:type="dxa" w:w="2000"/>
            <w:shd w:fill="1F3864" w:val="clear"/>
            <w:tcMar>
              <w:top w:type="dxa" w:w="60"/>
              <w:left w:type="dxa" w:w="100"/>
              <w:bottom w:type="dxa" w:w="60"/>
              <w:right w:type="dxa" w:w="100"/>
            </w:tcMar>
            <w:vAlign w:val="center"/>
          </w:tcPr>
          <w:p>
            <w:pPr>
              <w:jc w:val="left"/>
            </w:pPr>
            <w:r>
              <w:rPr>
                <w:b/>
                <w:bCs/>
                <w:color w:val="FFFFFF"/>
                <w:sz w:val="19"/>
                <w:szCs w:val="19"/>
              </w:rPr>
              <w:t xml:space="preserve">Overall Executive Readiness</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Executive Assessment</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WP-0001</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Revise EEP-01 Phase A architecture document to canonical live-schema baseline</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1 — Data Platform</w:t>
            </w:r>
          </w:p>
        </w:tc>
        <w:tc>
          <w:tcPr>
            <w:tcW w:type="dxa" w:w="700"/>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Not started</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Immediately startable</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Resolves the single top-rated confirmed risk (Phase A.1 §13); no blocking dependency</w:t>
            </w:r>
          </w:p>
        </w:tc>
      </w:tr>
      <w:tr>
        <w:tc>
          <w:tcPr>
            <w:tcW w:type="dxa" w:w="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WP-0002</w:t>
            </w:r>
          </w:p>
        </w:tc>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Verify RLS coverage on student-owned tables</w:t>
            </w:r>
          </w:p>
        </w:tc>
        <w:tc>
          <w:tcPr>
            <w:tcW w:type="dxa" w:w="1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2 — Security</w:t>
            </w:r>
          </w:p>
        </w:tc>
        <w:tc>
          <w:tcPr>
            <w:tcW w:type="dxa" w:w="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1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Not started</w:t>
            </w:r>
          </w:p>
        </w:tc>
        <w:tc>
          <w:tcPr>
            <w:tcW w:type="dxa" w:w="2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Immediately startable</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Closes the one Critical-until-verified security gap; highest-priority Wave 1 item</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WP-0003</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Partitioning assessment and plan for high-growth tables</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1 — Data Platform</w:t>
            </w:r>
          </w:p>
        </w:tc>
        <w:tc>
          <w:tcPr>
            <w:tcW w:type="dxa" w:w="700"/>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Not started — trigger not fired</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Blocked — trigger-gated</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Correctly deferred, monitored quarterly; not neglected</w:t>
            </w:r>
          </w:p>
        </w:tc>
      </w:tr>
      <w:tr>
        <w:tc>
          <w:tcPr>
            <w:tcW w:type="dxa" w:w="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WP-0004</w:t>
            </w:r>
          </w:p>
        </w:tc>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Document accepted direct-FK taxonomy pattern; per-release check</w:t>
            </w:r>
          </w:p>
        </w:tc>
        <w:tc>
          <w:tcPr>
            <w:tcW w:type="dxa" w:w="1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1 — Data Platform</w:t>
            </w:r>
          </w:p>
        </w:tc>
        <w:tc>
          <w:tcPr>
            <w:tcW w:type="dxa" w:w="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1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Not started</w:t>
            </w:r>
          </w:p>
        </w:tc>
        <w:tc>
          <w:tcPr>
            <w:tcW w:type="dxa" w:w="2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Startable now</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Benefits from WP-0001 naming clarity but not blocked by it</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WP-0005</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Column-level access review for free-text/JSON payload columns</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1 — Data Platform</w:t>
            </w:r>
          </w:p>
        </w:tc>
        <w:tc>
          <w:tcPr>
            <w:tcW w:type="dxa" w:w="700"/>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Not started</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Startable now</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Benefits from WP-0002 completion but not strictly blocked by it</w:t>
            </w:r>
          </w:p>
        </w:tc>
      </w:tr>
      <w:tr>
        <w:tc>
          <w:tcPr>
            <w:tcW w:type="dxa" w:w="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WP-0006</w:t>
            </w:r>
          </w:p>
        </w:tc>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Assign named, accountable owners to every unassigned role</w:t>
            </w:r>
          </w:p>
        </w:tc>
        <w:tc>
          <w:tcPr>
            <w:tcW w:type="dxa" w:w="1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8 — Governance &amp; Quality</w:t>
            </w:r>
          </w:p>
        </w:tc>
        <w:tc>
          <w:tcPr>
            <w:tcW w:type="dxa" w:w="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1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Not started — KPI-08 = 0%</w:t>
            </w:r>
          </w:p>
        </w:tc>
        <w:tc>
          <w:tcPr>
            <w:tcW w:type="dxa" w:w="2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Immediately startable, zero blocking dependency</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The single precondition recurring across every other Work Package's full execution</w:t>
            </w:r>
          </w:p>
        </w:tc>
      </w:tr>
    </w:tbl>
    <w:p>
      <w:pPr>
        <w:pStyle w:val="Heading1"/>
        <w:spacing w:after="160" w:before="360"/>
      </w:pPr>
      <w:r>
        <w:t xml:space="preserve">10.3.3 — Executive Work Package Profiles</w:t>
      </w:r>
    </w:p>
    <w:p>
      <w:pPr>
        <w:spacing w:after="160"/>
        <w:jc w:val="left"/>
      </w:pPr>
      <w:r>
        <w:rPr>
          <w:b w:val="false"/>
          <w:bCs w:val="false"/>
          <w:i w:val="false"/>
          <w:iCs w:val="false"/>
          <w:sz w:val="21"/>
          <w:szCs w:val="21"/>
        </w:rPr>
        <w:t xml:space="preserve">Individual executive profile for each of the six approved Work Packages, consolidating Sections 2, 4–9 without re-derivation.</w:t>
      </w:r>
    </w:p>
    <w:p>
      <w:pPr>
        <w:pStyle w:val="Heading2"/>
        <w:spacing w:after="120" w:before="280"/>
      </w:pPr>
      <w:r>
        <w:t xml:space="preserve">WP-0001 — Revise EEP-01 Phase A Architecture Document to the Canonical Live-Schema Baseline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Work Package ID</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WP-0001</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Official Title</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Execute EGD-0002 — author the revised EEP-01 Phase A document describing the live schema as canonical</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Business Objective</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Resolve the single top-rated risk in the enterprise baseline — documentation describing a schema that was never built (Phase A.3 §14; Phase A.1 §13).</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Architecture Requirement(s)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AR-0002 (Naming Governance) — 26 canonically-named tables originally mandatory; currently Non-conformant, resolved by this Work Package.</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Enterprise Governance Decision(s)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EGD-0002 — Supersede canonical naming; revise EEP-01 Phase A to describe the live schema (Accepted; execution = WP-0001).</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Related Enterprise Resolution(s)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ER-0002 — Superseded, pending execution; target release: next ERP cycle.</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Related Variance(s)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VAR-02 — Structural divergence from Phase A's entity design; approved, treated as a positive variance; one-time review on completion.</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Assigned Portfolio</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1 — Enterprise Data Platform (Phase B §3).</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Assigned Wave</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Wave 2 — Platform Stabilization (Phase B §5).</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Repository Impact</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Documentation Repository only — the EEP-01 Phase A document (Section 3). No database or code repository impact.</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Engineering Design Status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Complete per Section 4 — not yet executed.</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Implementation Blueprint Status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Complete per Section 5 — not yet executed.</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Architecture Conformance Status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Non-conformant, advancing to Certification Level L4 upon publication and a clean table-inventory diff (Section 6 §"WP-0001").</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Verification Readiness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Method fully defined — table-inventory diff (manual) against six live table groups; not yet executed (Section 7 §"WP-0001").</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Risk Status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Overall Risk Posture: technically Low (Risk Classification Low, Phase B §4); Residual Risk: none identified beyond the interim period before publication (Section 8).</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Acceptance Readiness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Not yet accepted. Acceptance intent: accept once the revised document exists and shows zero discrepancy against the live schema (Section 9 §"WP-0001").</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Certification Readiness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L4 pending WP-0001 completion (Phase A.3 §Certification Framework).</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KPI Dependencies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KPI-01 (Architecture Conformance %), KPI-02 (Documentation Accuracy %, baseline 30/100 → target 100), KPI-07 (Governance Decision Traceability %).</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Work Package Dependencies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None strictly blocking. WP-0006 (owner assignment) recommended first, not a hard precondition (Phase A.3 §8). Successor benefit (non-blocking) to WP-0004 and WP-0005.</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Executive Readiness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Immediately startable.</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Executive Commentary</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The mandatory precursor to Certification Level L4 for AR-0002 (Phase A.3 §11); success measure is a zero-discrepancy table-inventory diff and KPI-02 = 100.</w:t>
            </w:r>
          </w:p>
        </w:tc>
      </w:tr>
    </w:tbl>
    <w:p>
      <w:pPr>
        <w:pStyle w:val="Heading2"/>
        <w:spacing w:after="120" w:before="280"/>
      </w:pPr>
      <w:r>
        <w:t xml:space="preserve">WP-0002 — Verify Row-Level Security Coverage on Student-Owned Tables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Work Package ID</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WP-0002</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Official Title</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Execute EGD-0007 — verify RLS coverage on student_activities, student_cognitive_responses, student_signal_vectors, and related tables</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Business Objective</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Close the one confirmed, Critical-until-verified security gap in the enterprise baseline (Phase A.1 §8; Phase A.2 §8).</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Architecture Requirement(s)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AR-0007 (Security) — uniform RLS ownership-check coverage across all student-owned tables; Partially conformant, partially unverified.</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Enterprise Governance Decision(s)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EGD-0007 — Realize, verify RLS coverage immediately (Accepted, in progress = WP-0002).</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Related Enterprise Resolution(s)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ER-0007 — Planned → Implemented on completion; target release: Immediate.</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Related Variance(s)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None — AR-0007 carries no approved variance; the one item treated as an open unknown rather than a governed variance (Phase A.3 §1.7).</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Assigned Portfolio</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2 — Enterprise Security (Phase B §3).</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Assigned Wave</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Wave 1 — Critical Foundation (Phase B §5).</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Repository Impact</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Database and Test repositories carry approved impact; Documentation repository carries the published verification record (Section 3).</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Engineering Design Status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Complete per Section 4 — not yet executed.</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Implementation Blueprint Status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Complete per Section 5 — not yet executed.</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Architecture Conformance Status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Partially conformant, partially unverified, advancing to Certification Level L4 upon complete written confirmation (Section 6 §"WP-0002").</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Verification Readiness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Method fully specified and immediately executable — query-based verification with written evidence, the standing template for all future Realize-class verification (Section 7 §"WP-0002").</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Risk Status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Overall Risk Posture: High if gap confirmed; Critical-until-verified (Phase A.2 §8; Phase B §4, §10). The single top-rated security risk alongside AR-0002.</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Acceptance Readiness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Not yet accepted. RLS coverage confirmed today only on 2 of 4 named table groups; acceptance is deferred, not conditionally granted, until corrective policy (if any) is verified (Section 9 §"WP-0002").</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Certification Readiness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L4 pending WP-0002 completion with written confirmation.</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KPI Dependencies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KPI-06 (RLS Coverage %, confirmed on 2 tables → target 100%), KPI-09 (Technical Debt by Class — closes the 1 Critical item on verification).</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Work Package Dependencies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None — startable immediately with zero blocking dependency (Phase B §7). WP-0005 benefits from this Work Package's completion (same tables, same reviewer), non-blocking.</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Executive Readiness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Immediately startable — highest-priority Wave 1 item alongside WP-0006.</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Executive Commentary</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A confirmed coverage gap triggers immediate, pre-approved contingency-only corrective policy action (Phase B §10) without a new EGD.</w:t>
            </w:r>
          </w:p>
        </w:tc>
      </w:tr>
    </w:tbl>
    <w:p>
      <w:pPr>
        <w:pStyle w:val="Heading2"/>
        <w:spacing w:after="120" w:before="280"/>
      </w:pPr>
      <w:r>
        <w:t xml:space="preserve">WP-0003 — Partitioning Assessment and Plan for High-Growth Tables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Work Package ID</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WP-0003</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Official Title</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Execute EGD-0004 (once triggered) — partitioning assessment and plan for high-growth tables</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Business Objective</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Preserve a correctly-deferred item as monitored, not neglected, per AP-008.</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Architecture Requirement(s)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AR-0004 (Performance/Scalability) — native range partitioning on 4 high-growth historical/derived tables; Non-conformant, deferred.</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Enterprise Governance Decision(s)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EGD-0004 — Defer partitioning (Deferred; owner: Platform Engineering Lead, unassigned pending WP-0006).</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Related Enterprise Resolution(s)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ER-0004 — Deferred; team has demonstrated correct partitioning capability elsewhere (chi_scores) once volume justified it; target release: Trigger-based.</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Related Variance(s)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VAR-04 — Absence of partitioning on 4 designated tables; approved, deferred; quarterly review.</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Assigned Portfolio</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1 — Enterprise Data Platform (Phase B §3).</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Assigned Wave</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Wave 3 — Trigger-Gated Assessment (Phase B §5).</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Repository Impact</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Database migration repository, conditional on the trigger firing; Documentation repository for the assessment report (Section 3).</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Engineering Design Status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Complete per Section 4 (assessment-method detail) — not yet executed; substantive partitioning activity is trigger-gated.</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Implementation Blueprint Status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Complete per Section 5 — trigger-gated, not calendar-gated.</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Architecture Conformance Status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Non-conformant, deferred; Certification Level L3 (standing), with L4 conditional on the trigger firing and migration execution (Section 6 §"Certification Level Summary").</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Verification Readiness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Quarterly row-count/latency check against the EGD-0004 trigger thresholds (10M rows, latency degradation, or 10-downstream-system scale) — dormant until the trigger fires (Section 7).</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Risk Status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Overall Risk Posture: Medium, growing over time (Phase B §4); Residual Risk: Medium, growing over time, until the trigger fires (Section 8).</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Acceptance Readiness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Not accepted; monitoring-ready, not acceptance-ready, pending trigger. Blocked on external row-count/growth data not yet gathered (Phase A.3 §1.8; Section 9).</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Certification Readiness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L3 (standing); L4 only if and when the migration is executed.</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KPI Dependencies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KPI-05 (Deferred Decisions, count), KPI-09 (Technical Debt by Class — Tactical class).</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Work Package Dependencies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None directly, but current row-count/growth data (an external, not-yet-gathered dependency) must exist before assessment can begin (Phase B §7). No successor Work Packages.</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Executive Readiness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Blocked — trigger-gated on external data not yet gathered.</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Executive Commentary</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The only Work Package in the approved set that is not calendar-gated; its risk classification grows over time until the EGD-0004 trigger fires and the assessment can proceed.</w:t>
            </w:r>
          </w:p>
        </w:tc>
      </w:tr>
    </w:tbl>
    <w:p>
      <w:pPr>
        <w:pStyle w:val="Heading2"/>
        <w:spacing w:after="120" w:before="280"/>
      </w:pPr>
      <w:r>
        <w:t xml:space="preserve">WP-0004 — Document the Accepted Direct-FK Taxonomy Pattern and Establish a Per-Release Denormalization Check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Work Package ID</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WP-0004</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Official Title</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Execute EGD-0003 — document the accepted direct-FK taxonomy pattern; establish a per-release automated denormalization check</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Business Objective</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Close AR-0003's conditional-acceptance monitoring with a durable, automated check rather than a one-time document.</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Architecture Requirement(s)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AR-0003 (Data Governance) — _code + taxonomy_version_id reference pattern for taxonomy lookups; Non-conformant, conditionally accepted.</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Enterprise Governance Decision(s)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EGD-0003 — Accept direct-FK taxonomy pattern, conditionally (Accepted, conditional; owner: Data Governance Owner, unassigned pending WP-0006).</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Related Enterprise Resolution(s)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ER-0003 — Accepted, conditional; direct-FK pattern is a sound reference-data design; the specific harm Phase A warned about was not found; target release: Per-release, ongoing.</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Related Variance(s)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VAR-03 — Direct-FK taxonomy references instead of _code+version; approved, conditional; per-release review.</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Assigned Portfolio</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1 — Enterprise Data Platform (Phase B §3).</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Assigned Wave</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Wave 2 — Platform Stabilization (Phase B §5).</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Repository Impact</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Database repository and CI/release pipeline, to the extent one already exists; Documentation repository for pattern documentation (Section 3).</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Engineering Design Status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Complete per Section 4 — not yet executed.</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Implementation Blueprint Status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Complete per Section 5 — not yet executed.</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Architecture Conformance Status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Non-conformant, conditionally accepted, advancing toward Certification Level L4 (Section 6 §"Certification Level Summary").</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Verification Readiness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Per-release automated denormalization check — one of two Work Packages (with WP-0002) currently execute-ready today (Section 7 §"Enterprise verification readiness").</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Risk Status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Overall Risk Posture: Medium, latent (Phase B §4); Residual Risk: Low currently, latent, pending ongoing per-release monitoring (Section 8).</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Acceptance Readiness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Not yet accepted; ready to follow Wave 1 in Wave 2 sequencing (Section 9).</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Certification Readiness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L4 pending; advances AR-0003 toward Certification Level L4 upon operating check with zero violations.</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KPI Dependencies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KPI-04 (Approved Variances, count), KPI-09 (Technical Debt by Class — Strategic class).</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Work Package Dependencies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Benefits from WP-0001's naming clarity — an optional, non-blocking dependency (Phase B §4). No successor Work Packages.</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Executive Readiness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Startable now.</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Executive Commentary</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A retrofit to the _code+taxonomy_version_id pattern applies only as contingency, triggered if a denormalized taxonomy fact or a versioning need is found — not baseline scope.</w:t>
            </w:r>
          </w:p>
        </w:tc>
      </w:tr>
    </w:tbl>
    <w:p>
      <w:pPr>
        <w:pStyle w:val="Heading2"/>
        <w:spacing w:after="120" w:before="280"/>
      </w:pPr>
      <w:r>
        <w:t xml:space="preserve">WP-0005 — Column-Level Access Review for Free-Text/JSON Payload Columns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Work Package ID</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WP-0005</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Official Title</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AR-0007 extension — column-level access review for free-text/JSON payload columns (e.g., cognitive raw responses)</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Business Objective</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Close the column-level protection decision for cognitive raw-response and other free-text/JSON payload data.</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Architecture Requirement(s)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AR-0007 (extension) — Security, column-level protection beyond the table-level RLS verified under WP-0002.</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Enterprise Governance Decision(s)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EGD-0007 — Realize (same decision WP-0002 executes against; this Work Package extends it to column-level protection).</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Related Enterprise Resolution(s)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ER-0007 — same resolution family as WP-0002 (Planned → Implemented on completion).</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Related Variance(s)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None.</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Assigned Portfolio</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1 — Enterprise Data Platform (Phase B §3).</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Assigned Wave</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Wave 2 — Platform Stabilization (Phase B §5).</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Repository Impact</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Database repository; conditional column-level policy change only if the review finds a protection gap (Section 3).</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Engineering Design Status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Complete per Section 4 — an explicit, cited reuse of WP-0002's method rather than a re-design.</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Implementation Blueprint Status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Complete per Section 5 — not yet executed.</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Architecture Conformance Status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Extension of AR-0007's baseline conformance status; advances alongside WP-0002 (Section 6 §"Certification Level Summary").</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Verification Readiness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Review-based verification, following WP-0002's written-evidence template (Section 7 §"WP-0005").</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Risk Status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Overall Risk Posture: Low–Medium, latent (Phase B §4).</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Acceptance Readiness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Not yet accepted; ready to follow Wave 1 in Wave 2 sequencing, benefiting from — but not blocked by — WP-0002 completion (Section 9).</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Certification Readiness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Advances alongside AR-0007; L4 pending WP-0002 and WP-0005 completion.</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KPI Dependencies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KPI-06 (RLS Coverage %, extension scope), KPI-09 (Technical Debt by Class).</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Work Package Dependencies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Benefits from WP-0002's completion — same tables, same reviewer (Phase A.3 §8) — an optional, non-blocking dependency.</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Executive Readiness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Startable now.</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Executive Commentary</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Success measure is a documented protection-level decision for every reviewed free-text/JSON payload column; zero unreviewed columns is the exit condition.</w:t>
            </w:r>
          </w:p>
        </w:tc>
      </w:tr>
    </w:tbl>
    <w:p>
      <w:pPr>
        <w:pStyle w:val="Heading2"/>
        <w:spacing w:after="120" w:before="280"/>
      </w:pPr>
      <w:r>
        <w:t xml:space="preserve">WP-0006 — Assign Named, Accountable Owners to Every Unassigned Role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Work Package ID</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WP-0006</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Official Title</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Assign named, accountable owners to every architecture, data-governance, security/platform, and compliance role this baseline lists as unassigned</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Business Objective</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Resolve the single cross-cutting governance blocker — universally unassigned ownership — before any other Work Package is treated as fully executable.</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Architecture Requirement(s)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AP-009 — every governance decision requires a named, accountable owner; elevated to a first-class principle in Phase A.3 §2.</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Enterprise Governance Decision(s)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EGD-0001–EGD-0009 (all) — every EGD's owner field is currently "unassigned — WP-0006"; this Work Package closes all nine simultaneously.</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Related Enterprise Resolution(s)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Not Applicable — this Work Package is an organizational action, not the execution of a single ER.</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Related Variance(s)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None.</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Assigned Portfolio</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8 — Governance &amp; Quality (Phase B §3), treated as the portfolio's own precondition.</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Assigned Wave</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Wave 1 — Critical Foundation (Phase B §5).</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Repository Impact</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None — organizational action only; no database, code, or infrastructure repository impact (Section 3).</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Engineering Design Status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Not Applicable — organizational action, not a technical design (Section 4).</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Implementation Blueprint Status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Complete per Section 5 as an organizational activity; represents the single ownership precondition shared across Wave 1–3.</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Architecture Conformance Status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Not Applicable — organizational precondition, not itself subject to architecture conformance scoring (Section 6 §"Certification Level Summary").</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Verification Readiness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KPI-08 measurement confirming 100% assignment is the verification method (Section 7).</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Risk Status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Risk Classification: Not Applicable — this Work Package is itself the mitigation for the baseline's single blocking governance risk; it is not, itself, risky (Phase A.3 §9).</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Acceptance Readiness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Not yet accepted; acceptance-ready to begin immediately with no blocking Entry Criterion (Section 9 §9).</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Certification Readiness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Not Applicable to Certification Levels L1–L5 directly, but is the shared precondition for every other Work Package's advancement toward L4.</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KPI Dependencies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KPI-08 (Ownership Assignment %) — the single metric this Work Package exists to move, from 0% to 100%.</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Work Package Dependencies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None — startable immediately with zero blocking dependency. Unlocks accountable execution for WP-0001 (Enterprise Architecture Owner), WP-0003/WP-0004 (Platform Engineering Lead / Data Governance Owner), and confirms the Security/Platform Engineer for WP-0002/WP-0005.</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Executive Readiness</w:t>
            </w:r>
          </w:p>
        </w:tc>
        <w:tc>
          <w:tcPr>
            <w:tcW w:type="dxa" w:w="6600"/>
            <w:shd w:fill="F7F8FA" w:val="clear"/>
            <w:tcMar>
              <w:top w:type="dxa" w:w="60"/>
              <w:left w:type="dxa" w:w="100"/>
              <w:bottom w:type="dxa" w:w="60"/>
              <w:right w:type="dxa" w:w="100"/>
            </w:tcMar>
            <w:vAlign w:val="center"/>
          </w:tcPr>
          <w:p>
            <w:pPr>
              <w:jc w:val="left"/>
            </w:pPr>
            <w:r>
              <w:rPr>
                <w:b w:val="false"/>
                <w:bCs w:val="false"/>
                <w:color w:val="000000"/>
                <w:sz w:val="19"/>
                <w:szCs w:val="19"/>
              </w:rPr>
              <w:t xml:space="preserve">Immediately startable — the single highest-leverage action in the entire Work Package set.</w:t>
            </w:r>
          </w:p>
        </w:tc>
      </w:tr>
      <w:tr>
        <w:tc>
          <w:tcPr>
            <w:tcW w:type="dxa" w:w="2600"/>
            <w:shd w:fill="DCE3F0" w:val="clear"/>
            <w:tcMar>
              <w:top w:type="dxa" w:w="60"/>
              <w:left w:type="dxa" w:w="100"/>
              <w:bottom w:type="dxa" w:w="60"/>
              <w:right w:type="dxa" w:w="100"/>
            </w:tcMar>
            <w:vAlign w:val="center"/>
          </w:tcPr>
          <w:p>
            <w:pPr>
              <w:jc w:val="left"/>
            </w:pPr>
            <w:r>
              <w:rPr>
                <w:b/>
                <w:bCs/>
                <w:color w:val="000000"/>
                <w:sz w:val="19"/>
                <w:szCs w:val="19"/>
              </w:rPr>
              <w:t xml:space="preserve">Executive Commentary</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Five named, accountable owners are required: Enterprise Architecture Owner, Data Governance Owner, Platform Engineering Lead, Security/Platform Engineer, and Executive Sponsor/Governance Board (Phase B §9).</w:t>
            </w:r>
          </w:p>
        </w:tc>
      </w:tr>
    </w:tbl>
    <w:p>
      <w:pPr>
        <w:pStyle w:val="Heading1"/>
        <w:spacing w:after="160" w:before="360"/>
      </w:pPr>
      <w:r>
        <w:t xml:space="preserve">10.3.4 — Cross-Work Package Dependency Dashboard</w:t>
      </w:r>
    </w:p>
    <w:p>
      <w:pPr>
        <w:spacing w:after="160"/>
        <w:jc w:val="left"/>
      </w:pPr>
      <w:r>
        <w:rPr>
          <w:b w:val="false"/>
          <w:bCs w:val="false"/>
          <w:i w:val="false"/>
          <w:iCs w:val="false"/>
          <w:sz w:val="21"/>
          <w:szCs w:val="21"/>
        </w:rPr>
        <w:t xml:space="preserve">Reused only from approved dependency relationships in Section 2 (field F) and Phase B §4, §7.</w:t>
      </w:r>
    </w:p>
    <w:tbl>
      <w:tblPr>
        <w:tblW w:type="dxa" w:w="1230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2350"/>
        <w:gridCol w:w="2150"/>
        <w:gridCol w:w="1650"/>
        <w:gridCol w:w="2650"/>
      </w:tblGrid>
      <w:tr>
        <w:trPr>
          <w:tblHeader/>
        </w:trPr>
        <w:tc>
          <w:tcPr>
            <w:tcW w:type="dxa" w:w="1150"/>
            <w:shd w:fill="1F3864" w:val="clear"/>
            <w:tcMar>
              <w:top w:type="dxa" w:w="60"/>
              <w:left w:type="dxa" w:w="100"/>
              <w:bottom w:type="dxa" w:w="60"/>
              <w:right w:type="dxa" w:w="100"/>
            </w:tcMar>
            <w:vAlign w:val="center"/>
          </w:tcPr>
          <w:p>
            <w:pPr>
              <w:jc w:val="left"/>
            </w:pPr>
            <w:r>
              <w:rPr>
                <w:b/>
                <w:bCs/>
                <w:color w:val="FFFFFF"/>
                <w:sz w:val="19"/>
                <w:szCs w:val="19"/>
              </w:rPr>
              <w:t xml:space="preserve">Work Package</w:t>
            </w:r>
          </w:p>
        </w:tc>
        <w:tc>
          <w:tcPr>
            <w:tcW w:type="dxa" w:w="2350"/>
            <w:shd w:fill="1F3864" w:val="clear"/>
            <w:tcMar>
              <w:top w:type="dxa" w:w="60"/>
              <w:left w:type="dxa" w:w="100"/>
              <w:bottom w:type="dxa" w:w="60"/>
              <w:right w:type="dxa" w:w="100"/>
            </w:tcMar>
            <w:vAlign w:val="center"/>
          </w:tcPr>
          <w:p>
            <w:pPr>
              <w:jc w:val="left"/>
            </w:pPr>
            <w:r>
              <w:rPr>
                <w:b/>
                <w:bCs/>
                <w:color w:val="FFFFFF"/>
                <w:sz w:val="19"/>
                <w:szCs w:val="19"/>
              </w:rPr>
              <w:t xml:space="preserve">Depends On</w:t>
            </w:r>
          </w:p>
        </w:tc>
        <w:tc>
          <w:tcPr>
            <w:tcW w:type="dxa" w:w="2350"/>
            <w:shd w:fill="1F3864" w:val="clear"/>
            <w:tcMar>
              <w:top w:type="dxa" w:w="60"/>
              <w:left w:type="dxa" w:w="100"/>
              <w:bottom w:type="dxa" w:w="60"/>
              <w:right w:type="dxa" w:w="100"/>
            </w:tcMar>
            <w:vAlign w:val="center"/>
          </w:tcPr>
          <w:p>
            <w:pPr>
              <w:jc w:val="left"/>
            </w:pPr>
            <w:r>
              <w:rPr>
                <w:b/>
                <w:bCs/>
                <w:color w:val="FFFFFF"/>
                <w:sz w:val="19"/>
                <w:szCs w:val="19"/>
              </w:rPr>
              <w:t xml:space="preserve">Enables</w:t>
            </w:r>
          </w:p>
        </w:tc>
        <w:tc>
          <w:tcPr>
            <w:tcW w:type="dxa" w:w="2150"/>
            <w:shd w:fill="1F3864" w:val="clear"/>
            <w:tcMar>
              <w:top w:type="dxa" w:w="60"/>
              <w:left w:type="dxa" w:w="100"/>
              <w:bottom w:type="dxa" w:w="60"/>
              <w:right w:type="dxa" w:w="100"/>
            </w:tcMar>
            <w:vAlign w:val="center"/>
          </w:tcPr>
          <w:p>
            <w:pPr>
              <w:jc w:val="left"/>
            </w:pPr>
            <w:r>
              <w:rPr>
                <w:b/>
                <w:bCs/>
                <w:color w:val="FFFFFF"/>
                <w:sz w:val="19"/>
                <w:szCs w:val="19"/>
              </w:rPr>
              <w:t xml:space="preserve">Blocking Conditions</w:t>
            </w:r>
          </w:p>
        </w:tc>
        <w:tc>
          <w:tcPr>
            <w:tcW w:type="dxa" w:w="1650"/>
            <w:shd w:fill="1F3864" w:val="clear"/>
            <w:tcMar>
              <w:top w:type="dxa" w:w="60"/>
              <w:left w:type="dxa" w:w="100"/>
              <w:bottom w:type="dxa" w:w="60"/>
              <w:right w:type="dxa" w:w="100"/>
            </w:tcMar>
            <w:vAlign w:val="center"/>
          </w:tcPr>
          <w:p>
            <w:pPr>
              <w:jc w:val="left"/>
            </w:pPr>
            <w:r>
              <w:rPr>
                <w:b/>
                <w:bCs/>
                <w:color w:val="FFFFFF"/>
                <w:sz w:val="19"/>
                <w:szCs w:val="19"/>
              </w:rPr>
              <w:t xml:space="preserve">Current Dependency Status</w:t>
            </w:r>
          </w:p>
        </w:tc>
        <w:tc>
          <w:tcPr>
            <w:tcW w:type="dxa" w:w="2650"/>
            <w:shd w:fill="1F3864" w:val="clear"/>
            <w:tcMar>
              <w:top w:type="dxa" w:w="60"/>
              <w:left w:type="dxa" w:w="100"/>
              <w:bottom w:type="dxa" w:w="60"/>
              <w:right w:type="dxa" w:w="100"/>
            </w:tcMar>
            <w:vAlign w:val="center"/>
          </w:tcPr>
          <w:p>
            <w:pPr>
              <w:jc w:val="left"/>
            </w:pPr>
            <w:r>
              <w:rPr>
                <w:b/>
                <w:bCs/>
                <w:color w:val="FFFFFF"/>
                <w:sz w:val="19"/>
                <w:szCs w:val="19"/>
              </w:rPr>
              <w:t xml:space="preserve">Executive Assessment</w:t>
            </w:r>
          </w:p>
        </w:tc>
      </w:tr>
      <w:tr>
        <w:tc>
          <w:tcPr>
            <w:tcW w:type="dxa" w:w="1150"/>
            <w:tcMar>
              <w:top w:type="dxa" w:w="60"/>
              <w:left w:type="dxa" w:w="100"/>
              <w:bottom w:type="dxa" w:w="60"/>
              <w:right w:type="dxa" w:w="100"/>
            </w:tcMar>
            <w:vAlign w:val="center"/>
          </w:tcPr>
          <w:p>
            <w:pPr>
              <w:jc w:val="left"/>
            </w:pPr>
            <w:r>
              <w:rPr>
                <w:b w:val="false"/>
                <w:bCs w:val="false"/>
                <w:color w:val="000000"/>
                <w:sz w:val="19"/>
                <w:szCs w:val="19"/>
              </w:rPr>
              <w:t xml:space="preserve">WP-0001</w:t>
            </w:r>
          </w:p>
        </w:tc>
        <w:tc>
          <w:tcPr>
            <w:tcW w:type="dxa" w:w="2350"/>
            <w:tcMar>
              <w:top w:type="dxa" w:w="60"/>
              <w:left w:type="dxa" w:w="100"/>
              <w:bottom w:type="dxa" w:w="60"/>
              <w:right w:type="dxa" w:w="100"/>
            </w:tcMar>
            <w:vAlign w:val="center"/>
          </w:tcPr>
          <w:p>
            <w:pPr>
              <w:jc w:val="left"/>
            </w:pPr>
            <w:r>
              <w:rPr>
                <w:b w:val="false"/>
                <w:bCs w:val="false"/>
                <w:color w:val="000000"/>
                <w:sz w:val="19"/>
                <w:szCs w:val="19"/>
              </w:rPr>
              <w:t xml:space="preserve">None (WP-0006 recommended, non-blocking)</w:t>
            </w:r>
          </w:p>
        </w:tc>
        <w:tc>
          <w:tcPr>
            <w:tcW w:type="dxa" w:w="2350"/>
            <w:tcMar>
              <w:top w:type="dxa" w:w="60"/>
              <w:left w:type="dxa" w:w="100"/>
              <w:bottom w:type="dxa" w:w="60"/>
              <w:right w:type="dxa" w:w="100"/>
            </w:tcMar>
            <w:vAlign w:val="center"/>
          </w:tcPr>
          <w:p>
            <w:pPr>
              <w:jc w:val="left"/>
            </w:pPr>
            <w:r>
              <w:rPr>
                <w:b w:val="false"/>
                <w:bCs w:val="false"/>
                <w:color w:val="000000"/>
                <w:sz w:val="19"/>
                <w:szCs w:val="19"/>
              </w:rPr>
              <w:t xml:space="preserve">WP-0004, WP-0005 (naming clarity, non-blocking)</w:t>
            </w:r>
          </w:p>
        </w:tc>
        <w:tc>
          <w:tcPr>
            <w:tcW w:type="dxa" w:w="2150"/>
            <w:tcMar>
              <w:top w:type="dxa" w:w="60"/>
              <w:left w:type="dxa" w:w="100"/>
              <w:bottom w:type="dxa" w:w="60"/>
              <w:right w:type="dxa" w:w="100"/>
            </w:tcMar>
            <w:vAlign w:val="center"/>
          </w:tcPr>
          <w:p>
            <w:pPr>
              <w:jc w:val="left"/>
            </w:pPr>
            <w:r>
              <w:rPr>
                <w:b w:val="false"/>
                <w:bCs w:val="false"/>
                <w:color w:val="000000"/>
                <w:sz w:val="19"/>
                <w:szCs w:val="19"/>
              </w:rPr>
              <w:t xml:space="preserve">None</w:t>
            </w:r>
          </w:p>
        </w:tc>
        <w:tc>
          <w:tcPr>
            <w:tcW w:type="dxa" w:w="1650"/>
            <w:tcMar>
              <w:top w:type="dxa" w:w="60"/>
              <w:left w:type="dxa" w:w="100"/>
              <w:bottom w:type="dxa" w:w="60"/>
              <w:right w:type="dxa" w:w="100"/>
            </w:tcMar>
            <w:vAlign w:val="center"/>
          </w:tcPr>
          <w:p>
            <w:pPr>
              <w:jc w:val="left"/>
            </w:pPr>
            <w:r>
              <w:rPr>
                <w:b w:val="false"/>
                <w:bCs w:val="false"/>
                <w:color w:val="000000"/>
                <w:sz w:val="19"/>
                <w:szCs w:val="19"/>
              </w:rPr>
              <w:t xml:space="preserve">Immediately startable</w:t>
            </w:r>
          </w:p>
        </w:tc>
        <w:tc>
          <w:tcPr>
            <w:tcW w:type="dxa" w:w="2650"/>
            <w:tcMar>
              <w:top w:type="dxa" w:w="60"/>
              <w:left w:type="dxa" w:w="100"/>
              <w:bottom w:type="dxa" w:w="60"/>
              <w:right w:type="dxa" w:w="100"/>
            </w:tcMar>
            <w:vAlign w:val="center"/>
          </w:tcPr>
          <w:p>
            <w:pPr>
              <w:jc w:val="left"/>
            </w:pPr>
            <w:r>
              <w:rPr>
                <w:b w:val="false"/>
                <w:bCs w:val="false"/>
                <w:color w:val="000000"/>
                <w:sz w:val="19"/>
                <w:szCs w:val="19"/>
              </w:rPr>
              <w:t xml:space="preserve">Zero blocking dependency</w:t>
            </w:r>
          </w:p>
        </w:tc>
      </w:tr>
      <w:tr>
        <w:tc>
          <w:tcPr>
            <w:tcW w:type="dxa" w:w="11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WP-0002</w:t>
            </w:r>
          </w:p>
        </w:tc>
        <w:tc>
          <w:tcPr>
            <w:tcW w:type="dxa" w:w="23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None</w:t>
            </w:r>
          </w:p>
        </w:tc>
        <w:tc>
          <w:tcPr>
            <w:tcW w:type="dxa" w:w="23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WP-0005 (same tables/reviewer, non-blocking)</w:t>
            </w:r>
          </w:p>
        </w:tc>
        <w:tc>
          <w:tcPr>
            <w:tcW w:type="dxa" w:w="21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None</w:t>
            </w:r>
          </w:p>
        </w:tc>
        <w:tc>
          <w:tcPr>
            <w:tcW w:type="dxa" w:w="16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Immediately startable</w:t>
            </w:r>
          </w:p>
        </w:tc>
        <w:tc>
          <w:tcPr>
            <w:tcW w:type="dxa" w:w="26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Highest-leverage Wave 1 item alongside WP-0006</w:t>
            </w:r>
          </w:p>
        </w:tc>
      </w:tr>
      <w:tr>
        <w:tc>
          <w:tcPr>
            <w:tcW w:type="dxa" w:w="1150"/>
            <w:tcMar>
              <w:top w:type="dxa" w:w="60"/>
              <w:left w:type="dxa" w:w="100"/>
              <w:bottom w:type="dxa" w:w="60"/>
              <w:right w:type="dxa" w:w="100"/>
            </w:tcMar>
            <w:vAlign w:val="center"/>
          </w:tcPr>
          <w:p>
            <w:pPr>
              <w:jc w:val="left"/>
            </w:pPr>
            <w:r>
              <w:rPr>
                <w:b w:val="false"/>
                <w:bCs w:val="false"/>
                <w:color w:val="000000"/>
                <w:sz w:val="19"/>
                <w:szCs w:val="19"/>
              </w:rPr>
              <w:t xml:space="preserve">WP-0003</w:t>
            </w:r>
          </w:p>
        </w:tc>
        <w:tc>
          <w:tcPr>
            <w:tcW w:type="dxa" w:w="2350"/>
            <w:tcMar>
              <w:top w:type="dxa" w:w="60"/>
              <w:left w:type="dxa" w:w="100"/>
              <w:bottom w:type="dxa" w:w="60"/>
              <w:right w:type="dxa" w:w="100"/>
            </w:tcMar>
            <w:vAlign w:val="center"/>
          </w:tcPr>
          <w:p>
            <w:pPr>
              <w:jc w:val="left"/>
            </w:pPr>
            <w:r>
              <w:rPr>
                <w:b w:val="false"/>
                <w:bCs w:val="false"/>
                <w:color w:val="000000"/>
                <w:sz w:val="19"/>
                <w:szCs w:val="19"/>
              </w:rPr>
              <w:t xml:space="preserve">External row-count/growth data (not yet gathered)</w:t>
            </w:r>
          </w:p>
        </w:tc>
        <w:tc>
          <w:tcPr>
            <w:tcW w:type="dxa" w:w="2350"/>
            <w:tcMar>
              <w:top w:type="dxa" w:w="60"/>
              <w:left w:type="dxa" w:w="100"/>
              <w:bottom w:type="dxa" w:w="60"/>
              <w:right w:type="dxa" w:w="100"/>
            </w:tcMar>
            <w:vAlign w:val="center"/>
          </w:tcPr>
          <w:p>
            <w:pPr>
              <w:jc w:val="left"/>
            </w:pPr>
            <w:r>
              <w:rPr>
                <w:b w:val="false"/>
                <w:bCs w:val="false"/>
                <w:color w:val="000000"/>
                <w:sz w:val="19"/>
                <w:szCs w:val="19"/>
              </w:rPr>
              <w:t xml:space="preserve">None</w:t>
            </w:r>
          </w:p>
        </w:tc>
        <w:tc>
          <w:tcPr>
            <w:tcW w:type="dxa" w:w="2150"/>
            <w:tcMar>
              <w:top w:type="dxa" w:w="60"/>
              <w:left w:type="dxa" w:w="100"/>
              <w:bottom w:type="dxa" w:w="60"/>
              <w:right w:type="dxa" w:w="100"/>
            </w:tcMar>
            <w:vAlign w:val="center"/>
          </w:tcPr>
          <w:p>
            <w:pPr>
              <w:jc w:val="left"/>
            </w:pPr>
            <w:r>
              <w:rPr>
                <w:b w:val="false"/>
                <w:bCs w:val="false"/>
                <w:color w:val="000000"/>
                <w:sz w:val="19"/>
                <w:szCs w:val="19"/>
              </w:rPr>
              <w:t xml:space="preserve">EGD-0004 trigger not yet fired</w:t>
            </w:r>
          </w:p>
        </w:tc>
        <w:tc>
          <w:tcPr>
            <w:tcW w:type="dxa" w:w="1650"/>
            <w:tcMar>
              <w:top w:type="dxa" w:w="60"/>
              <w:left w:type="dxa" w:w="100"/>
              <w:bottom w:type="dxa" w:w="60"/>
              <w:right w:type="dxa" w:w="100"/>
            </w:tcMar>
            <w:vAlign w:val="center"/>
          </w:tcPr>
          <w:p>
            <w:pPr>
              <w:jc w:val="left"/>
            </w:pPr>
            <w:r>
              <w:rPr>
                <w:b w:val="false"/>
                <w:bCs w:val="false"/>
                <w:color w:val="000000"/>
                <w:sz w:val="19"/>
                <w:szCs w:val="19"/>
              </w:rPr>
              <w:t xml:space="preserve">Blocked — external data dependency</w:t>
            </w:r>
          </w:p>
        </w:tc>
        <w:tc>
          <w:tcPr>
            <w:tcW w:type="dxa" w:w="2650"/>
            <w:tcMar>
              <w:top w:type="dxa" w:w="60"/>
              <w:left w:type="dxa" w:w="100"/>
              <w:bottom w:type="dxa" w:w="60"/>
              <w:right w:type="dxa" w:w="100"/>
            </w:tcMar>
            <w:vAlign w:val="center"/>
          </w:tcPr>
          <w:p>
            <w:pPr>
              <w:jc w:val="left"/>
            </w:pPr>
            <w:r>
              <w:rPr>
                <w:b w:val="false"/>
                <w:bCs w:val="false"/>
                <w:color w:val="000000"/>
                <w:sz w:val="19"/>
                <w:szCs w:val="19"/>
              </w:rPr>
              <w:t xml:space="preserve">Only Work Package with a genuine blocking condition</w:t>
            </w:r>
          </w:p>
        </w:tc>
      </w:tr>
      <w:tr>
        <w:tc>
          <w:tcPr>
            <w:tcW w:type="dxa" w:w="11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WP-0004</w:t>
            </w:r>
          </w:p>
        </w:tc>
        <w:tc>
          <w:tcPr>
            <w:tcW w:type="dxa" w:w="23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WP-0001 (naming clarity, non-blocking, optional)</w:t>
            </w:r>
          </w:p>
        </w:tc>
        <w:tc>
          <w:tcPr>
            <w:tcW w:type="dxa" w:w="23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None</w:t>
            </w:r>
          </w:p>
        </w:tc>
        <w:tc>
          <w:tcPr>
            <w:tcW w:type="dxa" w:w="21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None</w:t>
            </w:r>
          </w:p>
        </w:tc>
        <w:tc>
          <w:tcPr>
            <w:tcW w:type="dxa" w:w="16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Startable now</w:t>
            </w:r>
          </w:p>
        </w:tc>
        <w:tc>
          <w:tcPr>
            <w:tcW w:type="dxa" w:w="26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Benefits from, not blocked by, WP-0001</w:t>
            </w:r>
          </w:p>
        </w:tc>
      </w:tr>
      <w:tr>
        <w:tc>
          <w:tcPr>
            <w:tcW w:type="dxa" w:w="1150"/>
            <w:tcMar>
              <w:top w:type="dxa" w:w="60"/>
              <w:left w:type="dxa" w:w="100"/>
              <w:bottom w:type="dxa" w:w="60"/>
              <w:right w:type="dxa" w:w="100"/>
            </w:tcMar>
            <w:vAlign w:val="center"/>
          </w:tcPr>
          <w:p>
            <w:pPr>
              <w:jc w:val="left"/>
            </w:pPr>
            <w:r>
              <w:rPr>
                <w:b w:val="false"/>
                <w:bCs w:val="false"/>
                <w:color w:val="000000"/>
                <w:sz w:val="19"/>
                <w:szCs w:val="19"/>
              </w:rPr>
              <w:t xml:space="preserve">WP-0005</w:t>
            </w:r>
          </w:p>
        </w:tc>
        <w:tc>
          <w:tcPr>
            <w:tcW w:type="dxa" w:w="2350"/>
            <w:tcMar>
              <w:top w:type="dxa" w:w="60"/>
              <w:left w:type="dxa" w:w="100"/>
              <w:bottom w:type="dxa" w:w="60"/>
              <w:right w:type="dxa" w:w="100"/>
            </w:tcMar>
            <w:vAlign w:val="center"/>
          </w:tcPr>
          <w:p>
            <w:pPr>
              <w:jc w:val="left"/>
            </w:pPr>
            <w:r>
              <w:rPr>
                <w:b w:val="false"/>
                <w:bCs w:val="false"/>
                <w:color w:val="000000"/>
                <w:sz w:val="19"/>
                <w:szCs w:val="19"/>
              </w:rPr>
              <w:t xml:space="preserve">WP-0002 (same tables/reviewer, non-blocking, optional)</w:t>
            </w:r>
          </w:p>
        </w:tc>
        <w:tc>
          <w:tcPr>
            <w:tcW w:type="dxa" w:w="2350"/>
            <w:tcMar>
              <w:top w:type="dxa" w:w="60"/>
              <w:left w:type="dxa" w:w="100"/>
              <w:bottom w:type="dxa" w:w="60"/>
              <w:right w:type="dxa" w:w="100"/>
            </w:tcMar>
            <w:vAlign w:val="center"/>
          </w:tcPr>
          <w:p>
            <w:pPr>
              <w:jc w:val="left"/>
            </w:pPr>
            <w:r>
              <w:rPr>
                <w:b w:val="false"/>
                <w:bCs w:val="false"/>
                <w:color w:val="000000"/>
                <w:sz w:val="19"/>
                <w:szCs w:val="19"/>
              </w:rPr>
              <w:t xml:space="preserve">None</w:t>
            </w:r>
          </w:p>
        </w:tc>
        <w:tc>
          <w:tcPr>
            <w:tcW w:type="dxa" w:w="2150"/>
            <w:tcMar>
              <w:top w:type="dxa" w:w="60"/>
              <w:left w:type="dxa" w:w="100"/>
              <w:bottom w:type="dxa" w:w="60"/>
              <w:right w:type="dxa" w:w="100"/>
            </w:tcMar>
            <w:vAlign w:val="center"/>
          </w:tcPr>
          <w:p>
            <w:pPr>
              <w:jc w:val="left"/>
            </w:pPr>
            <w:r>
              <w:rPr>
                <w:b w:val="false"/>
                <w:bCs w:val="false"/>
                <w:color w:val="000000"/>
                <w:sz w:val="19"/>
                <w:szCs w:val="19"/>
              </w:rPr>
              <w:t xml:space="preserve">None</w:t>
            </w:r>
          </w:p>
        </w:tc>
        <w:tc>
          <w:tcPr>
            <w:tcW w:type="dxa" w:w="1650"/>
            <w:tcMar>
              <w:top w:type="dxa" w:w="60"/>
              <w:left w:type="dxa" w:w="100"/>
              <w:bottom w:type="dxa" w:w="60"/>
              <w:right w:type="dxa" w:w="100"/>
            </w:tcMar>
            <w:vAlign w:val="center"/>
          </w:tcPr>
          <w:p>
            <w:pPr>
              <w:jc w:val="left"/>
            </w:pPr>
            <w:r>
              <w:rPr>
                <w:b w:val="false"/>
                <w:bCs w:val="false"/>
                <w:color w:val="000000"/>
                <w:sz w:val="19"/>
                <w:szCs w:val="19"/>
              </w:rPr>
              <w:t xml:space="preserve">Startable now</w:t>
            </w:r>
          </w:p>
        </w:tc>
        <w:tc>
          <w:tcPr>
            <w:tcW w:type="dxa" w:w="2650"/>
            <w:tcMar>
              <w:top w:type="dxa" w:w="60"/>
              <w:left w:type="dxa" w:w="100"/>
              <w:bottom w:type="dxa" w:w="60"/>
              <w:right w:type="dxa" w:w="100"/>
            </w:tcMar>
            <w:vAlign w:val="center"/>
          </w:tcPr>
          <w:p>
            <w:pPr>
              <w:jc w:val="left"/>
            </w:pPr>
            <w:r>
              <w:rPr>
                <w:b w:val="false"/>
                <w:bCs w:val="false"/>
                <w:color w:val="000000"/>
                <w:sz w:val="19"/>
                <w:szCs w:val="19"/>
              </w:rPr>
              <w:t xml:space="preserve">Benefits from, not blocked by, WP-0002</w:t>
            </w:r>
          </w:p>
        </w:tc>
      </w:tr>
      <w:tr>
        <w:tc>
          <w:tcPr>
            <w:tcW w:type="dxa" w:w="11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WP-0006</w:t>
            </w:r>
          </w:p>
        </w:tc>
        <w:tc>
          <w:tcPr>
            <w:tcW w:type="dxa" w:w="23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None</w:t>
            </w:r>
          </w:p>
        </w:tc>
        <w:tc>
          <w:tcPr>
            <w:tcW w:type="dxa" w:w="23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WP-0001 (Enterprise Architecture Owner); WP-0002/WP-0005 (Security/Platform Engineer); WP-0003/WP-0004 (Platform Engineering Lead / Data Governance Owner)</w:t>
            </w:r>
          </w:p>
        </w:tc>
        <w:tc>
          <w:tcPr>
            <w:tcW w:type="dxa" w:w="21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None</w:t>
            </w:r>
          </w:p>
        </w:tc>
        <w:tc>
          <w:tcPr>
            <w:tcW w:type="dxa" w:w="16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Immediately startable</w:t>
            </w:r>
          </w:p>
        </w:tc>
        <w:tc>
          <w:tcPr>
            <w:tcW w:type="dxa" w:w="26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The single precondition for full accountable execution across every other Work Package</w:t>
            </w:r>
          </w:p>
        </w:tc>
      </w:tr>
    </w:tbl>
    <w:p>
      <w:pPr>
        <w:spacing w:after="160"/>
        <w:jc w:val="left"/>
      </w:pPr>
      <w:r>
        <w:rPr>
          <w:b w:val="false"/>
          <w:bCs w:val="false"/>
          <w:i w:val="false"/>
          <w:iCs w:val="false"/>
          <w:sz w:val="21"/>
          <w:szCs w:val="21"/>
        </w:rPr>
        <w:t xml:space="preserve"/>
      </w:r>
    </w:p>
    <w:p>
      <w:pPr>
        <w:spacing w:after="160"/>
        <w:jc w:val="left"/>
      </w:pPr>
      <w:r>
        <w:rPr>
          <w:b w:val="false"/>
          <w:bCs w:val="false"/>
          <w:i w:val="false"/>
          <w:iCs w:val="false"/>
          <w:sz w:val="21"/>
          <w:szCs w:val="21"/>
        </w:rPr>
        <w:t xml:space="preserve">Executive Assessment: WP-0003 is the only Work Package with a genuine blocking dependency (external row-count/growth data). WP-0006 is not blocking in the strict Entry Criteria sense for any Work Package, but every profile above identifies it as the recommended or precondition action for full accountable execution (Section 2 §2, field E, applied to all six profiles).</w:t>
      </w:r>
    </w:p>
    <w:p>
      <w:pPr>
        <w:pStyle w:val="Heading1"/>
        <w:spacing w:after="160" w:before="360"/>
      </w:pPr>
      <w:r>
        <w:t xml:space="preserve">10.3.5 — Work Package Readiness Dashboard</w:t>
      </w:r>
    </w:p>
    <w:tbl>
      <w:tblPr>
        <w:tblW w:type="dxa" w:w="1245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650"/>
        <w:gridCol w:w="1750"/>
        <w:gridCol w:w="1650"/>
        <w:gridCol w:w="1500"/>
        <w:gridCol w:w="1650"/>
        <w:gridCol w:w="1650"/>
      </w:tblGrid>
      <w:tr>
        <w:trPr>
          <w:tblHeader/>
        </w:trPr>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WP</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Engineering Readiness</w:t>
            </w:r>
          </w:p>
        </w:tc>
        <w:tc>
          <w:tcPr>
            <w:tcW w:type="dxa" w:w="1650"/>
            <w:shd w:fill="1F3864" w:val="clear"/>
            <w:tcMar>
              <w:top w:type="dxa" w:w="60"/>
              <w:left w:type="dxa" w:w="100"/>
              <w:bottom w:type="dxa" w:w="60"/>
              <w:right w:type="dxa" w:w="100"/>
            </w:tcMar>
            <w:vAlign w:val="center"/>
          </w:tcPr>
          <w:p>
            <w:pPr>
              <w:jc w:val="left"/>
            </w:pPr>
            <w:r>
              <w:rPr>
                <w:b/>
                <w:bCs/>
                <w:color w:val="FFFFFF"/>
                <w:sz w:val="19"/>
                <w:szCs w:val="19"/>
              </w:rPr>
              <w:t xml:space="preserve">Repository Readiness</w:t>
            </w:r>
          </w:p>
        </w:tc>
        <w:tc>
          <w:tcPr>
            <w:tcW w:type="dxa" w:w="1750"/>
            <w:shd w:fill="1F3864" w:val="clear"/>
            <w:tcMar>
              <w:top w:type="dxa" w:w="60"/>
              <w:left w:type="dxa" w:w="100"/>
              <w:bottom w:type="dxa" w:w="60"/>
              <w:right w:type="dxa" w:w="100"/>
            </w:tcMar>
            <w:vAlign w:val="center"/>
          </w:tcPr>
          <w:p>
            <w:pPr>
              <w:jc w:val="left"/>
            </w:pPr>
            <w:r>
              <w:rPr>
                <w:b/>
                <w:bCs/>
                <w:color w:val="FFFFFF"/>
                <w:sz w:val="19"/>
                <w:szCs w:val="19"/>
              </w:rPr>
              <w:t xml:space="preserve">Governance Readiness</w:t>
            </w:r>
          </w:p>
        </w:tc>
        <w:tc>
          <w:tcPr>
            <w:tcW w:type="dxa" w:w="1650"/>
            <w:shd w:fill="1F3864" w:val="clear"/>
            <w:tcMar>
              <w:top w:type="dxa" w:w="60"/>
              <w:left w:type="dxa" w:w="100"/>
              <w:bottom w:type="dxa" w:w="60"/>
              <w:right w:type="dxa" w:w="100"/>
            </w:tcMar>
            <w:vAlign w:val="center"/>
          </w:tcPr>
          <w:p>
            <w:pPr>
              <w:jc w:val="left"/>
            </w:pPr>
            <w:r>
              <w:rPr>
                <w:b/>
                <w:bCs/>
                <w:color w:val="FFFFFF"/>
                <w:sz w:val="19"/>
                <w:szCs w:val="19"/>
              </w:rPr>
              <w:t xml:space="preserve">Verification Readiness</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Risk Readiness</w:t>
            </w:r>
          </w:p>
        </w:tc>
        <w:tc>
          <w:tcPr>
            <w:tcW w:type="dxa" w:w="1650"/>
            <w:shd w:fill="1F3864" w:val="clear"/>
            <w:tcMar>
              <w:top w:type="dxa" w:w="60"/>
              <w:left w:type="dxa" w:w="100"/>
              <w:bottom w:type="dxa" w:w="60"/>
              <w:right w:type="dxa" w:w="100"/>
            </w:tcMar>
            <w:vAlign w:val="center"/>
          </w:tcPr>
          <w:p>
            <w:pPr>
              <w:jc w:val="left"/>
            </w:pPr>
            <w:r>
              <w:rPr>
                <w:b/>
                <w:bCs/>
                <w:color w:val="FFFFFF"/>
                <w:sz w:val="19"/>
                <w:szCs w:val="19"/>
              </w:rPr>
              <w:t xml:space="preserve">Acceptance Readiness</w:t>
            </w:r>
          </w:p>
        </w:tc>
        <w:tc>
          <w:tcPr>
            <w:tcW w:type="dxa" w:w="1650"/>
            <w:shd w:fill="1F3864" w:val="clear"/>
            <w:tcMar>
              <w:top w:type="dxa" w:w="60"/>
              <w:left w:type="dxa" w:w="100"/>
              <w:bottom w:type="dxa" w:w="60"/>
              <w:right w:type="dxa" w:w="100"/>
            </w:tcMar>
            <w:vAlign w:val="center"/>
          </w:tcPr>
          <w:p>
            <w:pPr>
              <w:jc w:val="left"/>
            </w:pPr>
            <w:r>
              <w:rPr>
                <w:b/>
                <w:bCs/>
                <w:color w:val="FFFFFF"/>
                <w:sz w:val="19"/>
                <w:szCs w:val="19"/>
              </w:rPr>
              <w:t xml:space="preserve">Certification Readiness</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WP-0001</w:t>
            </w:r>
          </w:p>
        </w:tc>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Complete (Sec. 4–5)</w:t>
            </w:r>
          </w:p>
        </w:tc>
        <w:tc>
          <w:tcPr>
            <w:tcW w:type="dxa" w:w="1650"/>
            <w:tcMar>
              <w:top w:type="dxa" w:w="60"/>
              <w:left w:type="dxa" w:w="100"/>
              <w:bottom w:type="dxa" w:w="60"/>
              <w:right w:type="dxa" w:w="100"/>
            </w:tcMar>
            <w:vAlign w:val="center"/>
          </w:tcPr>
          <w:p>
            <w:pPr>
              <w:jc w:val="left"/>
            </w:pPr>
            <w:r>
              <w:rPr>
                <w:b w:val="false"/>
                <w:bCs w:val="false"/>
                <w:color w:val="000000"/>
                <w:sz w:val="19"/>
                <w:szCs w:val="19"/>
              </w:rPr>
              <w:t xml:space="preserve">Documentation only, ready</w:t>
            </w:r>
          </w:p>
        </w:tc>
        <w:tc>
          <w:tcPr>
            <w:tcW w:type="dxa" w:w="1750"/>
            <w:tcMar>
              <w:top w:type="dxa" w:w="60"/>
              <w:left w:type="dxa" w:w="100"/>
              <w:bottom w:type="dxa" w:w="60"/>
              <w:right w:type="dxa" w:w="100"/>
            </w:tcMar>
            <w:vAlign w:val="center"/>
          </w:tcPr>
          <w:p>
            <w:pPr>
              <w:jc w:val="left"/>
            </w:pPr>
            <w:r>
              <w:rPr>
                <w:b w:val="false"/>
                <w:bCs w:val="false"/>
                <w:color w:val="000000"/>
                <w:sz w:val="19"/>
                <w:szCs w:val="19"/>
              </w:rPr>
              <w:t xml:space="preserve">EGD-0002 dispositioned</w:t>
            </w:r>
          </w:p>
        </w:tc>
        <w:tc>
          <w:tcPr>
            <w:tcW w:type="dxa" w:w="1650"/>
            <w:tcMar>
              <w:top w:type="dxa" w:w="60"/>
              <w:left w:type="dxa" w:w="100"/>
              <w:bottom w:type="dxa" w:w="60"/>
              <w:right w:type="dxa" w:w="100"/>
            </w:tcMar>
            <w:vAlign w:val="center"/>
          </w:tcPr>
          <w:p>
            <w:pPr>
              <w:jc w:val="left"/>
            </w:pPr>
            <w:r>
              <w:rPr>
                <w:b w:val="false"/>
                <w:bCs w:val="false"/>
                <w:color w:val="000000"/>
                <w:sz w:val="19"/>
                <w:szCs w:val="19"/>
              </w:rPr>
              <w:t xml:space="preserve">Method defined, not executed</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Low</w:t>
            </w:r>
          </w:p>
        </w:tc>
        <w:tc>
          <w:tcPr>
            <w:tcW w:type="dxa" w:w="1650"/>
            <w:tcMar>
              <w:top w:type="dxa" w:w="60"/>
              <w:left w:type="dxa" w:w="100"/>
              <w:bottom w:type="dxa" w:w="60"/>
              <w:right w:type="dxa" w:w="100"/>
            </w:tcMar>
            <w:vAlign w:val="center"/>
          </w:tcPr>
          <w:p>
            <w:pPr>
              <w:jc w:val="left"/>
            </w:pPr>
            <w:r>
              <w:rPr>
                <w:b w:val="false"/>
                <w:bCs w:val="false"/>
                <w:color w:val="000000"/>
                <w:sz w:val="19"/>
                <w:szCs w:val="19"/>
              </w:rPr>
              <w:t xml:space="preserve">Not accepted</w:t>
            </w:r>
          </w:p>
        </w:tc>
        <w:tc>
          <w:tcPr>
            <w:tcW w:type="dxa" w:w="1650"/>
            <w:tcMar>
              <w:top w:type="dxa" w:w="60"/>
              <w:left w:type="dxa" w:w="100"/>
              <w:bottom w:type="dxa" w:w="60"/>
              <w:right w:type="dxa" w:w="100"/>
            </w:tcMar>
            <w:vAlign w:val="center"/>
          </w:tcPr>
          <w:p>
            <w:pPr>
              <w:jc w:val="left"/>
            </w:pPr>
            <w:r>
              <w:rPr>
                <w:b w:val="false"/>
                <w:bCs w:val="false"/>
                <w:color w:val="000000"/>
                <w:sz w:val="19"/>
                <w:szCs w:val="19"/>
              </w:rPr>
              <w:t xml:space="preserve">L4 pending</w:t>
            </w:r>
          </w:p>
        </w:tc>
      </w:tr>
      <w:tr>
        <w:tc>
          <w:tcPr>
            <w:tcW w:type="dxa" w:w="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WP-0002</w:t>
            </w:r>
          </w:p>
        </w:tc>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Complete (Sec. 4–5)</w:t>
            </w:r>
          </w:p>
        </w:tc>
        <w:tc>
          <w:tcPr>
            <w:tcW w:type="dxa" w:w="16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Database/Test, ready</w:t>
            </w:r>
          </w:p>
        </w:tc>
        <w:tc>
          <w:tcPr>
            <w:tcW w:type="dxa" w:w="17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EGD-0007 dispositioned</w:t>
            </w:r>
          </w:p>
        </w:tc>
        <w:tc>
          <w:tcPr>
            <w:tcW w:type="dxa" w:w="16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Execute-ready today</w:t>
            </w:r>
          </w:p>
        </w:tc>
        <w:tc>
          <w:tcPr>
            <w:tcW w:type="dxa" w:w="1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High if gap confirmed</w:t>
            </w:r>
          </w:p>
        </w:tc>
        <w:tc>
          <w:tcPr>
            <w:tcW w:type="dxa" w:w="16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Not accepted, deferred until confirmed</w:t>
            </w:r>
          </w:p>
        </w:tc>
        <w:tc>
          <w:tcPr>
            <w:tcW w:type="dxa" w:w="16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L4 pending</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WP-0003</w:t>
            </w:r>
          </w:p>
        </w:tc>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Complete (Sec. 4–5), trigger-gated</w:t>
            </w:r>
          </w:p>
        </w:tc>
        <w:tc>
          <w:tcPr>
            <w:tcW w:type="dxa" w:w="1650"/>
            <w:tcMar>
              <w:top w:type="dxa" w:w="60"/>
              <w:left w:type="dxa" w:w="100"/>
              <w:bottom w:type="dxa" w:w="60"/>
              <w:right w:type="dxa" w:w="100"/>
            </w:tcMar>
            <w:vAlign w:val="center"/>
          </w:tcPr>
          <w:p>
            <w:pPr>
              <w:jc w:val="left"/>
            </w:pPr>
            <w:r>
              <w:rPr>
                <w:b w:val="false"/>
                <w:bCs w:val="false"/>
                <w:color w:val="000000"/>
                <w:sz w:val="19"/>
                <w:szCs w:val="19"/>
              </w:rPr>
              <w:t xml:space="preserve">Conditional, blocked</w:t>
            </w:r>
          </w:p>
        </w:tc>
        <w:tc>
          <w:tcPr>
            <w:tcW w:type="dxa" w:w="1750"/>
            <w:tcMar>
              <w:top w:type="dxa" w:w="60"/>
              <w:left w:type="dxa" w:w="100"/>
              <w:bottom w:type="dxa" w:w="60"/>
              <w:right w:type="dxa" w:w="100"/>
            </w:tcMar>
            <w:vAlign w:val="center"/>
          </w:tcPr>
          <w:p>
            <w:pPr>
              <w:jc w:val="left"/>
            </w:pPr>
            <w:r>
              <w:rPr>
                <w:b w:val="false"/>
                <w:bCs w:val="false"/>
                <w:color w:val="000000"/>
                <w:sz w:val="19"/>
                <w:szCs w:val="19"/>
              </w:rPr>
              <w:t xml:space="preserve">EGD-0004 dispositioned, deferred</w:t>
            </w:r>
          </w:p>
        </w:tc>
        <w:tc>
          <w:tcPr>
            <w:tcW w:type="dxa" w:w="1650"/>
            <w:tcMar>
              <w:top w:type="dxa" w:w="60"/>
              <w:left w:type="dxa" w:w="100"/>
              <w:bottom w:type="dxa" w:w="60"/>
              <w:right w:type="dxa" w:w="100"/>
            </w:tcMar>
            <w:vAlign w:val="center"/>
          </w:tcPr>
          <w:p>
            <w:pPr>
              <w:jc w:val="left"/>
            </w:pPr>
            <w:r>
              <w:rPr>
                <w:b w:val="false"/>
                <w:bCs w:val="false"/>
                <w:color w:val="000000"/>
                <w:sz w:val="19"/>
                <w:szCs w:val="19"/>
              </w:rPr>
              <w:t xml:space="preserve">Dormant until trigger</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Medium, growing</w:t>
            </w:r>
          </w:p>
        </w:tc>
        <w:tc>
          <w:tcPr>
            <w:tcW w:type="dxa" w:w="1650"/>
            <w:tcMar>
              <w:top w:type="dxa" w:w="60"/>
              <w:left w:type="dxa" w:w="100"/>
              <w:bottom w:type="dxa" w:w="60"/>
              <w:right w:type="dxa" w:w="100"/>
            </w:tcMar>
            <w:vAlign w:val="center"/>
          </w:tcPr>
          <w:p>
            <w:pPr>
              <w:jc w:val="left"/>
            </w:pPr>
            <w:r>
              <w:rPr>
                <w:b w:val="false"/>
                <w:bCs w:val="false"/>
                <w:color w:val="000000"/>
                <w:sz w:val="19"/>
                <w:szCs w:val="19"/>
              </w:rPr>
              <w:t xml:space="preserve">Monitoring-ready only</w:t>
            </w:r>
          </w:p>
        </w:tc>
        <w:tc>
          <w:tcPr>
            <w:tcW w:type="dxa" w:w="1650"/>
            <w:tcMar>
              <w:top w:type="dxa" w:w="60"/>
              <w:left w:type="dxa" w:w="100"/>
              <w:bottom w:type="dxa" w:w="60"/>
              <w:right w:type="dxa" w:w="100"/>
            </w:tcMar>
            <w:vAlign w:val="center"/>
          </w:tcPr>
          <w:p>
            <w:pPr>
              <w:jc w:val="left"/>
            </w:pPr>
            <w:r>
              <w:rPr>
                <w:b w:val="false"/>
                <w:bCs w:val="false"/>
                <w:color w:val="000000"/>
                <w:sz w:val="19"/>
                <w:szCs w:val="19"/>
              </w:rPr>
              <w:t xml:space="preserve">L3 standing</w:t>
            </w:r>
          </w:p>
        </w:tc>
      </w:tr>
      <w:tr>
        <w:tc>
          <w:tcPr>
            <w:tcW w:type="dxa" w:w="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WP-0004</w:t>
            </w:r>
          </w:p>
        </w:tc>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Complete (Sec. 4–5)</w:t>
            </w:r>
          </w:p>
        </w:tc>
        <w:tc>
          <w:tcPr>
            <w:tcW w:type="dxa" w:w="16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DB/CI, ready</w:t>
            </w:r>
          </w:p>
        </w:tc>
        <w:tc>
          <w:tcPr>
            <w:tcW w:type="dxa" w:w="17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EGD-0003 dispositioned, conditional</w:t>
            </w:r>
          </w:p>
        </w:tc>
        <w:tc>
          <w:tcPr>
            <w:tcW w:type="dxa" w:w="16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Execute-ready today</w:t>
            </w:r>
          </w:p>
        </w:tc>
        <w:tc>
          <w:tcPr>
            <w:tcW w:type="dxa" w:w="1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Medium, latent</w:t>
            </w:r>
          </w:p>
        </w:tc>
        <w:tc>
          <w:tcPr>
            <w:tcW w:type="dxa" w:w="16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Ready to follow Wave 1</w:t>
            </w:r>
          </w:p>
        </w:tc>
        <w:tc>
          <w:tcPr>
            <w:tcW w:type="dxa" w:w="16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L4 pending</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WP-0005</w:t>
            </w:r>
          </w:p>
        </w:tc>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Complete (Sec. 4–5), reuses WP-0002 method</w:t>
            </w:r>
          </w:p>
        </w:tc>
        <w:tc>
          <w:tcPr>
            <w:tcW w:type="dxa" w:w="1650"/>
            <w:tcMar>
              <w:top w:type="dxa" w:w="60"/>
              <w:left w:type="dxa" w:w="100"/>
              <w:bottom w:type="dxa" w:w="60"/>
              <w:right w:type="dxa" w:w="100"/>
            </w:tcMar>
            <w:vAlign w:val="center"/>
          </w:tcPr>
          <w:p>
            <w:pPr>
              <w:jc w:val="left"/>
            </w:pPr>
            <w:r>
              <w:rPr>
                <w:b w:val="false"/>
                <w:bCs w:val="false"/>
                <w:color w:val="000000"/>
                <w:sz w:val="19"/>
                <w:szCs w:val="19"/>
              </w:rPr>
              <w:t xml:space="preserve">Database, ready</w:t>
            </w:r>
          </w:p>
        </w:tc>
        <w:tc>
          <w:tcPr>
            <w:tcW w:type="dxa" w:w="1750"/>
            <w:tcMar>
              <w:top w:type="dxa" w:w="60"/>
              <w:left w:type="dxa" w:w="100"/>
              <w:bottom w:type="dxa" w:w="60"/>
              <w:right w:type="dxa" w:w="100"/>
            </w:tcMar>
            <w:vAlign w:val="center"/>
          </w:tcPr>
          <w:p>
            <w:pPr>
              <w:jc w:val="left"/>
            </w:pPr>
            <w:r>
              <w:rPr>
                <w:b w:val="false"/>
                <w:bCs w:val="false"/>
                <w:color w:val="000000"/>
                <w:sz w:val="19"/>
                <w:szCs w:val="19"/>
              </w:rPr>
              <w:t xml:space="preserve">EGD-0007 dispositioned (extension)</w:t>
            </w:r>
          </w:p>
        </w:tc>
        <w:tc>
          <w:tcPr>
            <w:tcW w:type="dxa" w:w="1650"/>
            <w:tcMar>
              <w:top w:type="dxa" w:w="60"/>
              <w:left w:type="dxa" w:w="100"/>
              <w:bottom w:type="dxa" w:w="60"/>
              <w:right w:type="dxa" w:w="100"/>
            </w:tcMar>
            <w:vAlign w:val="center"/>
          </w:tcPr>
          <w:p>
            <w:pPr>
              <w:jc w:val="left"/>
            </w:pPr>
            <w:r>
              <w:rPr>
                <w:b w:val="false"/>
                <w:bCs w:val="false"/>
                <w:color w:val="000000"/>
                <w:sz w:val="19"/>
                <w:szCs w:val="19"/>
              </w:rPr>
              <w:t xml:space="preserve">Ready, follows WP-0002 template</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Low–Medium, latent</w:t>
            </w:r>
          </w:p>
        </w:tc>
        <w:tc>
          <w:tcPr>
            <w:tcW w:type="dxa" w:w="1650"/>
            <w:tcMar>
              <w:top w:type="dxa" w:w="60"/>
              <w:left w:type="dxa" w:w="100"/>
              <w:bottom w:type="dxa" w:w="60"/>
              <w:right w:type="dxa" w:w="100"/>
            </w:tcMar>
            <w:vAlign w:val="center"/>
          </w:tcPr>
          <w:p>
            <w:pPr>
              <w:jc w:val="left"/>
            </w:pPr>
            <w:r>
              <w:rPr>
                <w:b w:val="false"/>
                <w:bCs w:val="false"/>
                <w:color w:val="000000"/>
                <w:sz w:val="19"/>
                <w:szCs w:val="19"/>
              </w:rPr>
              <w:t xml:space="preserve">Ready to follow Wave 1</w:t>
            </w:r>
          </w:p>
        </w:tc>
        <w:tc>
          <w:tcPr>
            <w:tcW w:type="dxa" w:w="1650"/>
            <w:tcMar>
              <w:top w:type="dxa" w:w="60"/>
              <w:left w:type="dxa" w:w="100"/>
              <w:bottom w:type="dxa" w:w="60"/>
              <w:right w:type="dxa" w:w="100"/>
            </w:tcMar>
            <w:vAlign w:val="center"/>
          </w:tcPr>
          <w:p>
            <w:pPr>
              <w:jc w:val="left"/>
            </w:pPr>
            <w:r>
              <w:rPr>
                <w:b w:val="false"/>
                <w:bCs w:val="false"/>
                <w:color w:val="000000"/>
                <w:sz w:val="19"/>
                <w:szCs w:val="19"/>
              </w:rPr>
              <w:t xml:space="preserve">L4 pending (extension)</w:t>
            </w:r>
          </w:p>
        </w:tc>
      </w:tr>
      <w:tr>
        <w:tc>
          <w:tcPr>
            <w:tcW w:type="dxa" w:w="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WP-0006</w:t>
            </w:r>
          </w:p>
        </w:tc>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N/A — organizational</w:t>
            </w:r>
          </w:p>
        </w:tc>
        <w:tc>
          <w:tcPr>
            <w:tcW w:type="dxa" w:w="16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None required</w:t>
            </w:r>
          </w:p>
        </w:tc>
        <w:tc>
          <w:tcPr>
            <w:tcW w:type="dxa" w:w="17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Closes all 9 EGD owner fields</w:t>
            </w:r>
          </w:p>
        </w:tc>
        <w:tc>
          <w:tcPr>
            <w:tcW w:type="dxa" w:w="16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KPI-08 measurement</w:t>
            </w:r>
          </w:p>
        </w:tc>
        <w:tc>
          <w:tcPr>
            <w:tcW w:type="dxa" w:w="1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N/A — is the mitigation</w:t>
            </w:r>
          </w:p>
        </w:tc>
        <w:tc>
          <w:tcPr>
            <w:tcW w:type="dxa" w:w="16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Acceptance-ready immediately</w:t>
            </w:r>
          </w:p>
        </w:tc>
        <w:tc>
          <w:tcPr>
            <w:tcW w:type="dxa" w:w="16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N/A — precondition for others</w:t>
            </w:r>
          </w:p>
        </w:tc>
      </w:tr>
    </w:tbl>
    <w:p>
      <w:pPr>
        <w:spacing w:after="200"/>
      </w:pPr>
      <w:r>
        <w:rPr>
          <w:i/>
          <w:iCs/>
          <w:color w:val="555555"/>
          <w:sz w:val="20"/>
          <w:szCs w:val="20"/>
        </w:rPr>
        <w:t xml:space="preserve">No score above is newly calculated; each is reused from Sections 2, 4–9 as cited in Section 10.3.3.</w:t>
      </w:r>
    </w:p>
    <w:p>
      <w:pPr>
        <w:pStyle w:val="Heading1"/>
        <w:spacing w:after="160" w:before="360"/>
      </w:pPr>
      <w:r>
        <w:t xml:space="preserve">10.3.6 — Work Package Governance Dashboard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gridCol w:w="16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Area</w:t>
            </w:r>
          </w:p>
        </w:tc>
        <w:tc>
          <w:tcPr>
            <w:tcW w:type="dxa" w:w="5800"/>
            <w:shd w:fill="1F3864" w:val="clear"/>
            <w:tcMar>
              <w:top w:type="dxa" w:w="60"/>
              <w:left w:type="dxa" w:w="100"/>
              <w:bottom w:type="dxa" w:w="60"/>
              <w:right w:type="dxa" w:w="100"/>
            </w:tcMar>
            <w:vAlign w:val="center"/>
          </w:tcPr>
          <w:p>
            <w:pPr>
              <w:jc w:val="left"/>
            </w:pPr>
            <w:r>
              <w:rPr>
                <w:b/>
                <w:bCs/>
                <w:color w:val="FFFFFF"/>
                <w:sz w:val="19"/>
                <w:szCs w:val="19"/>
              </w:rPr>
              <w:t xml:space="preserve">Status</w:t>
            </w:r>
          </w:p>
        </w:tc>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Source</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Governance ownership</w:t>
            </w:r>
          </w:p>
        </w:tc>
        <w:tc>
          <w:tcPr>
            <w:tcW w:type="dxa" w:w="5800"/>
            <w:tcMar>
              <w:top w:type="dxa" w:w="60"/>
              <w:left w:type="dxa" w:w="100"/>
              <w:bottom w:type="dxa" w:w="60"/>
              <w:right w:type="dxa" w:w="100"/>
            </w:tcMar>
            <w:vAlign w:val="center"/>
          </w:tcPr>
          <w:p>
            <w:pPr>
              <w:jc w:val="left"/>
            </w:pPr>
            <w:r>
              <w:rPr>
                <w:b w:val="false"/>
                <w:bCs w:val="false"/>
                <w:color w:val="000000"/>
                <w:sz w:val="19"/>
                <w:szCs w:val="19"/>
              </w:rPr>
              <w:t xml:space="preserve">All five named roles (Enterprise Architecture Owner, Data Governance Owner, Platform Engineering Lead, Security/Platform Engineer, Executive Sponsor/Governance Board) are defined per Phase B §9 but currently unassigned to any individual (KPI-08 = 0%)</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Phase B §9; Phase A.3 §10</w:t>
            </w:r>
          </w:p>
        </w:tc>
      </w:tr>
      <w:tr>
        <w:tc>
          <w:tcPr>
            <w:tcW w:type="dxa" w:w="2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Enterprise Governance Decisions</w:t>
            </w:r>
          </w:p>
        </w:tc>
        <w:tc>
          <w:tcPr>
            <w:tcW w:type="dxa" w:w="58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All nine EGDs (EGD-0001–EGD-0009) are dispositioned — Accepted, Accepted (conditional), or Deferred; zero undispositioned gaps. WP-0006 alone closes all nine owner fields simultaneously</w:t>
            </w:r>
          </w:p>
        </w:tc>
        <w:tc>
          <w:tcPr>
            <w:tcW w:type="dxa" w:w="1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Phase A.2 seven ADRs; Phase A.3 §L2</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Architecture traceability</w:t>
            </w:r>
          </w:p>
        </w:tc>
        <w:tc>
          <w:tcPr>
            <w:tcW w:type="dxa" w:w="5800"/>
            <w:tcMar>
              <w:top w:type="dxa" w:w="60"/>
              <w:left w:type="dxa" w:w="100"/>
              <w:bottom w:type="dxa" w:w="60"/>
              <w:right w:type="dxa" w:w="100"/>
            </w:tcMar>
            <w:vAlign w:val="center"/>
          </w:tcPr>
          <w:p>
            <w:pPr>
              <w:jc w:val="left"/>
            </w:pPr>
            <w:r>
              <w:rPr>
                <w:b w:val="false"/>
                <w:bCs w:val="false"/>
                <w:color w:val="000000"/>
                <w:sz w:val="19"/>
                <w:szCs w:val="19"/>
              </w:rPr>
              <w:t xml:space="preserve">Full Traceability Matrix links every AR to evidence, Work Package, and verification method (Certification Level L3, MET)</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Phase A.3 §7</w:t>
            </w:r>
          </w:p>
        </w:tc>
      </w:tr>
      <w:tr>
        <w:tc>
          <w:tcPr>
            <w:tcW w:type="dxa" w:w="2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Approval maturity</w:t>
            </w:r>
          </w:p>
        </w:tc>
        <w:tc>
          <w:tcPr>
            <w:tcW w:type="dxa" w:w="58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Every Work Package profile names a Required Approval role (Section 2 §2, field E / Section 6 §C), consistently unassigned pending WP-0006</w:t>
            </w:r>
          </w:p>
        </w:tc>
        <w:tc>
          <w:tcPr>
            <w:tcW w:type="dxa" w:w="1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Section 2; Section 6</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Outstanding governance conditions</w:t>
            </w:r>
          </w:p>
        </w:tc>
        <w:tc>
          <w:tcPr>
            <w:tcW w:type="dxa" w:w="5800"/>
            <w:tcMar>
              <w:top w:type="dxa" w:w="60"/>
              <w:left w:type="dxa" w:w="100"/>
              <w:bottom w:type="dxa" w:w="60"/>
              <w:right w:type="dxa" w:w="100"/>
            </w:tcMar>
            <w:vAlign w:val="center"/>
          </w:tcPr>
          <w:p>
            <w:pPr>
              <w:jc w:val="left"/>
            </w:pPr>
            <w:r>
              <w:rPr>
                <w:b w:val="false"/>
                <w:bCs w:val="false"/>
                <w:color w:val="000000"/>
                <w:sz w:val="19"/>
                <w:szCs w:val="19"/>
              </w:rPr>
              <w:t xml:space="preserve">WP-0006 is the sole outstanding governance condition shared across all six Work Packages; no other unresolved governance gap is evidenced</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Section 1 §12; Section 9 §9</w:t>
            </w:r>
          </w:p>
        </w:tc>
      </w:tr>
    </w:tbl>
    <w:p>
      <w:pPr>
        <w:pStyle w:val="Heading1"/>
        <w:spacing w:after="160" w:before="360"/>
      </w:pPr>
      <w:r>
        <w:t xml:space="preserve">10.3.7 — Executive Work Package Decision Matrix</w:t>
      </w:r>
    </w:p>
    <w:p>
      <w:pPr>
        <w:spacing w:after="160"/>
        <w:jc w:val="left"/>
      </w:pPr>
      <w:r>
        <w:rPr>
          <w:b w:val="false"/>
          <w:bCs w:val="false"/>
          <w:i w:val="false"/>
          <w:iCs w:val="false"/>
          <w:sz w:val="21"/>
          <w:szCs w:val="21"/>
        </w:rPr>
        <w:t xml:space="preserve">Every decision below reuses an existing governance outcome (Phase A.3 EGD disposition, Phase B sequencing) rather than creating a new one.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900"/>
        <w:gridCol w:w="1900"/>
        <w:gridCol w:w="2050"/>
        <w:gridCol w:w="1950"/>
      </w:tblGrid>
      <w:tr>
        <w:trPr>
          <w:tblHeader/>
        </w:trPr>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WP</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Executive Decision</w:t>
            </w:r>
          </w:p>
        </w:tc>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Supporting Evidence</w:t>
            </w:r>
          </w:p>
        </w:tc>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Blocking Conditions</w:t>
            </w:r>
          </w:p>
        </w:tc>
        <w:tc>
          <w:tcPr>
            <w:tcW w:type="dxa" w:w="2050"/>
            <w:shd w:fill="1F3864" w:val="clear"/>
            <w:tcMar>
              <w:top w:type="dxa" w:w="60"/>
              <w:left w:type="dxa" w:w="100"/>
              <w:bottom w:type="dxa" w:w="60"/>
              <w:right w:type="dxa" w:w="100"/>
            </w:tcMar>
            <w:vAlign w:val="center"/>
          </w:tcPr>
          <w:p>
            <w:pPr>
              <w:jc w:val="left"/>
            </w:pPr>
            <w:r>
              <w:rPr>
                <w:b/>
                <w:bCs/>
                <w:color w:val="FFFFFF"/>
                <w:sz w:val="19"/>
                <w:szCs w:val="19"/>
              </w:rPr>
              <w:t xml:space="preserve">Immediate Next Approved Action</w:t>
            </w:r>
          </w:p>
        </w:tc>
        <w:tc>
          <w:tcPr>
            <w:tcW w:type="dxa" w:w="1950"/>
            <w:shd w:fill="1F3864" w:val="clear"/>
            <w:tcMar>
              <w:top w:type="dxa" w:w="60"/>
              <w:left w:type="dxa" w:w="100"/>
              <w:bottom w:type="dxa" w:w="60"/>
              <w:right w:type="dxa" w:w="100"/>
            </w:tcMar>
            <w:vAlign w:val="center"/>
          </w:tcPr>
          <w:p>
            <w:pPr>
              <w:jc w:val="left"/>
            </w:pPr>
            <w:r>
              <w:rPr>
                <w:b/>
                <w:bCs/>
                <w:color w:val="FFFFFF"/>
                <w:sz w:val="19"/>
                <w:szCs w:val="19"/>
              </w:rPr>
              <w:t xml:space="preserve">Executive Recommendation</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WP-0001</w:t>
            </w:r>
          </w:p>
        </w:tc>
        <w:tc>
          <w:tcPr>
            <w:tcW w:type="dxa" w:w="1300"/>
            <w:tcMar>
              <w:top w:type="dxa" w:w="60"/>
              <w:left w:type="dxa" w:w="100"/>
              <w:bottom w:type="dxa" w:w="60"/>
              <w:right w:type="dxa" w:w="100"/>
            </w:tcMar>
            <w:vAlign w:val="center"/>
          </w:tcPr>
          <w:p>
            <w:pPr>
              <w:jc w:val="left"/>
            </w:pPr>
            <w:r>
              <w:rPr>
                <w:b w:val="false"/>
                <w:bCs w:val="false"/>
                <w:color w:val="000000"/>
                <w:sz w:val="19"/>
                <w:szCs w:val="19"/>
              </w:rPr>
              <w:t xml:space="preserve">Proceed</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EGD-0002 Accepted; execution = WP-0001</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None</w:t>
            </w:r>
          </w:p>
        </w:tc>
        <w:tc>
          <w:tcPr>
            <w:tcW w:type="dxa" w:w="2050"/>
            <w:tcMar>
              <w:top w:type="dxa" w:w="60"/>
              <w:left w:type="dxa" w:w="100"/>
              <w:bottom w:type="dxa" w:w="60"/>
              <w:right w:type="dxa" w:w="100"/>
            </w:tcMar>
            <w:vAlign w:val="center"/>
          </w:tcPr>
          <w:p>
            <w:pPr>
              <w:jc w:val="left"/>
            </w:pPr>
            <w:r>
              <w:rPr>
                <w:b w:val="false"/>
                <w:bCs w:val="false"/>
                <w:color w:val="000000"/>
                <w:sz w:val="19"/>
                <w:szCs w:val="19"/>
              </w:rPr>
              <w:t xml:space="preserve">Author the revised EEP-01 Phase A document</w:t>
            </w:r>
          </w:p>
        </w:tc>
        <w:tc>
          <w:tcPr>
            <w:tcW w:type="dxa" w:w="1950"/>
            <w:tcMar>
              <w:top w:type="dxa" w:w="60"/>
              <w:left w:type="dxa" w:w="100"/>
              <w:bottom w:type="dxa" w:w="60"/>
              <w:right w:type="dxa" w:w="100"/>
            </w:tcMar>
            <w:vAlign w:val="center"/>
          </w:tcPr>
          <w:p>
            <w:pPr>
              <w:jc w:val="left"/>
            </w:pPr>
            <w:r>
              <w:rPr>
                <w:b w:val="false"/>
                <w:bCs w:val="false"/>
                <w:color w:val="000000"/>
                <w:sz w:val="19"/>
                <w:szCs w:val="19"/>
              </w:rPr>
              <w:t xml:space="preserve">Begin in Wave 2, ideally after WP-0006</w:t>
            </w:r>
          </w:p>
        </w:tc>
      </w:tr>
      <w:tr>
        <w:tc>
          <w:tcPr>
            <w:tcW w:type="dxa" w:w="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WP-0002</w:t>
            </w:r>
          </w:p>
        </w:tc>
        <w:tc>
          <w:tcPr>
            <w:tcW w:type="dxa" w:w="13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Proceed</w:t>
            </w:r>
          </w:p>
        </w:tc>
        <w:tc>
          <w:tcPr>
            <w:tcW w:type="dxa" w:w="1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EGD-0007 Accepted, in progress; execution = WP-0002</w:t>
            </w:r>
          </w:p>
        </w:tc>
        <w:tc>
          <w:tcPr>
            <w:tcW w:type="dxa" w:w="1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None</w:t>
            </w:r>
          </w:p>
        </w:tc>
        <w:tc>
          <w:tcPr>
            <w:tcW w:type="dxa" w:w="20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Execute query-based RLS verification on the 2 remaining table groups</w:t>
            </w:r>
          </w:p>
        </w:tc>
        <w:tc>
          <w:tcPr>
            <w:tcW w:type="dxa" w:w="19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Begin immediately — highest-priority Wave 1 item</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WP-0003</w:t>
            </w:r>
          </w:p>
        </w:tc>
        <w:tc>
          <w:tcPr>
            <w:tcW w:type="dxa" w:w="1300"/>
            <w:tcMar>
              <w:top w:type="dxa" w:w="60"/>
              <w:left w:type="dxa" w:w="100"/>
              <w:bottom w:type="dxa" w:w="60"/>
              <w:right w:type="dxa" w:w="100"/>
            </w:tcMar>
            <w:vAlign w:val="center"/>
          </w:tcPr>
          <w:p>
            <w:pPr>
              <w:jc w:val="left"/>
            </w:pPr>
            <w:r>
              <w:rPr>
                <w:b w:val="false"/>
                <w:bCs w:val="false"/>
                <w:color w:val="000000"/>
                <w:sz w:val="19"/>
                <w:szCs w:val="19"/>
              </w:rPr>
              <w:t xml:space="preserve">Monitor</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EGD-0004 Deferred; VAR-04 quarterly review</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External row-count/growth data not yet gathered; trigger not fired</w:t>
            </w:r>
          </w:p>
        </w:tc>
        <w:tc>
          <w:tcPr>
            <w:tcW w:type="dxa" w:w="2050"/>
            <w:tcMar>
              <w:top w:type="dxa" w:w="60"/>
              <w:left w:type="dxa" w:w="100"/>
              <w:bottom w:type="dxa" w:w="60"/>
              <w:right w:type="dxa" w:w="100"/>
            </w:tcMar>
            <w:vAlign w:val="center"/>
          </w:tcPr>
          <w:p>
            <w:pPr>
              <w:jc w:val="left"/>
            </w:pPr>
            <w:r>
              <w:rPr>
                <w:b w:val="false"/>
                <w:bCs w:val="false"/>
                <w:color w:val="000000"/>
                <w:sz w:val="19"/>
                <w:szCs w:val="19"/>
              </w:rPr>
              <w:t xml:space="preserve">Continue quarterly row-count/latency monitoring</w:t>
            </w:r>
          </w:p>
        </w:tc>
        <w:tc>
          <w:tcPr>
            <w:tcW w:type="dxa" w:w="1950"/>
            <w:tcMar>
              <w:top w:type="dxa" w:w="60"/>
              <w:left w:type="dxa" w:w="100"/>
              <w:bottom w:type="dxa" w:w="60"/>
              <w:right w:type="dxa" w:w="100"/>
            </w:tcMar>
            <w:vAlign w:val="center"/>
          </w:tcPr>
          <w:p>
            <w:pPr>
              <w:jc w:val="left"/>
            </w:pPr>
            <w:r>
              <w:rPr>
                <w:b w:val="false"/>
                <w:bCs w:val="false"/>
                <w:color w:val="000000"/>
                <w:sz w:val="19"/>
                <w:szCs w:val="19"/>
              </w:rPr>
              <w:t xml:space="preserve">Do not begin assessment until the trigger fires</w:t>
            </w:r>
          </w:p>
        </w:tc>
      </w:tr>
      <w:tr>
        <w:tc>
          <w:tcPr>
            <w:tcW w:type="dxa" w:w="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WP-0004</w:t>
            </w:r>
          </w:p>
        </w:tc>
        <w:tc>
          <w:tcPr>
            <w:tcW w:type="dxa" w:w="13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Proceed</w:t>
            </w:r>
          </w:p>
        </w:tc>
        <w:tc>
          <w:tcPr>
            <w:tcW w:type="dxa" w:w="1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EGD-0003 Accepted, conditional; execution = WP-0004</w:t>
            </w:r>
          </w:p>
        </w:tc>
        <w:tc>
          <w:tcPr>
            <w:tcW w:type="dxa" w:w="1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None</w:t>
            </w:r>
          </w:p>
        </w:tc>
        <w:tc>
          <w:tcPr>
            <w:tcW w:type="dxa" w:w="20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Publish taxonomy pattern documentation; stand up per-release check</w:t>
            </w:r>
          </w:p>
        </w:tc>
        <w:tc>
          <w:tcPr>
            <w:tcW w:type="dxa" w:w="19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Begin in Wave 2, may follow WP-0001</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WP-0005</w:t>
            </w:r>
          </w:p>
        </w:tc>
        <w:tc>
          <w:tcPr>
            <w:tcW w:type="dxa" w:w="1300"/>
            <w:tcMar>
              <w:top w:type="dxa" w:w="60"/>
              <w:left w:type="dxa" w:w="100"/>
              <w:bottom w:type="dxa" w:w="60"/>
              <w:right w:type="dxa" w:w="100"/>
            </w:tcMar>
            <w:vAlign w:val="center"/>
          </w:tcPr>
          <w:p>
            <w:pPr>
              <w:jc w:val="left"/>
            </w:pPr>
            <w:r>
              <w:rPr>
                <w:b w:val="false"/>
                <w:bCs w:val="false"/>
                <w:color w:val="000000"/>
                <w:sz w:val="19"/>
                <w:szCs w:val="19"/>
              </w:rPr>
              <w:t xml:space="preserve">Proceed</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EGD-0007 Accepted, in progress (extension)</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None</w:t>
            </w:r>
          </w:p>
        </w:tc>
        <w:tc>
          <w:tcPr>
            <w:tcW w:type="dxa" w:w="2050"/>
            <w:tcMar>
              <w:top w:type="dxa" w:w="60"/>
              <w:left w:type="dxa" w:w="100"/>
              <w:bottom w:type="dxa" w:w="60"/>
              <w:right w:type="dxa" w:w="100"/>
            </w:tcMar>
            <w:vAlign w:val="center"/>
          </w:tcPr>
          <w:p>
            <w:pPr>
              <w:jc w:val="left"/>
            </w:pPr>
            <w:r>
              <w:rPr>
                <w:b w:val="false"/>
                <w:bCs w:val="false"/>
                <w:color w:val="000000"/>
                <w:sz w:val="19"/>
                <w:szCs w:val="19"/>
              </w:rPr>
              <w:t xml:space="preserve">Conduct column-level access review using WP-0002's template</w:t>
            </w:r>
          </w:p>
        </w:tc>
        <w:tc>
          <w:tcPr>
            <w:tcW w:type="dxa" w:w="1950"/>
            <w:tcMar>
              <w:top w:type="dxa" w:w="60"/>
              <w:left w:type="dxa" w:w="100"/>
              <w:bottom w:type="dxa" w:w="60"/>
              <w:right w:type="dxa" w:w="100"/>
            </w:tcMar>
            <w:vAlign w:val="center"/>
          </w:tcPr>
          <w:p>
            <w:pPr>
              <w:jc w:val="left"/>
            </w:pPr>
            <w:r>
              <w:rPr>
                <w:b w:val="false"/>
                <w:bCs w:val="false"/>
                <w:color w:val="000000"/>
                <w:sz w:val="19"/>
                <w:szCs w:val="19"/>
              </w:rPr>
              <w:t xml:space="preserve">Begin in Wave 2, ideally after WP-0002</w:t>
            </w:r>
          </w:p>
        </w:tc>
      </w:tr>
      <w:tr>
        <w:tc>
          <w:tcPr>
            <w:tcW w:type="dxa" w:w="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WP-0006</w:t>
            </w:r>
          </w:p>
        </w:tc>
        <w:tc>
          <w:tcPr>
            <w:tcW w:type="dxa" w:w="13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Proceed</w:t>
            </w:r>
          </w:p>
        </w:tc>
        <w:tc>
          <w:tcPr>
            <w:tcW w:type="dxa" w:w="1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AP-009; all nine EGD owner fields unassigned</w:t>
            </w:r>
          </w:p>
        </w:tc>
        <w:tc>
          <w:tcPr>
            <w:tcW w:type="dxa" w:w="1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None</w:t>
            </w:r>
          </w:p>
        </w:tc>
        <w:tc>
          <w:tcPr>
            <w:tcW w:type="dxa" w:w="20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Name the five accountable owners</w:t>
            </w:r>
          </w:p>
        </w:tc>
        <w:tc>
          <w:tcPr>
            <w:tcW w:type="dxa" w:w="195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Begin immediately — the single highest-leverage action available</w:t>
            </w:r>
          </w:p>
        </w:tc>
      </w:tr>
    </w:tbl>
    <w:p>
      <w:pPr>
        <w:pStyle w:val="Heading1"/>
        <w:spacing w:after="160" w:before="360"/>
      </w:pPr>
      <w:r>
        <w:t xml:space="preserve">10.3.8 — Executive Summary</w:t>
      </w:r>
    </w:p>
    <w:p>
      <w:pPr>
        <w:spacing w:after="160"/>
        <w:jc w:val="left"/>
      </w:pPr>
      <w:r>
        <w:rPr>
          <w:b/>
          <w:bCs/>
          <w:i w:val="false"/>
          <w:iCs w:val="false"/>
          <w:sz w:val="21"/>
          <w:szCs w:val="21"/>
        </w:rPr>
        <w:t xml:space="preserve">Current Work Package Portfolio Status</w:t>
      </w:r>
    </w:p>
    <w:p>
      <w:pPr>
        <w:spacing w:after="160"/>
        <w:jc w:val="left"/>
      </w:pPr>
      <w:r>
        <w:rPr>
          <w:b w:val="false"/>
          <w:bCs w:val="false"/>
          <w:i w:val="false"/>
          <w:iCs w:val="false"/>
          <w:sz w:val="21"/>
          <w:szCs w:val="21"/>
        </w:rPr>
        <w:t xml:space="preserve">All six approved Work Packages (WP-0001–WP-0006) carry complete engineering profiles (Sections 2, 4–5), complete conformance and verification plans (Sections 6–7), a fully assessed risk posture (Section 8), and fully defined acceptance criteria (Section 9). As of this dashboard, zero of six Work Packages have been executed, verified, or formally accepted (Phase B §12; Section 9 §10).</w:t>
      </w:r>
    </w:p>
    <w:p>
      <w:pPr>
        <w:spacing w:after="160"/>
        <w:jc w:val="left"/>
      </w:pPr>
      <w:r>
        <w:rPr>
          <w:b/>
          <w:bCs/>
          <w:i w:val="false"/>
          <w:iCs w:val="false"/>
          <w:sz w:val="21"/>
          <w:szCs w:val="21"/>
        </w:rPr>
        <w:t xml:space="preserve">Overall Implementation Maturity</w:t>
      </w:r>
    </w:p>
    <w:p>
      <w:pPr>
        <w:spacing w:after="160"/>
        <w:jc w:val="left"/>
      </w:pPr>
      <w:r>
        <w:rPr>
          <w:b w:val="false"/>
          <w:bCs w:val="false"/>
          <w:i w:val="false"/>
          <w:iCs w:val="false"/>
          <w:sz w:val="21"/>
          <w:szCs w:val="21"/>
        </w:rPr>
        <w:t xml:space="preserve">Defined but not yet Realized. Every Work Package is fully specified at the design and blueprint level; none has moved into execution. This maturity rating is unchanged from the rating recorded in Phase A.3 §12 and confirmed throughout Sections 1–9 and Section 10.2.</w:t>
      </w:r>
    </w:p>
    <w:p>
      <w:pPr>
        <w:spacing w:after="160"/>
        <w:jc w:val="left"/>
      </w:pPr>
      <w:r>
        <w:rPr>
          <w:b/>
          <w:bCs/>
          <w:i w:val="false"/>
          <w:iCs w:val="false"/>
          <w:sz w:val="21"/>
          <w:szCs w:val="21"/>
        </w:rPr>
        <w:t xml:space="preserve">Current Execution Readiness</w:t>
      </w:r>
    </w:p>
    <w:p>
      <w:pPr>
        <w:spacing w:after="160"/>
        <w:jc w:val="left"/>
      </w:pPr>
      <w:r>
        <w:rPr>
          <w:b w:val="false"/>
          <w:bCs w:val="false"/>
          <w:i w:val="false"/>
          <w:iCs w:val="false"/>
          <w:sz w:val="21"/>
          <w:szCs w:val="21"/>
        </w:rPr>
        <w:t xml:space="preserve">Wave 1 (WP-0002, WP-0006) is immediately executable with zero blocking dependency. Wave 2 (WP-0001, WP-0004, WP-0005) is ready to follow. Wave 3 (WP-0003) is monitoring-ready, not execution-ready, pending its external trigger.</w:t>
      </w:r>
    </w:p>
    <w:p>
      <w:pPr>
        <w:spacing w:after="160"/>
        <w:jc w:val="left"/>
      </w:pPr>
      <w:r>
        <w:rPr>
          <w:b/>
          <w:bCs/>
          <w:i w:val="false"/>
          <w:iCs w:val="false"/>
          <w:sz w:val="21"/>
          <w:szCs w:val="21"/>
        </w:rPr>
        <w:t xml:space="preserve">Outstanding Conditions</w:t>
      </w:r>
    </w:p>
    <w:p>
      <w:pPr>
        <w:pStyle w:val="ListParagraph"/>
        <w:numPr>
          <w:ilvl w:val="0"/>
          <w:numId w:val="1"/>
        </w:numPr>
        <w:spacing w:after="90"/>
      </w:pPr>
      <w:r>
        <w:rPr>
          <w:sz w:val="21"/>
          <w:szCs w:val="21"/>
        </w:rPr>
        <w:t xml:space="preserve">Named, accountable ownership (KPI-08 = 0%) is the single condition recurring across every Work Package profile in Section 10.3.3 — resolved directly by WP-0006.</w:t>
      </w:r>
    </w:p>
    <w:p>
      <w:pPr>
        <w:pStyle w:val="ListParagraph"/>
        <w:numPr>
          <w:ilvl w:val="0"/>
          <w:numId w:val="1"/>
        </w:numPr>
        <w:spacing w:after="90"/>
      </w:pPr>
      <w:r>
        <w:rPr>
          <w:sz w:val="21"/>
          <w:szCs w:val="21"/>
        </w:rPr>
        <w:t xml:space="preserve">WP-0002's RLS coverage is confirmed today only on 2 of 4 named table groups.</w:t>
      </w:r>
    </w:p>
    <w:p>
      <w:pPr>
        <w:pStyle w:val="ListParagraph"/>
        <w:numPr>
          <w:ilvl w:val="0"/>
          <w:numId w:val="1"/>
        </w:numPr>
        <w:spacing w:after="90"/>
      </w:pPr>
      <w:r>
        <w:rPr>
          <w:sz w:val="21"/>
          <w:szCs w:val="21"/>
        </w:rPr>
        <w:t xml:space="preserve">WP-0003's row-count/growth data has not yet been gathered, so the EGD-0004 trigger cannot yet be assessed.</w:t>
      </w:r>
    </w:p>
    <w:p>
      <w:pPr>
        <w:spacing w:after="160"/>
        <w:jc w:val="left"/>
      </w:pPr>
      <w:r>
        <w:rPr>
          <w:b/>
          <w:bCs/>
          <w:i w:val="false"/>
          <w:iCs w:val="false"/>
          <w:sz w:val="21"/>
          <w:szCs w:val="21"/>
        </w:rPr>
        <w:t xml:space="preserve">Executive Priorities</w:t>
      </w:r>
    </w:p>
    <w:p>
      <w:pPr>
        <w:pStyle w:val="ListParagraph"/>
        <w:numPr>
          <w:ilvl w:val="0"/>
          <w:numId w:val="1"/>
        </w:numPr>
        <w:spacing w:after="90"/>
      </w:pPr>
      <w:r>
        <w:rPr>
          <w:sz w:val="21"/>
          <w:szCs w:val="21"/>
        </w:rPr>
        <w:t xml:space="preserve">1. Execute WP-0006 (ownership assignment) — the highest-leverage, zero-dependency action available, unlocking accountable execution across every other Work Package.</w:t>
      </w:r>
    </w:p>
    <w:p>
      <w:pPr>
        <w:pStyle w:val="ListParagraph"/>
        <w:numPr>
          <w:ilvl w:val="0"/>
          <w:numId w:val="1"/>
        </w:numPr>
        <w:spacing w:after="90"/>
      </w:pPr>
      <w:r>
        <w:rPr>
          <w:sz w:val="21"/>
          <w:szCs w:val="21"/>
        </w:rPr>
        <w:t xml:space="preserve">2. Execute WP-0002 (RLS verification) in parallel — closes the baseline's one Critical-until-verified security gap.</w:t>
      </w:r>
    </w:p>
    <w:p>
      <w:pPr>
        <w:pStyle w:val="ListParagraph"/>
        <w:numPr>
          <w:ilvl w:val="0"/>
          <w:numId w:val="1"/>
        </w:numPr>
        <w:spacing w:after="90"/>
      </w:pPr>
      <w:r>
        <w:rPr>
          <w:sz w:val="21"/>
          <w:szCs w:val="21"/>
        </w:rPr>
        <w:t xml:space="preserve">3. Sequence WP-0001, WP-0004, and WP-0005 into Wave 2 following Wave 1 completion.</w:t>
      </w:r>
    </w:p>
    <w:p>
      <w:pPr>
        <w:pStyle w:val="ListParagraph"/>
        <w:numPr>
          <w:ilvl w:val="0"/>
          <w:numId w:val="1"/>
        </w:numPr>
        <w:spacing w:after="90"/>
      </w:pPr>
      <w:r>
        <w:rPr>
          <w:sz w:val="21"/>
          <w:szCs w:val="21"/>
        </w:rPr>
        <w:t xml:space="preserve">4. Continue quarterly monitoring of WP-0003's trigger conditions without initiating assessment work prematurely.</w:t>
      </w:r>
    </w:p>
    <w:p>
      <w:pPr>
        <w:spacing w:after="160"/>
        <w:jc w:val="left"/>
      </w:pPr>
      <w:r>
        <w:rPr>
          <w:b/>
          <w:bCs/>
          <w:i w:val="false"/>
          <w:iCs w:val="false"/>
          <w:sz w:val="21"/>
          <w:szCs w:val="21"/>
        </w:rPr>
        <w:t xml:space="preserve">Transition Readiness into Phase D</w:t>
      </w:r>
    </w:p>
    <w:p>
      <w:pPr>
        <w:spacing w:after="160"/>
        <w:jc w:val="left"/>
      </w:pPr>
      <w:r>
        <w:rPr>
          <w:b w:val="false"/>
          <w:bCs w:val="false"/>
          <w:i w:val="false"/>
          <w:iCs w:val="false"/>
          <w:sz w:val="21"/>
          <w:szCs w:val="21"/>
        </w:rPr>
        <w:t xml:space="preserve">Not Evidenced in Current Baseline. No approved repository defines a Phase D scope, entry criteria, or transition plan; ERP-01 as approved concludes its currently-governed scope at Phase C. Any Phase D content would require a new, approved realization phase and is Reserved for Future Realization Phases.</w:t>
      </w:r>
    </w:p>
    <w:p>
      <w:pPr>
        <w:pBdr>
          <w:bottom w:val="single" w:color="AAAAAA" w:sz="6" w:space="1"/>
        </w:pBdr>
        <w:spacing w:after="240"/>
      </w:pPr>
    </w:p>
    <w:p>
      <w:pPr>
        <w:spacing w:after="200"/>
      </w:pPr>
      <w:r>
        <w:rPr>
          <w:i/>
          <w:iCs/>
          <w:color w:val="555555"/>
          <w:sz w:val="20"/>
          <w:szCs w:val="20"/>
        </w:rPr>
        <w:t xml:space="preserve">End of Section 10.3. This document introduces no new Work Package, engineering activity, governance decision, or readiness score beyond what ERP-01 Phase A.1 through Phase C Section 10.2 already established.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b/>
      <w:bCs/>
      <w:color w:val="1F3864"/>
      <w:sz w:val="27"/>
      <w:szCs w:val="27"/>
    </w:rPr>
  </w:style>
  <w:style w:type="paragraph" w:styleId="Heading2">
    <w:name w:val="Heading 2"/>
    <w:basedOn w:val="Normal"/>
    <w:next w:val="Normal"/>
    <w:qFormat/>
    <w:pPr>
      <w:spacing w:after="120" w:before="260"/>
    </w:pPr>
    <w:rPr>
      <w:b/>
      <w:bCs/>
      <w:color w:val="2E5395"/>
      <w:sz w:val="24"/>
      <w:szCs w:val="24"/>
    </w:rPr>
  </w:style>
  <w:style w:type="paragraph" w:styleId="Heading3">
    <w:name w:val="Heading 3"/>
    <w:basedOn w:val="Normal"/>
    <w:next w:val="Normal"/>
    <w:qFormat/>
    <w:pPr>
      <w:spacing w:after="100" w:before="200"/>
    </w:pPr>
    <w:rPr>
      <w:b/>
      <w:b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2026-07-09T19:13:21.529Z</dcterms:created>
  <dcterms:modified xsi:type="dcterms:W3CDTF">2026-07-09T19:13:21.541Z</dcterms:modified>
</cp:coreProperties>
</file>

<file path=docProps/custom.xml><?xml version="1.0" encoding="utf-8"?>
<Properties xmlns="http://schemas.openxmlformats.org/officeDocument/2006/custom-properties" xmlns:vt="http://schemas.openxmlformats.org/officeDocument/2006/docPropsVTypes"/>
</file>