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5B6470"/>
          <w:sz w:val="22"/>
          <w:szCs w:val="22"/>
        </w:rPr>
        <w:t xml:space="preserve">ERP-01 — Phase C</w:t>
      </w:r>
    </w:p>
    <w:p>
      <w:pPr>
        <w:spacing w:after="120" w:before="0"/>
      </w:pPr>
      <w:r>
        <w:rPr>
          <w:b/>
          <w:bCs/>
          <w:color w:val="1F2A44"/>
          <w:sz w:val="36"/>
          <w:szCs w:val="36"/>
        </w:rPr>
        <w:t xml:space="preserve">Section 10.5 — Executive Wave Progress Dashboard</w:t>
      </w:r>
    </w:p>
    <w:p>
      <w:pPr>
        <w:spacing w:after="60" w:before="0"/>
      </w:pPr>
      <w:r>
        <w:rPr>
          <w:i/>
          <w:iCs/>
          <w:sz w:val="24"/>
          <w:szCs w:val="24"/>
        </w:rPr>
        <w:t xml:space="preserve">HireRise Career Intelligence Platform</w:t>
      </w:r>
    </w:p>
    <w:p>
      <w:pPr>
        <w:spacing w:after="200" w:before="0"/>
      </w:pPr>
      <w:r>
        <w:rPr>
          <w:color w:val="5B6470"/>
          <w:sz w:val="21"/>
          <w:szCs w:val="21"/>
        </w:rPr>
        <w:t xml:space="preserve">Executive Realization View of Approved Implementation Waves</w:t>
      </w:r>
    </w:p>
    <w:p>
      <w:pPr>
        <w:spacing w:after="300" w:before="0"/>
      </w:pPr>
      <w:r>
        <w:rPr>
          <w:color w:val="5B6470"/>
          <w:sz w:val="20"/>
          <w:szCs w:val="20"/>
        </w:rPr>
        <w:t xml:space="preserve">Version 1.0 | Status: DRAFT FOR REVIEW</w:t>
      </w:r>
    </w:p>
    <w:p>
      <w:pPr>
        <w:spacing w:after="200" w:before="0"/>
      </w:pPr>
      <w:r>
        <w:rPr>
          <w:b/>
          <w:bCs/>
          <w:color w:val="B36B00"/>
          <w:sz w:val="20"/>
          <w:szCs w:val="20"/>
        </w:rPr>
        <w:t xml:space="preserve">Target-State Architecture &amp; Engineering Planning Artifact — Not Evidence of an Operating Governance Body</w:t>
      </w:r>
    </w:p>
    <w:p>
      <w:pPr>
        <w:pStyle w:val="Heading3"/>
        <w:spacing w:after="160" w:before="260"/>
      </w:pPr>
      <w:r>
        <w:rPr>
          <w:b/>
          <w:bCs/>
          <w:color w:val="1F2A44"/>
          <w:sz w:val="22"/>
          <w:szCs w:val="22"/>
        </w:rPr>
        <w:t xml:space="preserve">A Note on Governance Framing</w:t>
      </w:r>
    </w:p>
    <w:p>
      <w:pPr>
        <w:spacing w:after="160" w:before="0"/>
      </w:pPr>
      <w:r>
        <w:rPr>
          <w:sz w:val="20"/>
          <w:szCs w:val="20"/>
        </w:rPr>
        <w:t xml:space="preserve">This document is an architecture and engineering planning artifact. Waves, dependencies, readiness ratings, and the governance roles referenced below describe target-state governance architecture for the HireRise platform — a structure the program is designed to grow into — not evidence that a chartered Enterprise Architecture Board, Portfolio Management Office, Executive Steering Committee, or certification authority currently exists or has operated. Every governance role referenced in this document is a defined future governance role or architectural responsibility, consistent with ERP-01 Phase A.3's permanent-identifier and evidence-first principles.</w:t>
      </w:r>
    </w:p>
    <w:p>
      <w:pPr>
        <w:spacing w:after="160" w:before="0"/>
      </w:pPr>
      <w:r>
        <w:rPr>
          <w:sz w:val="20"/>
          <w:szCs w:val="20"/>
        </w:rPr>
        <w:t xml:space="preserve">Every dashboard element below is reused, unchanged, from ERP-01 Phase A.3, Phase B, and Phase C Sections 1 through 10.4. This document introduces no new wave, Work Package, portfolio, governance decision, readiness calculation, executive metric, or critical-path activity. Where evidence does not exist, this document states "Not Evidenced in Current Baseline." Where content depends on a future realization phase, this document states "Reserved for Future Realization Phases."</w:t>
      </w:r>
    </w:p>
    <w:p>
      <w:r>
        <w:br w:type="page"/>
      </w:r>
    </w:p>
    <w:p>
      <w:pPr>
        <w:pStyle w:val="Heading1"/>
        <w:spacing w:after="240" w:before="480"/>
      </w:pPr>
      <w:r>
        <w:rPr>
          <w:b/>
          <w:bCs/>
          <w:color w:val="1F2A44"/>
          <w:sz w:val="30"/>
          <w:szCs w:val="30"/>
        </w:rPr>
        <w:t xml:space="preserve">10.5 Executive Wave Progress Dashboard</w:t>
      </w:r>
    </w:p>
    <w:p>
      <w:pPr>
        <w:pStyle w:val="Heading2"/>
        <w:spacing w:after="200" w:before="360"/>
      </w:pPr>
      <w:r>
        <w:rPr>
          <w:b/>
          <w:bCs/>
          <w:color w:val="3E5C76"/>
          <w:sz w:val="26"/>
          <w:szCs w:val="26"/>
        </w:rPr>
        <w:t xml:space="preserve">10.5.1 — Executive Wave Overview</w:t>
      </w:r>
    </w:p>
    <w:p>
      <w:pPr>
        <w:pStyle w:val="Heading3"/>
        <w:spacing w:after="160" w:before="260"/>
      </w:pPr>
      <w:r>
        <w:rPr>
          <w:b/>
          <w:bCs/>
          <w:color w:val="1F2A44"/>
          <w:sz w:val="22"/>
          <w:szCs w:val="22"/>
        </w:rPr>
        <w:t xml:space="preserve">Purpose of Wave Management</w:t>
      </w:r>
    </w:p>
    <w:p>
      <w:pPr>
        <w:spacing w:after="160" w:before="0"/>
      </w:pPr>
      <w:r>
        <w:rPr>
          <w:sz w:val="22"/>
          <w:szCs w:val="22"/>
        </w:rPr>
        <w:t xml:space="preserve">ERP-01 Phase B (§5, Enterprise Release Strategy) defines five realization waves as the mechanism for sequencing the six approved Work Packages (WP-0001–WP-0006) into an executable order. A wave is not a calendar period; it is a dependency-derived grouping — Work Packages are assigned to a wave because their preconditions are satisfied at that point in the sequence, not because a target date was set for them. Section 10.5 exists to give the Executive Steering Committee construct a single realization-sequencing view of the program: which waves are startable now, which are gated and on what condition, and what the program's true critical path is, independent of Work-Package-by-Work-Package or portfolio-by-portfolio detail.</w:t>
      </w:r>
    </w:p>
    <w:p>
      <w:pPr>
        <w:pStyle w:val="Heading3"/>
        <w:spacing w:after="160" w:before="260"/>
      </w:pPr>
      <w:r>
        <w:rPr>
          <w:b/>
          <w:bCs/>
          <w:color w:val="1F2A44"/>
          <w:sz w:val="22"/>
          <w:szCs w:val="22"/>
        </w:rPr>
        <w:t xml:space="preserve">Relationship with Section 10.4</w:t>
      </w:r>
    </w:p>
    <w:p>
      <w:pPr>
        <w:spacing w:after="160" w:before="0"/>
      </w:pPr>
      <w:r>
        <w:rPr>
          <w:sz w:val="22"/>
          <w:szCs w:val="22"/>
        </w:rPr>
        <w:t xml:space="preserve">Section 10.4 (Portfolio Control Dashboard) reports portfolio-level governance: which portfolios are active, which are reserved, and what governance condition applies to each. Section 10.5 reports a different axis of the same underlying evidence — realization sequencing rather than governance ownership. The two views intersect (each wave is composed of Work Packages that also roll up into portfolios) but answer different executive questions: 10.4 answers "who is accountable and is the portfolio in good governance standing," while 10.5 answers "what is startable now, what is blocked, and in what order does the remaining work need to happen."</w:t>
      </w:r>
    </w:p>
    <w:p>
      <w:pPr>
        <w:pStyle w:val="Heading3"/>
        <w:spacing w:after="160" w:before="260"/>
      </w:pPr>
      <w:r>
        <w:rPr>
          <w:b/>
          <w:bCs/>
          <w:color w:val="1F2A44"/>
          <w:sz w:val="22"/>
          <w:szCs w:val="22"/>
        </w:rPr>
        <w:t xml:space="preserve">Realization Sequencing Philosophy</w:t>
      </w:r>
    </w:p>
    <w:p>
      <w:pPr>
        <w:spacing w:after="160" w:before="0"/>
      </w:pPr>
      <w:r>
        <w:rPr>
          <w:sz w:val="22"/>
          <w:szCs w:val="22"/>
        </w:rPr>
        <w:t xml:space="preserve">Wave sequencing in ERP-01 is governed by two principles established in Phase B: (1) a Work Package is assigned to the earliest wave in which all of its preconditions are already satisfied, and (2) waves are not populated speculatively — a wave with no evidenced Work Package remains empty and reserved rather than pre-filled with anticipated future work. This is why Waves 1–3 carry the program's full six Work Packages while Waves 4 and 5 remain unpopulated: no Architecture Requirement or Enterprise Governance Decision currently exists in the domains those waves are reserved for (Business Intelligence / AI Intelligence and Enterprise Optimization, respectively).</w:t>
      </w:r>
    </w:p>
    <w:p>
      <w:pPr>
        <w:pStyle w:val="Heading3"/>
        <w:spacing w:after="160" w:before="260"/>
      </w:pPr>
      <w:r>
        <w:rPr>
          <w:b/>
          <w:bCs/>
          <w:color w:val="1F2A44"/>
          <w:sz w:val="22"/>
          <w:szCs w:val="22"/>
        </w:rPr>
        <w:t xml:space="preserve">Executive Execution Oversight</w:t>
      </w:r>
    </w:p>
    <w:p>
      <w:pPr>
        <w:spacing w:after="160" w:before="0"/>
      </w:pPr>
      <w:r>
        <w:rPr>
          <w:sz w:val="22"/>
          <w:szCs w:val="22"/>
        </w:rPr>
        <w:t xml:space="preserve">Consistent with the governance framing on the title page, "executive oversight" of wave execution is a target-state design responsibility assigned to the Executive Steering Committee and Portfolio Governance Board constructs, not a description of oversight that has already occurred. No wave has been reviewed, approved for execution, or closed by an operating governance body as of this baseline.</w:t>
      </w:r>
    </w:p>
    <w:p>
      <w:pPr>
        <w:pStyle w:val="Heading3"/>
        <w:spacing w:after="160" w:before="260"/>
      </w:pPr>
      <w:r>
        <w:rPr>
          <w:b/>
          <w:bCs/>
          <w:color w:val="1F2A44"/>
          <w:sz w:val="22"/>
          <w:szCs w:val="22"/>
        </w:rPr>
        <w:t xml:space="preserve">Evidence-First Reporting Principles</w:t>
      </w:r>
    </w:p>
    <w:p>
      <w:pPr>
        <w:spacing w:after="160" w:before="0"/>
      </w:pPr>
      <w:r>
        <w:rPr>
          <w:sz w:val="22"/>
          <w:szCs w:val="22"/>
        </w:rPr>
        <w:t xml:space="preserve">This section, like Sections 10.1–10.4, performs no new analysis, assigns no new readiness score, and reports no implementation progress beyond what Phase A.3, Phase B, and Sections 1–10.4 already evidence. Every figure below traces to a specific prior section. Where a dashboard element requested by the ERP-01 template has no corresponding evidence in the baseline, this section states "Not Evidenced in Current Baseline." rather than approximating or interpolating a value.</w:t>
      </w:r>
    </w:p>
    <w:p>
      <w:pPr>
        <w:pStyle w:val="Heading2"/>
        <w:spacing w:after="200" w:before="360"/>
      </w:pPr>
      <w:r>
        <w:rPr>
          <w:b/>
          <w:bCs/>
          <w:color w:val="3E5C76"/>
          <w:sz w:val="26"/>
          <w:szCs w:val="26"/>
        </w:rPr>
        <w:t xml:space="preserve">10.5.2 — Enterprise Wave Summary Dashboard</w:t>
      </w:r>
    </w:p>
    <w:p>
      <w:pPr>
        <w:spacing w:after="200" w:before="80"/>
      </w:pPr>
      <w:r>
        <w:rPr>
          <w:i/>
          <w:iCs/>
          <w:color w:val="5B6470"/>
          <w:sz w:val="19"/>
          <w:szCs w:val="19"/>
        </w:rPr>
        <w:t xml:space="preserve">Source: ERP-01 Phase B §5 (Enterprise Release Strategy); Phase C Section 10.3, Section 10.4.</w:t>
      </w:r>
    </w:p>
    <w:tbl>
      <w:tblPr>
        <w:tblW w:type="dxa" w:w="9360"/>
        <w:tblBorders>
          <w:top w:val="single" w:color="AAB2BD" w:sz="4"/>
          <w:left w:val="single" w:color="AAB2BD" w:sz="4"/>
          <w:bottom w:val="single" w:color="AAB2BD" w:sz="4"/>
          <w:right w:val="single" w:color="AAB2BD" w:sz="4"/>
          <w:insideH w:val="single" w:color="CCD1D9" w:sz="2"/>
          <w:insideV w:val="single" w:color="CCD1D9" w:sz="2"/>
        </w:tblBorders>
      </w:tblPr>
      <w:tblGrid>
        <w:gridCol w:w="824"/>
        <w:gridCol w:w="1318"/>
        <w:gridCol w:w="1977"/>
        <w:gridCol w:w="824"/>
        <w:gridCol w:w="1154"/>
        <w:gridCol w:w="956"/>
        <w:gridCol w:w="989"/>
        <w:gridCol w:w="1318"/>
      </w:tblGrid>
      <w:tr>
        <w:trPr>
          <w:tblHeader/>
        </w:trPr>
        <w:tc>
          <w:tcPr>
            <w:tcW w:type="dxa" w:w="824"/>
            <w:shd w:fill="1F2A44" w:val="clear"/>
            <w:tcMar>
              <w:top w:type="dxa" w:w="80"/>
              <w:left w:type="dxa" w:w="100"/>
              <w:bottom w:type="dxa" w:w="80"/>
              <w:right w:type="dxa" w:w="100"/>
            </w:tcMar>
            <w:vAlign w:val="top"/>
          </w:tcPr>
          <w:p>
            <w:pPr>
              <w:jc w:val="left"/>
            </w:pPr>
            <w:r>
              <w:rPr>
                <w:b/>
                <w:bCs/>
                <w:color w:val="FFFFFF"/>
                <w:sz w:val="19"/>
                <w:szCs w:val="19"/>
              </w:rPr>
              <w:t xml:space="preserve">Wave</w:t>
            </w:r>
          </w:p>
        </w:tc>
        <w:tc>
          <w:tcPr>
            <w:tcW w:type="dxa" w:w="1318"/>
            <w:shd w:fill="1F2A44" w:val="clear"/>
            <w:tcMar>
              <w:top w:type="dxa" w:w="80"/>
              <w:left w:type="dxa" w:w="100"/>
              <w:bottom w:type="dxa" w:w="80"/>
              <w:right w:type="dxa" w:w="100"/>
            </w:tcMar>
            <w:vAlign w:val="top"/>
          </w:tcPr>
          <w:p>
            <w:pPr>
              <w:jc w:val="left"/>
            </w:pPr>
            <w:r>
              <w:rPr>
                <w:b/>
                <w:bCs/>
                <w:color w:val="FFFFFF"/>
                <w:sz w:val="19"/>
                <w:szCs w:val="19"/>
              </w:rPr>
              <w:t xml:space="preserve">Official Name</w:t>
            </w:r>
          </w:p>
        </w:tc>
        <w:tc>
          <w:tcPr>
            <w:tcW w:type="dxa" w:w="1977"/>
            <w:shd w:fill="1F2A44" w:val="clear"/>
            <w:tcMar>
              <w:top w:type="dxa" w:w="80"/>
              <w:left w:type="dxa" w:w="100"/>
              <w:bottom w:type="dxa" w:w="80"/>
              <w:right w:type="dxa" w:w="100"/>
            </w:tcMar>
            <w:vAlign w:val="top"/>
          </w:tcPr>
          <w:p>
            <w:pPr>
              <w:jc w:val="left"/>
            </w:pPr>
            <w:r>
              <w:rPr>
                <w:b/>
                <w:bCs/>
                <w:color w:val="FFFFFF"/>
                <w:sz w:val="19"/>
                <w:szCs w:val="19"/>
              </w:rPr>
              <w:t xml:space="preserve">Objective</w:t>
            </w:r>
          </w:p>
        </w:tc>
        <w:tc>
          <w:tcPr>
            <w:tcW w:type="dxa" w:w="824"/>
            <w:shd w:fill="1F2A44" w:val="clear"/>
            <w:tcMar>
              <w:top w:type="dxa" w:w="80"/>
              <w:left w:type="dxa" w:w="100"/>
              <w:bottom w:type="dxa" w:w="80"/>
              <w:right w:type="dxa" w:w="100"/>
            </w:tcMar>
            <w:vAlign w:val="top"/>
          </w:tcPr>
          <w:p>
            <w:pPr>
              <w:jc w:val="left"/>
            </w:pPr>
            <w:r>
              <w:rPr>
                <w:b/>
                <w:bCs/>
                <w:color w:val="FFFFFF"/>
                <w:sz w:val="19"/>
                <w:szCs w:val="19"/>
              </w:rPr>
              <w:t xml:space="preserve">Portfolios</w:t>
            </w:r>
          </w:p>
        </w:tc>
        <w:tc>
          <w:tcPr>
            <w:tcW w:type="dxa" w:w="1154"/>
            <w:shd w:fill="1F2A44" w:val="clear"/>
            <w:tcMar>
              <w:top w:type="dxa" w:w="80"/>
              <w:left w:type="dxa" w:w="100"/>
              <w:bottom w:type="dxa" w:w="80"/>
              <w:right w:type="dxa" w:w="100"/>
            </w:tcMar>
            <w:vAlign w:val="top"/>
          </w:tcPr>
          <w:p>
            <w:pPr>
              <w:jc w:val="left"/>
            </w:pPr>
            <w:r>
              <w:rPr>
                <w:b/>
                <w:bCs/>
                <w:color w:val="FFFFFF"/>
                <w:sz w:val="19"/>
                <w:szCs w:val="19"/>
              </w:rPr>
              <w:t xml:space="preserve">Work Packages</w:t>
            </w:r>
          </w:p>
        </w:tc>
        <w:tc>
          <w:tcPr>
            <w:tcW w:type="dxa" w:w="956"/>
            <w:shd w:fill="1F2A44" w:val="clear"/>
            <w:tcMar>
              <w:top w:type="dxa" w:w="80"/>
              <w:left w:type="dxa" w:w="100"/>
              <w:bottom w:type="dxa" w:w="80"/>
              <w:right w:type="dxa" w:w="100"/>
            </w:tcMar>
            <w:vAlign w:val="top"/>
          </w:tcPr>
          <w:p>
            <w:pPr>
              <w:jc w:val="left"/>
            </w:pPr>
            <w:r>
              <w:rPr>
                <w:b/>
                <w:bCs/>
                <w:color w:val="FFFFFF"/>
                <w:sz w:val="19"/>
                <w:szCs w:val="19"/>
              </w:rPr>
              <w:t xml:space="preserve">Status</w:t>
            </w:r>
          </w:p>
        </w:tc>
        <w:tc>
          <w:tcPr>
            <w:tcW w:type="dxa" w:w="989"/>
            <w:shd w:fill="1F2A44" w:val="clear"/>
            <w:tcMar>
              <w:top w:type="dxa" w:w="80"/>
              <w:left w:type="dxa" w:w="100"/>
              <w:bottom w:type="dxa" w:w="80"/>
              <w:right w:type="dxa" w:w="100"/>
            </w:tcMar>
            <w:vAlign w:val="top"/>
          </w:tcPr>
          <w:p>
            <w:pPr>
              <w:jc w:val="left"/>
            </w:pPr>
            <w:r>
              <w:rPr>
                <w:b/>
                <w:bCs/>
                <w:color w:val="FFFFFF"/>
                <w:sz w:val="19"/>
                <w:szCs w:val="19"/>
              </w:rPr>
              <w:t xml:space="preserve">Exec. Readiness</w:t>
            </w:r>
          </w:p>
        </w:tc>
        <w:tc>
          <w:tcPr>
            <w:tcW w:type="dxa" w:w="1318"/>
            <w:shd w:fill="1F2A44" w:val="clear"/>
            <w:tcMar>
              <w:top w:type="dxa" w:w="80"/>
              <w:left w:type="dxa" w:w="100"/>
              <w:bottom w:type="dxa" w:w="80"/>
              <w:right w:type="dxa" w:w="100"/>
            </w:tcMar>
            <w:vAlign w:val="top"/>
          </w:tcPr>
          <w:p>
            <w:pPr>
              <w:jc w:val="left"/>
            </w:pPr>
            <w:r>
              <w:rPr>
                <w:b/>
                <w:bCs/>
                <w:color w:val="FFFFFF"/>
                <w:sz w:val="19"/>
                <w:szCs w:val="19"/>
              </w:rPr>
              <w:t xml:space="preserve">Exec. Assessment</w:t>
            </w:r>
          </w:p>
        </w:tc>
      </w:tr>
      <w:tr>
        <w:tc>
          <w:tcPr>
            <w:tcW w:type="dxa" w:w="824"/>
            <w:shd w:fill="FFFFFF" w:val="clear"/>
            <w:tcMar>
              <w:top w:type="dxa" w:w="80"/>
              <w:left w:type="dxa" w:w="100"/>
              <w:bottom w:type="dxa" w:w="80"/>
              <w:right w:type="dxa" w:w="100"/>
            </w:tcMar>
            <w:vAlign w:val="top"/>
          </w:tcPr>
          <w:p>
            <w:pPr>
              <w:jc w:val="left"/>
            </w:pPr>
            <w:r>
              <w:rPr>
                <w:b w:val="false"/>
                <w:bCs w:val="false"/>
                <w:color w:val="1A1A1A"/>
                <w:sz w:val="19"/>
                <w:szCs w:val="19"/>
              </w:rPr>
              <w:t xml:space="preserve">Wave 1</w:t>
            </w:r>
          </w:p>
        </w:tc>
        <w:tc>
          <w:tcPr>
            <w:tcW w:type="dxa" w:w="1318"/>
            <w:shd w:fill="FFFFFF" w:val="clear"/>
            <w:tcMar>
              <w:top w:type="dxa" w:w="80"/>
              <w:left w:type="dxa" w:w="100"/>
              <w:bottom w:type="dxa" w:w="80"/>
              <w:right w:type="dxa" w:w="100"/>
            </w:tcMar>
            <w:vAlign w:val="top"/>
          </w:tcPr>
          <w:p>
            <w:pPr>
              <w:jc w:val="left"/>
            </w:pPr>
            <w:r>
              <w:rPr>
                <w:b w:val="false"/>
                <w:bCs w:val="false"/>
                <w:color w:val="1A1A1A"/>
                <w:sz w:val="19"/>
                <w:szCs w:val="19"/>
              </w:rPr>
              <w:t xml:space="preserve">Critical Foundation</w:t>
            </w:r>
          </w:p>
        </w:tc>
        <w:tc>
          <w:tcPr>
            <w:tcW w:type="dxa" w:w="1977"/>
            <w:shd w:fill="FFFFFF" w:val="clear"/>
            <w:tcMar>
              <w:top w:type="dxa" w:w="80"/>
              <w:left w:type="dxa" w:w="100"/>
              <w:bottom w:type="dxa" w:w="80"/>
              <w:right w:type="dxa" w:w="100"/>
            </w:tcMar>
            <w:vAlign w:val="top"/>
          </w:tcPr>
          <w:p>
            <w:pPr>
              <w:jc w:val="left"/>
            </w:pPr>
            <w:r>
              <w:rPr>
                <w:b w:val="false"/>
                <w:bCs w:val="false"/>
                <w:color w:val="1A1A1A"/>
                <w:sz w:val="19"/>
                <w:szCs w:val="19"/>
              </w:rPr>
              <w:t xml:space="preserve">Resolve the baseline's two Critical-rated items: unassigned governance ownership and unverified RLS security coverage.</w:t>
            </w:r>
          </w:p>
        </w:tc>
        <w:tc>
          <w:tcPr>
            <w:tcW w:type="dxa" w:w="824"/>
            <w:shd w:fill="FFFFFF" w:val="clear"/>
            <w:tcMar>
              <w:top w:type="dxa" w:w="80"/>
              <w:left w:type="dxa" w:w="100"/>
              <w:bottom w:type="dxa" w:w="80"/>
              <w:right w:type="dxa" w:w="100"/>
            </w:tcMar>
            <w:vAlign w:val="top"/>
          </w:tcPr>
          <w:p>
            <w:pPr>
              <w:jc w:val="left"/>
            </w:pPr>
            <w:r>
              <w:rPr>
                <w:b w:val="false"/>
                <w:bCs w:val="false"/>
                <w:color w:val="1A1A1A"/>
                <w:sz w:val="19"/>
                <w:szCs w:val="19"/>
              </w:rPr>
              <w:t xml:space="preserve">8, 2</w:t>
            </w:r>
          </w:p>
        </w:tc>
        <w:tc>
          <w:tcPr>
            <w:tcW w:type="dxa" w:w="1154"/>
            <w:shd w:fill="FFFFFF" w:val="clear"/>
            <w:tcMar>
              <w:top w:type="dxa" w:w="80"/>
              <w:left w:type="dxa" w:w="100"/>
              <w:bottom w:type="dxa" w:w="80"/>
              <w:right w:type="dxa" w:w="100"/>
            </w:tcMar>
            <w:vAlign w:val="top"/>
          </w:tcPr>
          <w:p>
            <w:pPr>
              <w:jc w:val="left"/>
            </w:pPr>
            <w:r>
              <w:rPr>
                <w:b w:val="false"/>
                <w:bCs w:val="false"/>
                <w:color w:val="1A1A1A"/>
                <w:sz w:val="19"/>
                <w:szCs w:val="19"/>
              </w:rPr>
              <w:t xml:space="preserve">WP-0006, WP-0002</w:t>
            </w:r>
          </w:p>
        </w:tc>
        <w:tc>
          <w:tcPr>
            <w:tcW w:type="dxa" w:w="956"/>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Started</w:t>
            </w:r>
          </w:p>
        </w:tc>
        <w:tc>
          <w:tcPr>
            <w:tcW w:type="dxa" w:w="989"/>
            <w:shd w:fill="FFFFFF" w:val="clear"/>
            <w:tcMar>
              <w:top w:type="dxa" w:w="80"/>
              <w:left w:type="dxa" w:w="100"/>
              <w:bottom w:type="dxa" w:w="80"/>
              <w:right w:type="dxa" w:w="100"/>
            </w:tcMar>
            <w:vAlign w:val="top"/>
          </w:tcPr>
          <w:p>
            <w:pPr>
              <w:jc w:val="left"/>
            </w:pPr>
            <w:r>
              <w:rPr>
                <w:b w:val="false"/>
                <w:bCs w:val="false"/>
                <w:color w:val="1A1A1A"/>
                <w:sz w:val="19"/>
                <w:szCs w:val="19"/>
              </w:rPr>
              <w:t xml:space="preserve">Fully Ready — zero blocking dependency</w:t>
            </w:r>
          </w:p>
        </w:tc>
        <w:tc>
          <w:tcPr>
            <w:tcW w:type="dxa" w:w="1318"/>
            <w:shd w:fill="FFFFFF" w:val="clear"/>
            <w:tcMar>
              <w:top w:type="dxa" w:w="80"/>
              <w:left w:type="dxa" w:w="100"/>
              <w:bottom w:type="dxa" w:w="80"/>
              <w:right w:type="dxa" w:w="100"/>
            </w:tcMar>
            <w:vAlign w:val="top"/>
          </w:tcPr>
          <w:p>
            <w:pPr>
              <w:jc w:val="left"/>
            </w:pPr>
            <w:r>
              <w:rPr>
                <w:b w:val="false"/>
                <w:bCs w:val="false"/>
                <w:color w:val="1A1A1A"/>
                <w:sz w:val="19"/>
                <w:szCs w:val="19"/>
              </w:rPr>
              <w:t xml:space="preserve">Startable immediately; recommended first action</w:t>
            </w:r>
          </w:p>
        </w:tc>
      </w:tr>
      <w:tr>
        <w:tc>
          <w:tcPr>
            <w:tcW w:type="dxa" w:w="824"/>
            <w:shd w:fill="EEF1F5" w:val="clear"/>
            <w:tcMar>
              <w:top w:type="dxa" w:w="80"/>
              <w:left w:type="dxa" w:w="100"/>
              <w:bottom w:type="dxa" w:w="80"/>
              <w:right w:type="dxa" w:w="100"/>
            </w:tcMar>
            <w:vAlign w:val="top"/>
          </w:tcPr>
          <w:p>
            <w:pPr>
              <w:jc w:val="left"/>
            </w:pPr>
            <w:r>
              <w:rPr>
                <w:b w:val="false"/>
                <w:bCs w:val="false"/>
                <w:color w:val="1A1A1A"/>
                <w:sz w:val="19"/>
                <w:szCs w:val="19"/>
              </w:rPr>
              <w:t xml:space="preserve">Wave 2</w:t>
            </w:r>
          </w:p>
        </w:tc>
        <w:tc>
          <w:tcPr>
            <w:tcW w:type="dxa" w:w="1318"/>
            <w:shd w:fill="EEF1F5" w:val="clear"/>
            <w:tcMar>
              <w:top w:type="dxa" w:w="80"/>
              <w:left w:type="dxa" w:w="100"/>
              <w:bottom w:type="dxa" w:w="80"/>
              <w:right w:type="dxa" w:w="100"/>
            </w:tcMar>
            <w:vAlign w:val="top"/>
          </w:tcPr>
          <w:p>
            <w:pPr>
              <w:jc w:val="left"/>
            </w:pPr>
            <w:r>
              <w:rPr>
                <w:b w:val="false"/>
                <w:bCs w:val="false"/>
                <w:color w:val="1A1A1A"/>
                <w:sz w:val="19"/>
                <w:szCs w:val="19"/>
              </w:rPr>
              <w:t xml:space="preserve">Platform Stabilization</w:t>
            </w:r>
          </w:p>
        </w:tc>
        <w:tc>
          <w:tcPr>
            <w:tcW w:type="dxa" w:w="1977"/>
            <w:shd w:fill="EEF1F5" w:val="clear"/>
            <w:tcMar>
              <w:top w:type="dxa" w:w="80"/>
              <w:left w:type="dxa" w:w="100"/>
              <w:bottom w:type="dxa" w:w="80"/>
              <w:right w:type="dxa" w:w="100"/>
            </w:tcMar>
            <w:vAlign w:val="top"/>
          </w:tcPr>
          <w:p>
            <w:pPr>
              <w:jc w:val="left"/>
            </w:pPr>
            <w:r>
              <w:rPr>
                <w:b w:val="false"/>
                <w:bCs w:val="false"/>
                <w:color w:val="1A1A1A"/>
                <w:sz w:val="19"/>
                <w:szCs w:val="19"/>
              </w:rPr>
              <w:t xml:space="preserve">Bring the data-platform documentation and governance baseline into conformance under a named owner.</w:t>
            </w:r>
          </w:p>
        </w:tc>
        <w:tc>
          <w:tcPr>
            <w:tcW w:type="dxa" w:w="824"/>
            <w:shd w:fill="EEF1F5" w:val="clear"/>
            <w:tcMar>
              <w:top w:type="dxa" w:w="80"/>
              <w:left w:type="dxa" w:w="100"/>
              <w:bottom w:type="dxa" w:w="80"/>
              <w:right w:type="dxa" w:w="100"/>
            </w:tcMar>
            <w:vAlign w:val="top"/>
          </w:tcPr>
          <w:p>
            <w:pPr>
              <w:jc w:val="left"/>
            </w:pPr>
            <w:r>
              <w:rPr>
                <w:b w:val="false"/>
                <w:bCs w:val="false"/>
                <w:color w:val="1A1A1A"/>
                <w:sz w:val="19"/>
                <w:szCs w:val="19"/>
              </w:rPr>
              <w:t xml:space="preserve">1</w:t>
            </w:r>
          </w:p>
        </w:tc>
        <w:tc>
          <w:tcPr>
            <w:tcW w:type="dxa" w:w="1154"/>
            <w:shd w:fill="EEF1F5" w:val="clear"/>
            <w:tcMar>
              <w:top w:type="dxa" w:w="80"/>
              <w:left w:type="dxa" w:w="100"/>
              <w:bottom w:type="dxa" w:w="80"/>
              <w:right w:type="dxa" w:w="100"/>
            </w:tcMar>
            <w:vAlign w:val="top"/>
          </w:tcPr>
          <w:p>
            <w:pPr>
              <w:jc w:val="left"/>
            </w:pPr>
            <w:r>
              <w:rPr>
                <w:b w:val="false"/>
                <w:bCs w:val="false"/>
                <w:color w:val="1A1A1A"/>
                <w:sz w:val="19"/>
                <w:szCs w:val="19"/>
              </w:rPr>
              <w:t xml:space="preserve">WP-0001, WP-0004, WP-0005</w:t>
            </w:r>
          </w:p>
        </w:tc>
        <w:tc>
          <w:tcPr>
            <w:tcW w:type="dxa" w:w="956"/>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Started</w:t>
            </w:r>
          </w:p>
        </w:tc>
        <w:tc>
          <w:tcPr>
            <w:tcW w:type="dxa" w:w="989"/>
            <w:shd w:fill="EEF1F5" w:val="clear"/>
            <w:tcMar>
              <w:top w:type="dxa" w:w="80"/>
              <w:left w:type="dxa" w:w="100"/>
              <w:bottom w:type="dxa" w:w="80"/>
              <w:right w:type="dxa" w:w="100"/>
            </w:tcMar>
            <w:vAlign w:val="top"/>
          </w:tcPr>
          <w:p>
            <w:pPr>
              <w:jc w:val="left"/>
            </w:pPr>
            <w:r>
              <w:rPr>
                <w:b w:val="false"/>
                <w:bCs w:val="false"/>
                <w:color w:val="1A1A1A"/>
                <w:sz w:val="19"/>
                <w:szCs w:val="19"/>
              </w:rPr>
              <w:t xml:space="preserve">Ready to proceed after Wave 1</w:t>
            </w:r>
          </w:p>
        </w:tc>
        <w:tc>
          <w:tcPr>
            <w:tcW w:type="dxa" w:w="1318"/>
            <w:shd w:fill="EEF1F5" w:val="clear"/>
            <w:tcMar>
              <w:top w:type="dxa" w:w="80"/>
              <w:left w:type="dxa" w:w="100"/>
              <w:bottom w:type="dxa" w:w="80"/>
              <w:right w:type="dxa" w:w="100"/>
            </w:tcMar>
            <w:vAlign w:val="top"/>
          </w:tcPr>
          <w:p>
            <w:pPr>
              <w:jc w:val="left"/>
            </w:pPr>
            <w:r>
              <w:rPr>
                <w:b w:val="false"/>
                <w:bCs w:val="false"/>
                <w:color w:val="1A1A1A"/>
                <w:sz w:val="19"/>
                <w:szCs w:val="19"/>
              </w:rPr>
              <w:t xml:space="preserve">Sequenced, not blocked; benefits from Wave 1 outputs</w:t>
            </w:r>
          </w:p>
        </w:tc>
      </w:tr>
      <w:tr>
        <w:tc>
          <w:tcPr>
            <w:tcW w:type="dxa" w:w="824"/>
            <w:shd w:fill="FFFFFF" w:val="clear"/>
            <w:tcMar>
              <w:top w:type="dxa" w:w="80"/>
              <w:left w:type="dxa" w:w="100"/>
              <w:bottom w:type="dxa" w:w="80"/>
              <w:right w:type="dxa" w:w="100"/>
            </w:tcMar>
            <w:vAlign w:val="top"/>
          </w:tcPr>
          <w:p>
            <w:pPr>
              <w:jc w:val="left"/>
            </w:pPr>
            <w:r>
              <w:rPr>
                <w:b w:val="false"/>
                <w:bCs w:val="false"/>
                <w:color w:val="1A1A1A"/>
                <w:sz w:val="19"/>
                <w:szCs w:val="19"/>
              </w:rPr>
              <w:t xml:space="preserve">Wave 3</w:t>
            </w:r>
          </w:p>
        </w:tc>
        <w:tc>
          <w:tcPr>
            <w:tcW w:type="dxa" w:w="1318"/>
            <w:shd w:fill="FFFFFF" w:val="clear"/>
            <w:tcMar>
              <w:top w:type="dxa" w:w="80"/>
              <w:left w:type="dxa" w:w="100"/>
              <w:bottom w:type="dxa" w:w="80"/>
              <w:right w:type="dxa" w:w="100"/>
            </w:tcMar>
            <w:vAlign w:val="top"/>
          </w:tcPr>
          <w:p>
            <w:pPr>
              <w:jc w:val="left"/>
            </w:pPr>
            <w:r>
              <w:rPr>
                <w:b w:val="false"/>
                <w:bCs w:val="false"/>
                <w:color w:val="1A1A1A"/>
                <w:sz w:val="19"/>
                <w:szCs w:val="19"/>
              </w:rPr>
              <w:t xml:space="preserve">Trigger-Gated Assessment</w:t>
            </w:r>
          </w:p>
        </w:tc>
        <w:tc>
          <w:tcPr>
            <w:tcW w:type="dxa" w:w="1977"/>
            <w:shd w:fill="FFFFFF" w:val="clear"/>
            <w:tcMar>
              <w:top w:type="dxa" w:w="80"/>
              <w:left w:type="dxa" w:w="100"/>
              <w:bottom w:type="dxa" w:w="80"/>
              <w:right w:type="dxa" w:w="100"/>
            </w:tcMar>
            <w:vAlign w:val="top"/>
          </w:tcPr>
          <w:p>
            <w:pPr>
              <w:jc w:val="left"/>
            </w:pPr>
            <w:r>
              <w:rPr>
                <w:b w:val="false"/>
                <w:bCs w:val="false"/>
                <w:color w:val="1A1A1A"/>
                <w:sz w:val="19"/>
                <w:szCs w:val="19"/>
              </w:rPr>
              <w:t xml:space="preserve">Assess table partitioning once row-count/growth data justifies it.</w:t>
            </w:r>
          </w:p>
        </w:tc>
        <w:tc>
          <w:tcPr>
            <w:tcW w:type="dxa" w:w="824"/>
            <w:shd w:fill="FFFFFF" w:val="clear"/>
            <w:tcMar>
              <w:top w:type="dxa" w:w="80"/>
              <w:left w:type="dxa" w:w="100"/>
              <w:bottom w:type="dxa" w:w="80"/>
              <w:right w:type="dxa" w:w="100"/>
            </w:tcMar>
            <w:vAlign w:val="top"/>
          </w:tcPr>
          <w:p>
            <w:pPr>
              <w:jc w:val="left"/>
            </w:pPr>
            <w:r>
              <w:rPr>
                <w:b w:val="false"/>
                <w:bCs w:val="false"/>
                <w:color w:val="1A1A1A"/>
                <w:sz w:val="19"/>
                <w:szCs w:val="19"/>
              </w:rPr>
              <w:t xml:space="preserve">1</w:t>
            </w:r>
          </w:p>
        </w:tc>
        <w:tc>
          <w:tcPr>
            <w:tcW w:type="dxa" w:w="1154"/>
            <w:shd w:fill="FFFFFF" w:val="clear"/>
            <w:tcMar>
              <w:top w:type="dxa" w:w="80"/>
              <w:left w:type="dxa" w:w="100"/>
              <w:bottom w:type="dxa" w:w="80"/>
              <w:right w:type="dxa" w:w="100"/>
            </w:tcMar>
            <w:vAlign w:val="top"/>
          </w:tcPr>
          <w:p>
            <w:pPr>
              <w:jc w:val="left"/>
            </w:pPr>
            <w:r>
              <w:rPr>
                <w:b w:val="false"/>
                <w:bCs w:val="false"/>
                <w:color w:val="1A1A1A"/>
                <w:sz w:val="19"/>
                <w:szCs w:val="19"/>
              </w:rPr>
              <w:t xml:space="preserve">WP-0003</w:t>
            </w:r>
          </w:p>
        </w:tc>
        <w:tc>
          <w:tcPr>
            <w:tcW w:type="dxa" w:w="956"/>
            <w:shd w:fill="FFFFFF" w:val="clear"/>
            <w:tcMar>
              <w:top w:type="dxa" w:w="80"/>
              <w:left w:type="dxa" w:w="100"/>
              <w:bottom w:type="dxa" w:w="80"/>
              <w:right w:type="dxa" w:w="100"/>
            </w:tcMar>
            <w:vAlign w:val="top"/>
          </w:tcPr>
          <w:p>
            <w:pPr>
              <w:jc w:val="left"/>
            </w:pPr>
            <w:r>
              <w:rPr>
                <w:b w:val="false"/>
                <w:bCs w:val="false"/>
                <w:color w:val="1A1A1A"/>
                <w:sz w:val="19"/>
                <w:szCs w:val="19"/>
              </w:rPr>
              <w:t xml:space="preserve">Dormant — Not Started</w:t>
            </w:r>
          </w:p>
        </w:tc>
        <w:tc>
          <w:tcPr>
            <w:tcW w:type="dxa" w:w="98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Ready — awaiting external trigger data</w:t>
            </w:r>
          </w:p>
        </w:tc>
        <w:tc>
          <w:tcPr>
            <w:tcW w:type="dxa" w:w="1318"/>
            <w:shd w:fill="FFFFFF" w:val="clear"/>
            <w:tcMar>
              <w:top w:type="dxa" w:w="80"/>
              <w:left w:type="dxa" w:w="100"/>
              <w:bottom w:type="dxa" w:w="80"/>
              <w:right w:type="dxa" w:w="100"/>
            </w:tcMar>
            <w:vAlign w:val="top"/>
          </w:tcPr>
          <w:p>
            <w:pPr>
              <w:jc w:val="left"/>
            </w:pPr>
            <w:r>
              <w:rPr>
                <w:b w:val="false"/>
                <w:bCs w:val="false"/>
                <w:color w:val="1A1A1A"/>
                <w:sz w:val="19"/>
                <w:szCs w:val="19"/>
              </w:rPr>
              <w:t xml:space="preserve">Monitoring-only; not on the critical path</w:t>
            </w:r>
          </w:p>
        </w:tc>
      </w:tr>
      <w:tr>
        <w:tc>
          <w:tcPr>
            <w:tcW w:type="dxa" w:w="824"/>
            <w:shd w:fill="EEF1F5" w:val="clear"/>
            <w:tcMar>
              <w:top w:type="dxa" w:w="80"/>
              <w:left w:type="dxa" w:w="100"/>
              <w:bottom w:type="dxa" w:w="80"/>
              <w:right w:type="dxa" w:w="100"/>
            </w:tcMar>
            <w:vAlign w:val="top"/>
          </w:tcPr>
          <w:p>
            <w:pPr>
              <w:jc w:val="left"/>
            </w:pPr>
            <w:r>
              <w:rPr>
                <w:b w:val="false"/>
                <w:bCs w:val="false"/>
                <w:color w:val="1A1A1A"/>
                <w:sz w:val="19"/>
                <w:szCs w:val="19"/>
              </w:rPr>
              <w:t xml:space="preserve">Wave 4</w:t>
            </w:r>
          </w:p>
        </w:tc>
        <w:tc>
          <w:tcPr>
            <w:tcW w:type="dxa" w:w="1318"/>
            <w:shd w:fill="EEF1F5" w:val="clear"/>
            <w:tcMar>
              <w:top w:type="dxa" w:w="80"/>
              <w:left w:type="dxa" w:w="100"/>
              <w:bottom w:type="dxa" w:w="80"/>
              <w:right w:type="dxa" w:w="100"/>
            </w:tcMar>
            <w:vAlign w:val="top"/>
          </w:tcPr>
          <w:p>
            <w:pPr>
              <w:jc w:val="left"/>
            </w:pPr>
            <w:r>
              <w:rPr>
                <w:b w:val="false"/>
                <w:bCs w:val="false"/>
                <w:color w:val="1A1A1A"/>
                <w:sz w:val="19"/>
                <w:szCs w:val="19"/>
              </w:rPr>
              <w:t xml:space="preserve">Business Intelligence / AI Intelligence</w:t>
            </w:r>
          </w:p>
        </w:tc>
        <w:tc>
          <w:tcPr>
            <w:tcW w:type="dxa" w:w="1977"/>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824"/>
            <w:shd w:fill="EEF1F5" w:val="clear"/>
            <w:tcMar>
              <w:top w:type="dxa" w:w="80"/>
              <w:left w:type="dxa" w:w="100"/>
              <w:bottom w:type="dxa" w:w="80"/>
              <w:right w:type="dxa" w:w="100"/>
            </w:tcMar>
            <w:vAlign w:val="top"/>
          </w:tcPr>
          <w:p>
            <w:pPr>
              <w:jc w:val="left"/>
            </w:pPr>
            <w:r>
              <w:rPr>
                <w:b w:val="false"/>
                <w:bCs w:val="false"/>
                <w:color w:val="1A1A1A"/>
                <w:sz w:val="19"/>
                <w:szCs w:val="19"/>
              </w:rPr>
              <w:t xml:space="preserve">3, 4 (reserved)</w:t>
            </w:r>
          </w:p>
        </w:tc>
        <w:tc>
          <w:tcPr>
            <w:tcW w:type="dxa" w:w="1154"/>
            <w:shd w:fill="EEF1F5" w:val="clear"/>
            <w:tcMar>
              <w:top w:type="dxa" w:w="80"/>
              <w:left w:type="dxa" w:w="100"/>
              <w:bottom w:type="dxa" w:w="80"/>
              <w:right w:type="dxa" w:w="100"/>
            </w:tcMar>
            <w:vAlign w:val="top"/>
          </w:tcPr>
          <w:p>
            <w:pPr>
              <w:jc w:val="left"/>
            </w:pPr>
            <w:r>
              <w:rPr>
                <w:b w:val="false"/>
                <w:bCs w:val="false"/>
                <w:color w:val="1A1A1A"/>
                <w:sz w:val="19"/>
                <w:szCs w:val="19"/>
              </w:rPr>
              <w:t xml:space="preserve">None assigned</w:t>
            </w:r>
          </w:p>
        </w:tc>
        <w:tc>
          <w:tcPr>
            <w:tcW w:type="dxa" w:w="956"/>
            <w:shd w:fill="EEF1F5" w:val="clear"/>
            <w:tcMar>
              <w:top w:type="dxa" w:w="80"/>
              <w:left w:type="dxa" w:w="100"/>
              <w:bottom w:type="dxa" w:w="80"/>
              <w:right w:type="dxa" w:w="100"/>
            </w:tcMar>
            <w:vAlign w:val="top"/>
          </w:tcPr>
          <w:p>
            <w:pPr>
              <w:jc w:val="left"/>
            </w:pPr>
            <w:r>
              <w:rPr>
                <w:b w:val="false"/>
                <w:bCs w:val="false"/>
                <w:color w:val="1A1A1A"/>
                <w:sz w:val="19"/>
                <w:szCs w:val="19"/>
              </w:rPr>
              <w:t xml:space="preserve">Unpopulated</w:t>
            </w:r>
          </w:p>
        </w:tc>
        <w:tc>
          <w:tcPr>
            <w:tcW w:type="dxa" w:w="989"/>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Applicable</w:t>
            </w:r>
          </w:p>
        </w:tc>
        <w:tc>
          <w:tcPr>
            <w:tcW w:type="dxa" w:w="1318"/>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r>
        <w:tc>
          <w:tcPr>
            <w:tcW w:type="dxa" w:w="824"/>
            <w:shd w:fill="FFFFFF" w:val="clear"/>
            <w:tcMar>
              <w:top w:type="dxa" w:w="80"/>
              <w:left w:type="dxa" w:w="100"/>
              <w:bottom w:type="dxa" w:w="80"/>
              <w:right w:type="dxa" w:w="100"/>
            </w:tcMar>
            <w:vAlign w:val="top"/>
          </w:tcPr>
          <w:p>
            <w:pPr>
              <w:jc w:val="left"/>
            </w:pPr>
            <w:r>
              <w:rPr>
                <w:b w:val="false"/>
                <w:bCs w:val="false"/>
                <w:color w:val="1A1A1A"/>
                <w:sz w:val="19"/>
                <w:szCs w:val="19"/>
              </w:rPr>
              <w:t xml:space="preserve">Wave 5</w:t>
            </w:r>
          </w:p>
        </w:tc>
        <w:tc>
          <w:tcPr>
            <w:tcW w:type="dxa" w:w="1318"/>
            <w:shd w:fill="FFFFFF" w:val="clear"/>
            <w:tcMar>
              <w:top w:type="dxa" w:w="80"/>
              <w:left w:type="dxa" w:w="100"/>
              <w:bottom w:type="dxa" w:w="80"/>
              <w:right w:type="dxa" w:w="100"/>
            </w:tcMar>
            <w:vAlign w:val="top"/>
          </w:tcPr>
          <w:p>
            <w:pPr>
              <w:jc w:val="left"/>
            </w:pPr>
            <w:r>
              <w:rPr>
                <w:b w:val="false"/>
                <w:bCs w:val="false"/>
                <w:color w:val="1A1A1A"/>
                <w:sz w:val="19"/>
                <w:szCs w:val="19"/>
              </w:rPr>
              <w:t xml:space="preserve">Enterprise Optimization</w:t>
            </w:r>
          </w:p>
        </w:tc>
        <w:tc>
          <w:tcPr>
            <w:tcW w:type="dxa" w:w="1977"/>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824"/>
            <w:shd w:fill="FFFFFF" w:val="clear"/>
            <w:tcMar>
              <w:top w:type="dxa" w:w="80"/>
              <w:left w:type="dxa" w:w="100"/>
              <w:bottom w:type="dxa" w:w="80"/>
              <w:right w:type="dxa" w:w="100"/>
            </w:tcMar>
            <w:vAlign w:val="top"/>
          </w:tcPr>
          <w:p>
            <w:pPr>
              <w:jc w:val="left"/>
            </w:pPr>
            <w:r>
              <w:rPr>
                <w:b w:val="false"/>
                <w:bCs w:val="false"/>
                <w:color w:val="1A1A1A"/>
                <w:sz w:val="19"/>
                <w:szCs w:val="19"/>
              </w:rPr>
              <w:t xml:space="preserve">5, 6, 7 (reserved)</w:t>
            </w:r>
          </w:p>
        </w:tc>
        <w:tc>
          <w:tcPr>
            <w:tcW w:type="dxa" w:w="1154"/>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 assigned</w:t>
            </w:r>
          </w:p>
        </w:tc>
        <w:tc>
          <w:tcPr>
            <w:tcW w:type="dxa" w:w="956"/>
            <w:shd w:fill="FFFFFF" w:val="clear"/>
            <w:tcMar>
              <w:top w:type="dxa" w:w="80"/>
              <w:left w:type="dxa" w:w="100"/>
              <w:bottom w:type="dxa" w:w="80"/>
              <w:right w:type="dxa" w:w="100"/>
            </w:tcMar>
            <w:vAlign w:val="top"/>
          </w:tcPr>
          <w:p>
            <w:pPr>
              <w:jc w:val="left"/>
            </w:pPr>
            <w:r>
              <w:rPr>
                <w:b w:val="false"/>
                <w:bCs w:val="false"/>
                <w:color w:val="1A1A1A"/>
                <w:sz w:val="19"/>
                <w:szCs w:val="19"/>
              </w:rPr>
              <w:t xml:space="preserve">Unpopulated</w:t>
            </w:r>
          </w:p>
        </w:tc>
        <w:tc>
          <w:tcPr>
            <w:tcW w:type="dxa" w:w="98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Applicable</w:t>
            </w:r>
          </w:p>
        </w:tc>
        <w:tc>
          <w:tcPr>
            <w:tcW w:type="dxa" w:w="1318"/>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bl>
    <w:p>
      <w:pPr>
        <w:spacing w:after="200" w:before="80"/>
      </w:pPr>
      <w:r>
        <w:rPr>
          <w:i/>
          <w:iCs/>
          <w:color w:val="5B6470"/>
          <w:sz w:val="19"/>
          <w:szCs w:val="19"/>
        </w:rPr>
        <w:t xml:space="preserve">Portfolio numbering follows Phase C Section 10.4 (Portfolio 1 = Enterprise Data Platform, Portfolio 2 = Enterprise Security, Portfolio 8 = Governance &amp; Quality). Portfolios 3–7 remain reserved.</w:t>
      </w:r>
    </w:p>
    <w:p>
      <w:r>
        <w:br w:type="page"/>
      </w:r>
    </w:p>
    <w:p>
      <w:pPr>
        <w:pStyle w:val="Heading2"/>
        <w:spacing w:after="200" w:before="360"/>
      </w:pPr>
      <w:r>
        <w:rPr>
          <w:b/>
          <w:bCs/>
          <w:color w:val="3E5C76"/>
          <w:sz w:val="26"/>
          <w:szCs w:val="26"/>
        </w:rPr>
        <w:t xml:space="preserve">10.5.3 — Executive Wave Profiles</w:t>
      </w:r>
    </w:p>
    <w:p>
      <w:pPr>
        <w:pStyle w:val="Heading3"/>
        <w:spacing w:after="160" w:before="260"/>
      </w:pPr>
      <w:r>
        <w:rPr>
          <w:b/>
          <w:bCs/>
          <w:color w:val="1F2A44"/>
          <w:sz w:val="22"/>
          <w:szCs w:val="22"/>
        </w:rPr>
        <w:t xml:space="preserve">Wave 1 — Critical Foundation</w:t>
      </w:r>
    </w:p>
    <w:tbl>
      <w:tblPr>
        <w:tblW w:type="dxa" w:w="9360"/>
        <w:tblBorders>
          <w:top w:val="single" w:color="AAB2BD" w:sz="4"/>
          <w:left w:val="single" w:color="AAB2BD" w:sz="4"/>
          <w:bottom w:val="single" w:color="AAB2BD" w:sz="4"/>
          <w:right w:val="single" w:color="AAB2BD" w:sz="4"/>
          <w:insideH w:val="single" w:color="CCD1D9" w:sz="2"/>
          <w:insideV w:val="single" w:color="CCD1D9" w:sz="2"/>
        </w:tblBorders>
      </w:tblPr>
      <w:tblGrid>
        <w:gridCol w:w="2621"/>
        <w:gridCol w:w="6739"/>
      </w:tblGrid>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Wave Identifier</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Wave 1</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Official Objective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Resolve the baseline's Critical-rated blocking governance gap (unassigned ownership) and Critical-rated unverified security gap (RLS coverage on student-owned tables).</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Scope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WP-0006 (Assign named, accountable owners to every unassigned role) and WP-0002 (Verify Row-Level Security coverage on student-owned tables).</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Strategic Purpose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WP-0006 is the single precondition for every other Work Package; WP-0002 closes the one open security gap independently of governance. Both are startable immediately with zero blocking dependency, so Wave 1 exists to capture the highest-leverage, lowest-effort items first.</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Included Portfolios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Portfolio 8 (Governance &amp; Quality); Portfolio 2 (Enterprise Security).</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Included Work Packages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WP-0006, WP-0002.</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Architecture Requirements Covered</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AR-0007 (via WP-0002); ownership-assignment scope of AR-0001–AR-0006 and AR-0008–AR-0010 (via WP-0006).</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Enterprise Governance Decisions Covered</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EGD-0007 (WP-0002); all nine EGDs' ownership dimension (WP-0006).</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Impact</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Database Repository (WP-0002 — RLS policy verification); no repository impact for WP-0006, which is an organizational action.</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Engineering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Design and Implementation Plans Complete per Section 4/5 for both Work Packages — not yet executed.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Governance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WP-0006 is itself the governance-readiness action; KPI-08 (Ownership Assignment) = 0% until it executes.</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Verification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WP-0002 verification method defined (written RLS status + policy list, all student-owned tables); not yet executed.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Risk Posture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Critical — organizational bottleneck (zero owners assigned across all nine governance decisions) is rated the single largest risk in the roadmap; not a technical risk.</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Acceptance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Execute-ready for both Work Packages; not yet accepted.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Certification Contribution</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L4 pending WP-0002 completion (advances AR-0007); WP-0006 is not itself scored against L1–L5 but is the precondition for every other Work Package's advancement.</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Wave Dependencies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 WP-0002 and WP-0006 have no dependency on each other and no blocking dependency of their own.</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Entry Criteria</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 — both Work Packages are startable immediately per Phase B §7.</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Exit Criteria</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WP-0006 executed (every EGD/WP has a named, accountable owner — KPI-08 = 100%); WP-0002 executed (written RLS confirmation for every student-owned table — KPI-06 = 100%).</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Executive Commentary</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Wave 1 is the recommended immediate executive action. It requires no more than a few engineer-days total (Phase B §9) and unblocks Wave 2 in full.</w:t>
            </w:r>
          </w:p>
        </w:tc>
      </w:tr>
    </w:tbl>
    <w:p>
      <w:pPr>
        <w:pStyle w:val="Heading3"/>
        <w:spacing w:after="160" w:before="260"/>
      </w:pPr>
      <w:r>
        <w:rPr>
          <w:b/>
          <w:bCs/>
          <w:color w:val="1F2A44"/>
          <w:sz w:val="22"/>
          <w:szCs w:val="22"/>
        </w:rPr>
        <w:t xml:space="preserve">Wave 2 — Platform Stabilization</w:t>
      </w:r>
    </w:p>
    <w:tbl>
      <w:tblPr>
        <w:tblW w:type="dxa" w:w="9360"/>
        <w:tblBorders>
          <w:top w:val="single" w:color="AAB2BD" w:sz="4"/>
          <w:left w:val="single" w:color="AAB2BD" w:sz="4"/>
          <w:bottom w:val="single" w:color="AAB2BD" w:sz="4"/>
          <w:right w:val="single" w:color="AAB2BD" w:sz="4"/>
          <w:insideH w:val="single" w:color="CCD1D9" w:sz="2"/>
          <w:insideV w:val="single" w:color="CCD1D9" w:sz="2"/>
        </w:tblBorders>
      </w:tblPr>
      <w:tblGrid>
        <w:gridCol w:w="2621"/>
        <w:gridCol w:w="6739"/>
      </w:tblGrid>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Wave Identifier</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Wave 2</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Official Objective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Bring the enterprise data-platform documentation and governance baseline into conformance, under the accountable owner assigned in Wave 1.</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Scope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WP-0001 (Revise Phase A architecture document to canonical schema), WP-0004 (Document accepted denormalization), WP-0005 (Column-level review, extension of WP-0002's method).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Strategic Purpose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Sequenced after Wave 1 so the enterprise architecture owner named by WP-0006 is accountable for WP-0001, and WP-0005 can reuse WP-0002's verification template rather than duplicate it.</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Included Portfolios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Portfolio 1 (Enterprise Data Platform).</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Included Work Packages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WP-0001, WP-0004, WP-0005.</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Architecture Requirements Covered</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AR-0002 (WP-0001), AR-0003 (WP-0004), AR-0007 extension (WP-0005).</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Enterprise Governance Decisions Covered</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EGD-0002, EGD-0003, EGD-0007 (extension).</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Impact</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Documentation Repository (WP-0001, WP-0004); Database Repository (WP-0005).</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Engineering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Design and Implementation Plans Complete for all three Work Packages — not yet executed.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Governance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Depends on WP-0006 (Wave 1) for a named accountable owner; non-blocking benefit, not a hard precondition.</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Verification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WP-0001: table inventory diff vs. live schema. WP-0004: per-release automated denormalization check. WP-0005: review-based, following WP-0002's method.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Risk Posture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Medium-High — resolves the baseline's top-rated confirmed risk (documentation drift, Phase A.1 §13).</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Acceptance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Execute-ready (WP-0004, WP-0005); documentation-only, ready (WP-0001).</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Certification Contribution</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L4 pending completion of each Work Package; collectively the exit condition for the Data Platform Ready milestone.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Wave Dependencies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Non-blocking benefit from Wave 1 (WP-0006 → WP-0001 ownership; WP-0002 → WP-0005 verification template reuse). No hard blocking dependency on Wave 1.</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Entry Criteria</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Startable now per Phase B §7; recommended to begin after Wave 1 for ownership-accountability reasons.</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Exit Criteria</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WP-0001, WP-0004, WP-0005 executed; KPI-01 (Architecture Conformance) ≥ 90%, KPI-02 (Documentation Accuracy) = 100% — the Data Platform Ready milestone.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Executive Commentary</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Wave 2 carries low-complexity, non-specialized-capacity work; Phase B §9 identifies no resource bottleneck for this wave.</w:t>
            </w:r>
          </w:p>
        </w:tc>
      </w:tr>
    </w:tbl>
    <w:p>
      <w:pPr>
        <w:pStyle w:val="Heading3"/>
        <w:spacing w:after="160" w:before="260"/>
      </w:pPr>
      <w:r>
        <w:rPr>
          <w:b/>
          <w:bCs/>
          <w:color w:val="1F2A44"/>
          <w:sz w:val="22"/>
          <w:szCs w:val="22"/>
        </w:rPr>
        <w:t xml:space="preserve">Wave 3 — Trigger-Gated Assessment</w:t>
      </w:r>
    </w:p>
    <w:tbl>
      <w:tblPr>
        <w:tblW w:type="dxa" w:w="9360"/>
        <w:tblBorders>
          <w:top w:val="single" w:color="AAB2BD" w:sz="4"/>
          <w:left w:val="single" w:color="AAB2BD" w:sz="4"/>
          <w:bottom w:val="single" w:color="AAB2BD" w:sz="4"/>
          <w:right w:val="single" w:color="AAB2BD" w:sz="4"/>
          <w:insideH w:val="single" w:color="CCD1D9" w:sz="2"/>
          <w:insideV w:val="single" w:color="CCD1D9" w:sz="2"/>
        </w:tblBorders>
      </w:tblPr>
      <w:tblGrid>
        <w:gridCol w:w="2621"/>
        <w:gridCol w:w="6739"/>
      </w:tblGrid>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Wave Identifier</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Wave 3</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Official Objective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Assess table partitioning once row-count/growth data justifies it.</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Scope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WP-0003 only.</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Strategic Purpose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calendar-gated — begins only once row-count/growth data justifies it (EGD-0004 trigger), consistent with Phase A.2's own 'not yet triggered' finding.</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Included Portfolios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Portfolio 1 (Enterprise Data Platform).</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Included Work Packages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WP-0003.</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Architecture Requirements Covered</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AR-0004 (conditional — trigger-gated).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Enterprise Governance Decisions Covered</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EGD-0004.</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Impact</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Database Repository — conditional, dormant until triggered.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Engineering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Assessment-method detail Complete per Section 4; not yet executed; trigger-gated.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Governance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Monitoring-ready; no governance action required until the trigger fires.</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Verification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Quarterly row-count/latency check (method defined, not yet operating).</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Risk Posture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Medium — time-sensitive and growing, but blocked on external data, not a work-package-level blocker.</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Acceptance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Monitoring-ready; not accepted; not execute-ready until the trigger condition is met.</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Certification Contribution</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L3 standing (deferred); L4 conditional on the trigger firing and the assessment completing.</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Wave Dependencies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Blocked on external row-count/growth data that has not yet been gathered — a data-availability blocker, not a dependency on any other Work Package or wave.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Entry Criteria</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EGD-0004 trigger condition met (not yet evidenced).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Exit Criteria</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Partitioning assessment executed and verified once triggered.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Executive Commentary</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Wave 3 sits outside the program's critical path entirely — it is gated on an external trigger rather than on any item within Wave 1 or Wave 2.</w:t>
            </w:r>
          </w:p>
        </w:tc>
      </w:tr>
    </w:tbl>
    <w:p>
      <w:pPr>
        <w:pStyle w:val="Heading3"/>
        <w:spacing w:after="160" w:before="260"/>
      </w:pPr>
      <w:r>
        <w:rPr>
          <w:b/>
          <w:bCs/>
          <w:color w:val="1F2A44"/>
          <w:sz w:val="22"/>
          <w:szCs w:val="22"/>
        </w:rPr>
        <w:t xml:space="preserve">Wave 4 — Business Intelligence / AI Intelligence</w:t>
      </w:r>
    </w:p>
    <w:tbl>
      <w:tblPr>
        <w:tblW w:type="dxa" w:w="9360"/>
        <w:tblBorders>
          <w:top w:val="single" w:color="AAB2BD" w:sz="4"/>
          <w:left w:val="single" w:color="AAB2BD" w:sz="4"/>
          <w:bottom w:val="single" w:color="AAB2BD" w:sz="4"/>
          <w:right w:val="single" w:color="AAB2BD" w:sz="4"/>
          <w:insideH w:val="single" w:color="CCD1D9" w:sz="2"/>
          <w:insideV w:val="single" w:color="CCD1D9" w:sz="2"/>
        </w:tblBorders>
      </w:tblPr>
      <w:tblGrid>
        <w:gridCol w:w="2621"/>
        <w:gridCol w:w="6739"/>
      </w:tblGrid>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Wave Identifier</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Wave 4</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Official Objective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Scope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 assigned. Reserved for Future Realization Phases.</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Strategic Purpose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 Architecture Requirement or Enterprise Governance Decision exists in this domain yet; populated only after a future realization assessment produces evidence (Phase B §5).</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Included Portfolios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Portfolio 3 (Enterprise AI) and related reserved portfolios — reserved, not populated.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Included Work Packages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 assigned.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Architecture Requirements / EGDs Covered</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Impact</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Engineering / Governance / Verification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Applicable — Reserved for Future Realization Phases.</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Risk Posture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Acceptance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Certification Contribution</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Wave Dependencies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 evidenced.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Entry / Exit Criteria</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Executive Commentary</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Held open, not populated speculatively, consistent with Phase B §5.</w:t>
            </w:r>
          </w:p>
        </w:tc>
      </w:tr>
    </w:tbl>
    <w:p>
      <w:pPr>
        <w:pStyle w:val="Heading3"/>
        <w:spacing w:after="160" w:before="260"/>
      </w:pPr>
      <w:r>
        <w:rPr>
          <w:b/>
          <w:bCs/>
          <w:color w:val="1F2A44"/>
          <w:sz w:val="22"/>
          <w:szCs w:val="22"/>
        </w:rPr>
        <w:t xml:space="preserve">Wave 5 — Enterprise Optimization</w:t>
      </w:r>
    </w:p>
    <w:tbl>
      <w:tblPr>
        <w:tblW w:type="dxa" w:w="9360"/>
        <w:tblBorders>
          <w:top w:val="single" w:color="AAB2BD" w:sz="4"/>
          <w:left w:val="single" w:color="AAB2BD" w:sz="4"/>
          <w:bottom w:val="single" w:color="AAB2BD" w:sz="4"/>
          <w:right w:val="single" w:color="AAB2BD" w:sz="4"/>
          <w:insideH w:val="single" w:color="CCD1D9" w:sz="2"/>
          <w:insideV w:val="single" w:color="CCD1D9" w:sz="2"/>
        </w:tblBorders>
      </w:tblPr>
      <w:tblGrid>
        <w:gridCol w:w="2621"/>
        <w:gridCol w:w="6739"/>
      </w:tblGrid>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Wave Identifier</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Wave 5</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Official Objective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Scope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 assigned. Reserved for Future Realization Phases.</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Strategic Purpose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Held open on the same evidentiary basis as Wave 4 — not populated speculatively.</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Included Portfolios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Portfolios 5–7 (reserved) — not populated.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Included Work Packages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 assigned.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Architecture Requirements / EGDs Covered</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Repository Impact</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Engineering / Governance / Verification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Applicable — Reserved for Future Realization Phases.</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Risk Posture</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Acceptance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Certification Contribution</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Wave Dependencies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 evidenced.</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Entry / Exit Criteria</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Executive Commentary</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bl>
    <w:p>
      <w:r>
        <w:br w:type="page"/>
      </w:r>
    </w:p>
    <w:p>
      <w:pPr>
        <w:pStyle w:val="Heading2"/>
        <w:spacing w:after="200" w:before="360"/>
      </w:pPr>
      <w:r>
        <w:rPr>
          <w:b/>
          <w:bCs/>
          <w:color w:val="3E5C76"/>
          <w:sz w:val="26"/>
          <w:szCs w:val="26"/>
        </w:rPr>
        <w:t xml:space="preserve">10.5.4 — Wave Dependency Dashboard</w:t>
      </w:r>
    </w:p>
    <w:p>
      <w:pPr>
        <w:spacing w:after="200" w:before="80"/>
      </w:pPr>
      <w:r>
        <w:rPr>
          <w:i/>
          <w:iCs/>
          <w:color w:val="5B6470"/>
          <w:sz w:val="19"/>
          <w:szCs w:val="19"/>
        </w:rPr>
        <w:t xml:space="preserve">Source: ERP-01 Phase B §7 (Critical Path Analysis).</w:t>
      </w:r>
    </w:p>
    <w:tbl>
      <w:tblPr>
        <w:tblW w:type="dxa" w:w="9360"/>
        <w:tblBorders>
          <w:top w:val="single" w:color="AAB2BD" w:sz="4"/>
          <w:left w:val="single" w:color="AAB2BD" w:sz="4"/>
          <w:bottom w:val="single" w:color="AAB2BD" w:sz="4"/>
          <w:right w:val="single" w:color="AAB2BD" w:sz="4"/>
          <w:insideH w:val="single" w:color="CCD1D9" w:sz="2"/>
          <w:insideV w:val="single" w:color="CCD1D9" w:sz="2"/>
        </w:tblBorders>
      </w:tblPr>
      <w:tblGrid>
        <w:gridCol w:w="813"/>
        <w:gridCol w:w="1988"/>
        <w:gridCol w:w="1807"/>
        <w:gridCol w:w="1807"/>
        <w:gridCol w:w="1138"/>
        <w:gridCol w:w="1807"/>
      </w:tblGrid>
      <w:tr>
        <w:trPr>
          <w:tblHeader/>
        </w:trPr>
        <w:tc>
          <w:tcPr>
            <w:tcW w:type="dxa" w:w="813"/>
            <w:shd w:fill="1F2A44" w:val="clear"/>
            <w:tcMar>
              <w:top w:type="dxa" w:w="80"/>
              <w:left w:type="dxa" w:w="100"/>
              <w:bottom w:type="dxa" w:w="80"/>
              <w:right w:type="dxa" w:w="100"/>
            </w:tcMar>
            <w:vAlign w:val="top"/>
          </w:tcPr>
          <w:p>
            <w:pPr>
              <w:jc w:val="left"/>
            </w:pPr>
            <w:r>
              <w:rPr>
                <w:b/>
                <w:bCs/>
                <w:color w:val="FFFFFF"/>
                <w:sz w:val="19"/>
                <w:szCs w:val="19"/>
              </w:rPr>
              <w:t xml:space="preserve">Wave</w:t>
            </w:r>
          </w:p>
        </w:tc>
        <w:tc>
          <w:tcPr>
            <w:tcW w:type="dxa" w:w="1988"/>
            <w:shd w:fill="1F2A44" w:val="clear"/>
            <w:tcMar>
              <w:top w:type="dxa" w:w="80"/>
              <w:left w:type="dxa" w:w="100"/>
              <w:bottom w:type="dxa" w:w="80"/>
              <w:right w:type="dxa" w:w="100"/>
            </w:tcMar>
            <w:vAlign w:val="top"/>
          </w:tcPr>
          <w:p>
            <w:pPr>
              <w:jc w:val="left"/>
            </w:pPr>
            <w:r>
              <w:rPr>
                <w:b/>
                <w:bCs/>
                <w:color w:val="FFFFFF"/>
                <w:sz w:val="19"/>
                <w:szCs w:val="19"/>
              </w:rPr>
              <w:t xml:space="preserve">Depends On</w:t>
            </w:r>
          </w:p>
        </w:tc>
        <w:tc>
          <w:tcPr>
            <w:tcW w:type="dxa" w:w="1807"/>
            <w:shd w:fill="1F2A44" w:val="clear"/>
            <w:tcMar>
              <w:top w:type="dxa" w:w="80"/>
              <w:left w:type="dxa" w:w="100"/>
              <w:bottom w:type="dxa" w:w="80"/>
              <w:right w:type="dxa" w:w="100"/>
            </w:tcMar>
            <w:vAlign w:val="top"/>
          </w:tcPr>
          <w:p>
            <w:pPr>
              <w:jc w:val="left"/>
            </w:pPr>
            <w:r>
              <w:rPr>
                <w:b/>
                <w:bCs/>
                <w:color w:val="FFFFFF"/>
                <w:sz w:val="19"/>
                <w:szCs w:val="19"/>
              </w:rPr>
              <w:t xml:space="preserve">Enables</w:t>
            </w:r>
          </w:p>
        </w:tc>
        <w:tc>
          <w:tcPr>
            <w:tcW w:type="dxa" w:w="1807"/>
            <w:shd w:fill="1F2A44" w:val="clear"/>
            <w:tcMar>
              <w:top w:type="dxa" w:w="80"/>
              <w:left w:type="dxa" w:w="100"/>
              <w:bottom w:type="dxa" w:w="80"/>
              <w:right w:type="dxa" w:w="100"/>
            </w:tcMar>
            <w:vAlign w:val="top"/>
          </w:tcPr>
          <w:p>
            <w:pPr>
              <w:jc w:val="left"/>
            </w:pPr>
            <w:r>
              <w:rPr>
                <w:b/>
                <w:bCs/>
                <w:color w:val="FFFFFF"/>
                <w:sz w:val="19"/>
                <w:szCs w:val="19"/>
              </w:rPr>
              <w:t xml:space="preserve">Blocking Conditions</w:t>
            </w:r>
          </w:p>
        </w:tc>
        <w:tc>
          <w:tcPr>
            <w:tcW w:type="dxa" w:w="1138"/>
            <w:shd w:fill="1F2A44" w:val="clear"/>
            <w:tcMar>
              <w:top w:type="dxa" w:w="80"/>
              <w:left w:type="dxa" w:w="100"/>
              <w:bottom w:type="dxa" w:w="80"/>
              <w:right w:type="dxa" w:w="100"/>
            </w:tcMar>
            <w:vAlign w:val="top"/>
          </w:tcPr>
          <w:p>
            <w:pPr>
              <w:jc w:val="left"/>
            </w:pPr>
            <w:r>
              <w:rPr>
                <w:b/>
                <w:bCs/>
                <w:color w:val="FFFFFF"/>
                <w:sz w:val="19"/>
                <w:szCs w:val="19"/>
              </w:rPr>
              <w:t xml:space="preserve">Dependency Status</w:t>
            </w:r>
          </w:p>
        </w:tc>
        <w:tc>
          <w:tcPr>
            <w:tcW w:type="dxa" w:w="1807"/>
            <w:shd w:fill="1F2A44" w:val="clear"/>
            <w:tcMar>
              <w:top w:type="dxa" w:w="80"/>
              <w:left w:type="dxa" w:w="100"/>
              <w:bottom w:type="dxa" w:w="80"/>
              <w:right w:type="dxa" w:w="100"/>
            </w:tcMar>
            <w:vAlign w:val="top"/>
          </w:tcPr>
          <w:p>
            <w:pPr>
              <w:jc w:val="left"/>
            </w:pPr>
            <w:r>
              <w:rPr>
                <w:b/>
                <w:bCs/>
                <w:color w:val="FFFFFF"/>
                <w:sz w:val="19"/>
                <w:szCs w:val="19"/>
              </w:rPr>
              <w:t xml:space="preserve">Exec. Assessment</w:t>
            </w:r>
          </w:p>
        </w:tc>
      </w:tr>
      <w:tr>
        <w:tc>
          <w:tcPr>
            <w:tcW w:type="dxa" w:w="813"/>
            <w:shd w:fill="FFFFFF" w:val="clear"/>
            <w:tcMar>
              <w:top w:type="dxa" w:w="80"/>
              <w:left w:type="dxa" w:w="100"/>
              <w:bottom w:type="dxa" w:w="80"/>
              <w:right w:type="dxa" w:w="100"/>
            </w:tcMar>
            <w:vAlign w:val="top"/>
          </w:tcPr>
          <w:p>
            <w:pPr>
              <w:jc w:val="left"/>
            </w:pPr>
            <w:r>
              <w:rPr>
                <w:b w:val="false"/>
                <w:bCs w:val="false"/>
                <w:color w:val="1A1A1A"/>
                <w:sz w:val="19"/>
                <w:szCs w:val="19"/>
              </w:rPr>
              <w:t xml:space="preserve">Wave 1</w:t>
            </w:r>
          </w:p>
        </w:tc>
        <w:tc>
          <w:tcPr>
            <w:tcW w:type="dxa" w:w="1988"/>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w:t>
            </w:r>
          </w:p>
        </w:tc>
        <w:tc>
          <w:tcPr>
            <w:tcW w:type="dxa" w:w="1807"/>
            <w:shd w:fill="FFFFFF" w:val="clear"/>
            <w:tcMar>
              <w:top w:type="dxa" w:w="80"/>
              <w:left w:type="dxa" w:w="100"/>
              <w:bottom w:type="dxa" w:w="80"/>
              <w:right w:type="dxa" w:w="100"/>
            </w:tcMar>
            <w:vAlign w:val="top"/>
          </w:tcPr>
          <w:p>
            <w:pPr>
              <w:jc w:val="left"/>
            </w:pPr>
            <w:r>
              <w:rPr>
                <w:b w:val="false"/>
                <w:bCs w:val="false"/>
                <w:color w:val="1A1A1A"/>
                <w:sz w:val="19"/>
                <w:szCs w:val="19"/>
              </w:rPr>
              <w:t xml:space="preserve">Wave 2 (non-blocking benefit)</w:t>
            </w:r>
          </w:p>
        </w:tc>
        <w:tc>
          <w:tcPr>
            <w:tcW w:type="dxa" w:w="1807"/>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w:t>
            </w:r>
          </w:p>
        </w:tc>
        <w:tc>
          <w:tcPr>
            <w:tcW w:type="dxa" w:w="1138"/>
            <w:shd w:fill="FFFFFF" w:val="clear"/>
            <w:tcMar>
              <w:top w:type="dxa" w:w="80"/>
              <w:left w:type="dxa" w:w="100"/>
              <w:bottom w:type="dxa" w:w="80"/>
              <w:right w:type="dxa" w:w="100"/>
            </w:tcMar>
            <w:vAlign w:val="top"/>
          </w:tcPr>
          <w:p>
            <w:pPr>
              <w:jc w:val="left"/>
            </w:pPr>
            <w:r>
              <w:rPr>
                <w:b w:val="false"/>
                <w:bCs w:val="false"/>
                <w:color w:val="1A1A1A"/>
                <w:sz w:val="19"/>
                <w:szCs w:val="19"/>
              </w:rPr>
              <w:t xml:space="preserve">Fully Ready</w:t>
            </w:r>
          </w:p>
        </w:tc>
        <w:tc>
          <w:tcPr>
            <w:tcW w:type="dxa" w:w="1807"/>
            <w:shd w:fill="FFFFFF" w:val="clear"/>
            <w:tcMar>
              <w:top w:type="dxa" w:w="80"/>
              <w:left w:type="dxa" w:w="100"/>
              <w:bottom w:type="dxa" w:w="80"/>
              <w:right w:type="dxa" w:w="100"/>
            </w:tcMar>
            <w:vAlign w:val="top"/>
          </w:tcPr>
          <w:p>
            <w:pPr>
              <w:jc w:val="left"/>
            </w:pPr>
            <w:r>
              <w:rPr>
                <w:b w:val="false"/>
                <w:bCs w:val="false"/>
                <w:color w:val="1A1A1A"/>
                <w:sz w:val="19"/>
                <w:szCs w:val="19"/>
              </w:rPr>
              <w:t xml:space="preserve">Immediately startable; both Work Packages run fully in parallel.</w:t>
            </w:r>
          </w:p>
        </w:tc>
      </w:tr>
      <w:tr>
        <w:tc>
          <w:tcPr>
            <w:tcW w:type="dxa" w:w="813"/>
            <w:shd w:fill="EEF1F5" w:val="clear"/>
            <w:tcMar>
              <w:top w:type="dxa" w:w="80"/>
              <w:left w:type="dxa" w:w="100"/>
              <w:bottom w:type="dxa" w:w="80"/>
              <w:right w:type="dxa" w:w="100"/>
            </w:tcMar>
            <w:vAlign w:val="top"/>
          </w:tcPr>
          <w:p>
            <w:pPr>
              <w:jc w:val="left"/>
            </w:pPr>
            <w:r>
              <w:rPr>
                <w:b w:val="false"/>
                <w:bCs w:val="false"/>
                <w:color w:val="1A1A1A"/>
                <w:sz w:val="19"/>
                <w:szCs w:val="19"/>
              </w:rPr>
              <w:t xml:space="preserve">Wave 2</w:t>
            </w:r>
          </w:p>
        </w:tc>
        <w:tc>
          <w:tcPr>
            <w:tcW w:type="dxa" w:w="1988"/>
            <w:shd w:fill="EEF1F5" w:val="clear"/>
            <w:tcMar>
              <w:top w:type="dxa" w:w="80"/>
              <w:left w:type="dxa" w:w="100"/>
              <w:bottom w:type="dxa" w:w="80"/>
              <w:right w:type="dxa" w:w="100"/>
            </w:tcMar>
            <w:vAlign w:val="top"/>
          </w:tcPr>
          <w:p>
            <w:pPr>
              <w:jc w:val="left"/>
            </w:pPr>
            <w:r>
              <w:rPr>
                <w:b w:val="false"/>
                <w:bCs w:val="false"/>
                <w:color w:val="1A1A1A"/>
                <w:sz w:val="19"/>
                <w:szCs w:val="19"/>
              </w:rPr>
              <w:t xml:space="preserve">Wave 1 (non-blocking benefit only)</w:t>
            </w:r>
          </w:p>
        </w:tc>
        <w:tc>
          <w:tcPr>
            <w:tcW w:type="dxa" w:w="1807"/>
            <w:shd w:fill="EEF1F5" w:val="clear"/>
            <w:tcMar>
              <w:top w:type="dxa" w:w="80"/>
              <w:left w:type="dxa" w:w="100"/>
              <w:bottom w:type="dxa" w:w="80"/>
              <w:right w:type="dxa" w:w="100"/>
            </w:tcMar>
            <w:vAlign w:val="top"/>
          </w:tcPr>
          <w:p>
            <w:pPr>
              <w:jc w:val="left"/>
            </w:pPr>
            <w:r>
              <w:rPr>
                <w:b w:val="false"/>
                <w:bCs w:val="false"/>
                <w:color w:val="1A1A1A"/>
                <w:sz w:val="19"/>
                <w:szCs w:val="19"/>
              </w:rPr>
              <w:t xml:space="preserve">Production Ready milestone</w:t>
            </w:r>
          </w:p>
        </w:tc>
        <w:tc>
          <w:tcPr>
            <w:tcW w:type="dxa" w:w="1807"/>
            <w:shd w:fill="EEF1F5" w:val="clear"/>
            <w:tcMar>
              <w:top w:type="dxa" w:w="80"/>
              <w:left w:type="dxa" w:w="100"/>
              <w:bottom w:type="dxa" w:w="80"/>
              <w:right w:type="dxa" w:w="100"/>
            </w:tcMar>
            <w:vAlign w:val="top"/>
          </w:tcPr>
          <w:p>
            <w:pPr>
              <w:jc w:val="left"/>
            </w:pPr>
            <w:r>
              <w:rPr>
                <w:b w:val="false"/>
                <w:bCs w:val="false"/>
                <w:color w:val="1A1A1A"/>
                <w:sz w:val="19"/>
                <w:szCs w:val="19"/>
              </w:rPr>
              <w:t xml:space="preserve">None on Wave 2 itself</w:t>
            </w:r>
          </w:p>
        </w:tc>
        <w:tc>
          <w:tcPr>
            <w:tcW w:type="dxa" w:w="1138"/>
            <w:shd w:fill="EEF1F5" w:val="clear"/>
            <w:tcMar>
              <w:top w:type="dxa" w:w="80"/>
              <w:left w:type="dxa" w:w="100"/>
              <w:bottom w:type="dxa" w:w="80"/>
              <w:right w:type="dxa" w:w="100"/>
            </w:tcMar>
            <w:vAlign w:val="top"/>
          </w:tcPr>
          <w:p>
            <w:pPr>
              <w:jc w:val="left"/>
            </w:pPr>
            <w:r>
              <w:rPr>
                <w:b w:val="false"/>
                <w:bCs w:val="false"/>
                <w:color w:val="1A1A1A"/>
                <w:sz w:val="19"/>
                <w:szCs w:val="19"/>
              </w:rPr>
              <w:t xml:space="preserve">Ready, sequenced</w:t>
            </w:r>
          </w:p>
        </w:tc>
        <w:tc>
          <w:tcPr>
            <w:tcW w:type="dxa" w:w="1807"/>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blocked by Wave 1; recommended to follow it for ownership-accountability reasons.</w:t>
            </w:r>
          </w:p>
        </w:tc>
      </w:tr>
      <w:tr>
        <w:tc>
          <w:tcPr>
            <w:tcW w:type="dxa" w:w="813"/>
            <w:shd w:fill="FFFFFF" w:val="clear"/>
            <w:tcMar>
              <w:top w:type="dxa" w:w="80"/>
              <w:left w:type="dxa" w:w="100"/>
              <w:bottom w:type="dxa" w:w="80"/>
              <w:right w:type="dxa" w:w="100"/>
            </w:tcMar>
            <w:vAlign w:val="top"/>
          </w:tcPr>
          <w:p>
            <w:pPr>
              <w:jc w:val="left"/>
            </w:pPr>
            <w:r>
              <w:rPr>
                <w:b w:val="false"/>
                <w:bCs w:val="false"/>
                <w:color w:val="1A1A1A"/>
                <w:sz w:val="19"/>
                <w:szCs w:val="19"/>
              </w:rPr>
              <w:t xml:space="preserve">Wave 3</w:t>
            </w:r>
          </w:p>
        </w:tc>
        <w:tc>
          <w:tcPr>
            <w:tcW w:type="dxa" w:w="1988"/>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 (external data, not a wave)</w:t>
            </w:r>
          </w:p>
        </w:tc>
        <w:tc>
          <w:tcPr>
            <w:tcW w:type="dxa" w:w="1807"/>
            <w:shd w:fill="FFFFFF" w:val="clear"/>
            <w:tcMar>
              <w:top w:type="dxa" w:w="80"/>
              <w:left w:type="dxa" w:w="100"/>
              <w:bottom w:type="dxa" w:w="80"/>
              <w:right w:type="dxa" w:w="100"/>
            </w:tcMar>
            <w:vAlign w:val="top"/>
          </w:tcPr>
          <w:p>
            <w:pPr>
              <w:jc w:val="left"/>
            </w:pPr>
            <w:r>
              <w:rPr>
                <w:b w:val="false"/>
                <w:bCs w:val="false"/>
                <w:color w:val="1A1A1A"/>
                <w:sz w:val="19"/>
                <w:szCs w:val="19"/>
              </w:rPr>
              <w:t xml:space="preserve">Data Platform Ready (conditional)</w:t>
            </w:r>
          </w:p>
        </w:tc>
        <w:tc>
          <w:tcPr>
            <w:tcW w:type="dxa" w:w="1807"/>
            <w:shd w:fill="FFFFFF" w:val="clear"/>
            <w:tcMar>
              <w:top w:type="dxa" w:w="80"/>
              <w:left w:type="dxa" w:w="100"/>
              <w:bottom w:type="dxa" w:w="80"/>
              <w:right w:type="dxa" w:w="100"/>
            </w:tcMar>
            <w:vAlign w:val="top"/>
          </w:tcPr>
          <w:p>
            <w:pPr>
              <w:jc w:val="left"/>
            </w:pPr>
            <w:r>
              <w:rPr>
                <w:b w:val="false"/>
                <w:bCs w:val="false"/>
                <w:color w:val="1A1A1A"/>
                <w:sz w:val="19"/>
                <w:szCs w:val="19"/>
              </w:rPr>
              <w:t xml:space="preserve">Row-count/growth data not yet gathered</w:t>
            </w:r>
          </w:p>
        </w:tc>
        <w:tc>
          <w:tcPr>
            <w:tcW w:type="dxa" w:w="1138"/>
            <w:shd w:fill="FFFFFF" w:val="clear"/>
            <w:tcMar>
              <w:top w:type="dxa" w:w="80"/>
              <w:left w:type="dxa" w:w="100"/>
              <w:bottom w:type="dxa" w:w="80"/>
              <w:right w:type="dxa" w:w="100"/>
            </w:tcMar>
            <w:vAlign w:val="top"/>
          </w:tcPr>
          <w:p>
            <w:pPr>
              <w:jc w:val="left"/>
            </w:pPr>
            <w:r>
              <w:rPr>
                <w:b w:val="false"/>
                <w:bCs w:val="false"/>
                <w:color w:val="1A1A1A"/>
                <w:sz w:val="19"/>
                <w:szCs w:val="19"/>
              </w:rPr>
              <w:t xml:space="preserve">Blocked — external, not work-package</w:t>
            </w:r>
          </w:p>
        </w:tc>
        <w:tc>
          <w:tcPr>
            <w:tcW w:type="dxa" w:w="1807"/>
            <w:shd w:fill="FFFFFF" w:val="clear"/>
            <w:tcMar>
              <w:top w:type="dxa" w:w="80"/>
              <w:left w:type="dxa" w:w="100"/>
              <w:bottom w:type="dxa" w:w="80"/>
              <w:right w:type="dxa" w:w="100"/>
            </w:tcMar>
            <w:vAlign w:val="top"/>
          </w:tcPr>
          <w:p>
            <w:pPr>
              <w:jc w:val="left"/>
            </w:pPr>
            <w:r>
              <w:rPr>
                <w:b w:val="false"/>
                <w:bCs w:val="false"/>
                <w:color w:val="1A1A1A"/>
                <w:sz w:val="19"/>
                <w:szCs w:val="19"/>
              </w:rPr>
              <w:t xml:space="preserve">Outside the critical path; monitoring-only.</w:t>
            </w:r>
          </w:p>
        </w:tc>
      </w:tr>
      <w:tr>
        <w:tc>
          <w:tcPr>
            <w:tcW w:type="dxa" w:w="813"/>
            <w:shd w:fill="EEF1F5" w:val="clear"/>
            <w:tcMar>
              <w:top w:type="dxa" w:w="80"/>
              <w:left w:type="dxa" w:w="100"/>
              <w:bottom w:type="dxa" w:w="80"/>
              <w:right w:type="dxa" w:w="100"/>
            </w:tcMar>
            <w:vAlign w:val="top"/>
          </w:tcPr>
          <w:p>
            <w:pPr>
              <w:jc w:val="left"/>
            </w:pPr>
            <w:r>
              <w:rPr>
                <w:b w:val="false"/>
                <w:bCs w:val="false"/>
                <w:color w:val="1A1A1A"/>
                <w:sz w:val="19"/>
                <w:szCs w:val="19"/>
              </w:rPr>
              <w:t xml:space="preserve">Wave 4</w:t>
            </w:r>
          </w:p>
        </w:tc>
        <w:tc>
          <w:tcPr>
            <w:tcW w:type="dxa" w:w="1988"/>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807"/>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807"/>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138"/>
            <w:shd w:fill="EEF1F5" w:val="clear"/>
            <w:tcMar>
              <w:top w:type="dxa" w:w="80"/>
              <w:left w:type="dxa" w:w="100"/>
              <w:bottom w:type="dxa" w:w="80"/>
              <w:right w:type="dxa" w:w="100"/>
            </w:tcMar>
            <w:vAlign w:val="top"/>
          </w:tcPr>
          <w:p>
            <w:pPr>
              <w:jc w:val="left"/>
            </w:pPr>
            <w:r>
              <w:rPr>
                <w:b w:val="false"/>
                <w:bCs w:val="false"/>
                <w:color w:val="1A1A1A"/>
                <w:sz w:val="19"/>
                <w:szCs w:val="19"/>
              </w:rPr>
              <w:t xml:space="preserve">Unpopulated</w:t>
            </w:r>
          </w:p>
        </w:tc>
        <w:tc>
          <w:tcPr>
            <w:tcW w:type="dxa" w:w="1807"/>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r>
        <w:tc>
          <w:tcPr>
            <w:tcW w:type="dxa" w:w="813"/>
            <w:shd w:fill="FFFFFF" w:val="clear"/>
            <w:tcMar>
              <w:top w:type="dxa" w:w="80"/>
              <w:left w:type="dxa" w:w="100"/>
              <w:bottom w:type="dxa" w:w="80"/>
              <w:right w:type="dxa" w:w="100"/>
            </w:tcMar>
            <w:vAlign w:val="top"/>
          </w:tcPr>
          <w:p>
            <w:pPr>
              <w:jc w:val="left"/>
            </w:pPr>
            <w:r>
              <w:rPr>
                <w:b w:val="false"/>
                <w:bCs w:val="false"/>
                <w:color w:val="1A1A1A"/>
                <w:sz w:val="19"/>
                <w:szCs w:val="19"/>
              </w:rPr>
              <w:t xml:space="preserve">Wave 5</w:t>
            </w:r>
          </w:p>
        </w:tc>
        <w:tc>
          <w:tcPr>
            <w:tcW w:type="dxa" w:w="1988"/>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807"/>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807"/>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138"/>
            <w:shd w:fill="FFFFFF" w:val="clear"/>
            <w:tcMar>
              <w:top w:type="dxa" w:w="80"/>
              <w:left w:type="dxa" w:w="100"/>
              <w:bottom w:type="dxa" w:w="80"/>
              <w:right w:type="dxa" w:w="100"/>
            </w:tcMar>
            <w:vAlign w:val="top"/>
          </w:tcPr>
          <w:p>
            <w:pPr>
              <w:jc w:val="left"/>
            </w:pPr>
            <w:r>
              <w:rPr>
                <w:b w:val="false"/>
                <w:bCs w:val="false"/>
                <w:color w:val="1A1A1A"/>
                <w:sz w:val="19"/>
                <w:szCs w:val="19"/>
              </w:rPr>
              <w:t xml:space="preserve">Unpopulated</w:t>
            </w:r>
          </w:p>
        </w:tc>
        <w:tc>
          <w:tcPr>
            <w:tcW w:type="dxa" w:w="1807"/>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bl>
    <w:p>
      <w:pPr>
        <w:pStyle w:val="Heading2"/>
        <w:spacing w:after="200" w:before="360"/>
      </w:pPr>
      <w:r>
        <w:rPr>
          <w:b/>
          <w:bCs/>
          <w:color w:val="3E5C76"/>
          <w:sz w:val="26"/>
          <w:szCs w:val="26"/>
        </w:rPr>
        <w:t xml:space="preserve">10.5.5 — Wave Readiness Dashboard</w:t>
      </w:r>
    </w:p>
    <w:p>
      <w:pPr>
        <w:spacing w:after="200" w:before="80"/>
      </w:pPr>
      <w:r>
        <w:rPr>
          <w:i/>
          <w:iCs/>
          <w:color w:val="5B6470"/>
          <w:sz w:val="19"/>
          <w:szCs w:val="19"/>
        </w:rPr>
        <w:t xml:space="preserve">Source: Phase C Sections 4–9, 10.3, 10.4. No new scores calculated.</w:t>
      </w:r>
    </w:p>
    <w:tbl>
      <w:tblPr>
        <w:tblW w:type="dxa" w:w="9360"/>
        <w:tblBorders>
          <w:top w:val="single" w:color="AAB2BD" w:sz="4"/>
          <w:left w:val="single" w:color="AAB2BD" w:sz="4"/>
          <w:bottom w:val="single" w:color="AAB2BD" w:sz="4"/>
          <w:right w:val="single" w:color="AAB2BD" w:sz="4"/>
          <w:insideH w:val="single" w:color="CCD1D9" w:sz="2"/>
          <w:insideV w:val="single" w:color="CCD1D9" w:sz="2"/>
        </w:tblBorders>
      </w:tblPr>
      <w:tblGrid>
        <w:gridCol w:w="723"/>
        <w:gridCol w:w="1355"/>
        <w:gridCol w:w="1265"/>
        <w:gridCol w:w="1265"/>
        <w:gridCol w:w="1355"/>
        <w:gridCol w:w="1048"/>
        <w:gridCol w:w="1175"/>
        <w:gridCol w:w="1175"/>
      </w:tblGrid>
      <w:tr>
        <w:trPr>
          <w:tblHeader/>
        </w:trPr>
        <w:tc>
          <w:tcPr>
            <w:tcW w:type="dxa" w:w="723"/>
            <w:shd w:fill="1F2A44" w:val="clear"/>
            <w:tcMar>
              <w:top w:type="dxa" w:w="80"/>
              <w:left w:type="dxa" w:w="100"/>
              <w:bottom w:type="dxa" w:w="80"/>
              <w:right w:type="dxa" w:w="100"/>
            </w:tcMar>
            <w:vAlign w:val="top"/>
          </w:tcPr>
          <w:p>
            <w:pPr>
              <w:jc w:val="left"/>
            </w:pPr>
            <w:r>
              <w:rPr>
                <w:b/>
                <w:bCs/>
                <w:color w:val="FFFFFF"/>
                <w:sz w:val="19"/>
                <w:szCs w:val="19"/>
              </w:rPr>
              <w:t xml:space="preserve">Wave</w:t>
            </w:r>
          </w:p>
        </w:tc>
        <w:tc>
          <w:tcPr>
            <w:tcW w:type="dxa" w:w="1355"/>
            <w:shd w:fill="1F2A44" w:val="clear"/>
            <w:tcMar>
              <w:top w:type="dxa" w:w="80"/>
              <w:left w:type="dxa" w:w="100"/>
              <w:bottom w:type="dxa" w:w="80"/>
              <w:right w:type="dxa" w:w="100"/>
            </w:tcMar>
            <w:vAlign w:val="top"/>
          </w:tcPr>
          <w:p>
            <w:pPr>
              <w:jc w:val="left"/>
            </w:pPr>
            <w:r>
              <w:rPr>
                <w:b/>
                <w:bCs/>
                <w:color w:val="FFFFFF"/>
                <w:sz w:val="19"/>
                <w:szCs w:val="19"/>
              </w:rPr>
              <w:t xml:space="preserve">Engineering</w:t>
            </w:r>
          </w:p>
        </w:tc>
        <w:tc>
          <w:tcPr>
            <w:tcW w:type="dxa" w:w="1265"/>
            <w:shd w:fill="1F2A44" w:val="clear"/>
            <w:tcMar>
              <w:top w:type="dxa" w:w="80"/>
              <w:left w:type="dxa" w:w="100"/>
              <w:bottom w:type="dxa" w:w="80"/>
              <w:right w:type="dxa" w:w="100"/>
            </w:tcMar>
            <w:vAlign w:val="top"/>
          </w:tcPr>
          <w:p>
            <w:pPr>
              <w:jc w:val="left"/>
            </w:pPr>
            <w:r>
              <w:rPr>
                <w:b/>
                <w:bCs/>
                <w:color w:val="FFFFFF"/>
                <w:sz w:val="19"/>
                <w:szCs w:val="19"/>
              </w:rPr>
              <w:t xml:space="preserve">Repository</w:t>
            </w:r>
          </w:p>
        </w:tc>
        <w:tc>
          <w:tcPr>
            <w:tcW w:type="dxa" w:w="1265"/>
            <w:shd w:fill="1F2A44" w:val="clear"/>
            <w:tcMar>
              <w:top w:type="dxa" w:w="80"/>
              <w:left w:type="dxa" w:w="100"/>
              <w:bottom w:type="dxa" w:w="80"/>
              <w:right w:type="dxa" w:w="100"/>
            </w:tcMar>
            <w:vAlign w:val="top"/>
          </w:tcPr>
          <w:p>
            <w:pPr>
              <w:jc w:val="left"/>
            </w:pPr>
            <w:r>
              <w:rPr>
                <w:b/>
                <w:bCs/>
                <w:color w:val="FFFFFF"/>
                <w:sz w:val="19"/>
                <w:szCs w:val="19"/>
              </w:rPr>
              <w:t xml:space="preserve">Governance</w:t>
            </w:r>
          </w:p>
        </w:tc>
        <w:tc>
          <w:tcPr>
            <w:tcW w:type="dxa" w:w="1355"/>
            <w:shd w:fill="1F2A44" w:val="clear"/>
            <w:tcMar>
              <w:top w:type="dxa" w:w="80"/>
              <w:left w:type="dxa" w:w="100"/>
              <w:bottom w:type="dxa" w:w="80"/>
              <w:right w:type="dxa" w:w="100"/>
            </w:tcMar>
            <w:vAlign w:val="top"/>
          </w:tcPr>
          <w:p>
            <w:pPr>
              <w:jc w:val="left"/>
            </w:pPr>
            <w:r>
              <w:rPr>
                <w:b/>
                <w:bCs/>
                <w:color w:val="FFFFFF"/>
                <w:sz w:val="19"/>
                <w:szCs w:val="19"/>
              </w:rPr>
              <w:t xml:space="preserve">Verification</w:t>
            </w:r>
          </w:p>
        </w:tc>
        <w:tc>
          <w:tcPr>
            <w:tcW w:type="dxa" w:w="1048"/>
            <w:shd w:fill="1F2A44" w:val="clear"/>
            <w:tcMar>
              <w:top w:type="dxa" w:w="80"/>
              <w:left w:type="dxa" w:w="100"/>
              <w:bottom w:type="dxa" w:w="80"/>
              <w:right w:type="dxa" w:w="100"/>
            </w:tcMar>
            <w:vAlign w:val="top"/>
          </w:tcPr>
          <w:p>
            <w:pPr>
              <w:jc w:val="left"/>
            </w:pPr>
            <w:r>
              <w:rPr>
                <w:b/>
                <w:bCs/>
                <w:color w:val="FFFFFF"/>
                <w:sz w:val="19"/>
                <w:szCs w:val="19"/>
              </w:rPr>
              <w:t xml:space="preserve">Risk</w:t>
            </w:r>
          </w:p>
        </w:tc>
        <w:tc>
          <w:tcPr>
            <w:tcW w:type="dxa" w:w="1175"/>
            <w:shd w:fill="1F2A44" w:val="clear"/>
            <w:tcMar>
              <w:top w:type="dxa" w:w="80"/>
              <w:left w:type="dxa" w:w="100"/>
              <w:bottom w:type="dxa" w:w="80"/>
              <w:right w:type="dxa" w:w="100"/>
            </w:tcMar>
            <w:vAlign w:val="top"/>
          </w:tcPr>
          <w:p>
            <w:pPr>
              <w:jc w:val="left"/>
            </w:pPr>
            <w:r>
              <w:rPr>
                <w:b/>
                <w:bCs/>
                <w:color w:val="FFFFFF"/>
                <w:sz w:val="19"/>
                <w:szCs w:val="19"/>
              </w:rPr>
              <w:t xml:space="preserve">Acceptance</w:t>
            </w:r>
          </w:p>
        </w:tc>
        <w:tc>
          <w:tcPr>
            <w:tcW w:type="dxa" w:w="1175"/>
            <w:shd w:fill="1F2A44" w:val="clear"/>
            <w:tcMar>
              <w:top w:type="dxa" w:w="80"/>
              <w:left w:type="dxa" w:w="100"/>
              <w:bottom w:type="dxa" w:w="80"/>
              <w:right w:type="dxa" w:w="100"/>
            </w:tcMar>
            <w:vAlign w:val="top"/>
          </w:tcPr>
          <w:p>
            <w:pPr>
              <w:jc w:val="left"/>
            </w:pPr>
            <w:r>
              <w:rPr>
                <w:b/>
                <w:bCs/>
                <w:color w:val="FFFFFF"/>
                <w:sz w:val="19"/>
                <w:szCs w:val="19"/>
              </w:rPr>
              <w:t xml:space="preserve">Certification</w:t>
            </w:r>
          </w:p>
        </w:tc>
      </w:tr>
      <w:tr>
        <w:tc>
          <w:tcPr>
            <w:tcW w:type="dxa" w:w="723"/>
            <w:shd w:fill="FFFFFF" w:val="clear"/>
            <w:tcMar>
              <w:top w:type="dxa" w:w="80"/>
              <w:left w:type="dxa" w:w="100"/>
              <w:bottom w:type="dxa" w:w="80"/>
              <w:right w:type="dxa" w:w="100"/>
            </w:tcMar>
            <w:vAlign w:val="top"/>
          </w:tcPr>
          <w:p>
            <w:pPr>
              <w:jc w:val="left"/>
            </w:pPr>
            <w:r>
              <w:rPr>
                <w:b w:val="false"/>
                <w:bCs w:val="false"/>
                <w:color w:val="1A1A1A"/>
                <w:sz w:val="19"/>
                <w:szCs w:val="19"/>
              </w:rPr>
              <w:t xml:space="preserve">Wave 1</w:t>
            </w:r>
          </w:p>
        </w:tc>
        <w:tc>
          <w:tcPr>
            <w:tcW w:type="dxa" w:w="1355"/>
            <w:shd w:fill="FFFFFF" w:val="clear"/>
            <w:tcMar>
              <w:top w:type="dxa" w:w="80"/>
              <w:left w:type="dxa" w:w="100"/>
              <w:bottom w:type="dxa" w:w="80"/>
              <w:right w:type="dxa" w:w="100"/>
            </w:tcMar>
            <w:vAlign w:val="top"/>
          </w:tcPr>
          <w:p>
            <w:pPr>
              <w:jc w:val="left"/>
            </w:pPr>
            <w:r>
              <w:rPr>
                <w:b w:val="false"/>
                <w:bCs w:val="false"/>
                <w:color w:val="1A1A1A"/>
                <w:sz w:val="19"/>
                <w:szCs w:val="19"/>
              </w:rPr>
              <w:t xml:space="preserve">Design/Impl. Complete, not executed</w:t>
            </w:r>
          </w:p>
        </w:tc>
        <w:tc>
          <w:tcPr>
            <w:tcW w:type="dxa" w:w="1265"/>
            <w:shd w:fill="FFFFFF" w:val="clear"/>
            <w:tcMar>
              <w:top w:type="dxa" w:w="80"/>
              <w:left w:type="dxa" w:w="100"/>
              <w:bottom w:type="dxa" w:w="80"/>
              <w:right w:type="dxa" w:w="100"/>
            </w:tcMar>
            <w:vAlign w:val="top"/>
          </w:tcPr>
          <w:p>
            <w:pPr>
              <w:jc w:val="left"/>
            </w:pPr>
            <w:r>
              <w:rPr>
                <w:b w:val="false"/>
                <w:bCs w:val="false"/>
                <w:color w:val="1A1A1A"/>
                <w:sz w:val="19"/>
                <w:szCs w:val="19"/>
              </w:rPr>
              <w:t xml:space="preserve">DB (WP-0002); none (WP-0006)</w:t>
            </w:r>
          </w:p>
        </w:tc>
        <w:tc>
          <w:tcPr>
            <w:tcW w:type="dxa" w:w="1265"/>
            <w:shd w:fill="FFFFFF" w:val="clear"/>
            <w:tcMar>
              <w:top w:type="dxa" w:w="80"/>
              <w:left w:type="dxa" w:w="100"/>
              <w:bottom w:type="dxa" w:w="80"/>
              <w:right w:type="dxa" w:w="100"/>
            </w:tcMar>
            <w:vAlign w:val="top"/>
          </w:tcPr>
          <w:p>
            <w:pPr>
              <w:jc w:val="left"/>
            </w:pPr>
            <w:r>
              <w:rPr>
                <w:b w:val="false"/>
                <w:bCs w:val="false"/>
                <w:color w:val="1A1A1A"/>
                <w:sz w:val="19"/>
                <w:szCs w:val="19"/>
              </w:rPr>
              <w:t xml:space="preserve">Is the readiness action (KPI-08 = 0%)</w:t>
            </w:r>
          </w:p>
        </w:tc>
        <w:tc>
          <w:tcPr>
            <w:tcW w:type="dxa" w:w="1355"/>
            <w:shd w:fill="FFFFFF" w:val="clear"/>
            <w:tcMar>
              <w:top w:type="dxa" w:w="80"/>
              <w:left w:type="dxa" w:w="100"/>
              <w:bottom w:type="dxa" w:w="80"/>
              <w:right w:type="dxa" w:w="100"/>
            </w:tcMar>
            <w:vAlign w:val="top"/>
          </w:tcPr>
          <w:p>
            <w:pPr>
              <w:jc w:val="left"/>
            </w:pPr>
            <w:r>
              <w:rPr>
                <w:b w:val="false"/>
                <w:bCs w:val="false"/>
                <w:color w:val="1A1A1A"/>
                <w:sz w:val="19"/>
                <w:szCs w:val="19"/>
              </w:rPr>
              <w:t xml:space="preserve">Method defined, not executed</w:t>
            </w:r>
          </w:p>
        </w:tc>
        <w:tc>
          <w:tcPr>
            <w:tcW w:type="dxa" w:w="1048"/>
            <w:shd w:fill="FFFFFF" w:val="clear"/>
            <w:tcMar>
              <w:top w:type="dxa" w:w="80"/>
              <w:left w:type="dxa" w:w="100"/>
              <w:bottom w:type="dxa" w:w="80"/>
              <w:right w:type="dxa" w:w="100"/>
            </w:tcMar>
            <w:vAlign w:val="top"/>
          </w:tcPr>
          <w:p>
            <w:pPr>
              <w:jc w:val="left"/>
            </w:pPr>
            <w:r>
              <w:rPr>
                <w:b w:val="false"/>
                <w:bCs w:val="false"/>
                <w:color w:val="1A1A1A"/>
                <w:sz w:val="19"/>
                <w:szCs w:val="19"/>
              </w:rPr>
              <w:t xml:space="preserve">Critical (organizational)</w:t>
            </w:r>
          </w:p>
        </w:tc>
        <w:tc>
          <w:tcPr>
            <w:tcW w:type="dxa" w:w="1175"/>
            <w:shd w:fill="FFFFFF" w:val="clear"/>
            <w:tcMar>
              <w:top w:type="dxa" w:w="80"/>
              <w:left w:type="dxa" w:w="100"/>
              <w:bottom w:type="dxa" w:w="80"/>
              <w:right w:type="dxa" w:w="100"/>
            </w:tcMar>
            <w:vAlign w:val="top"/>
          </w:tcPr>
          <w:p>
            <w:pPr>
              <w:jc w:val="left"/>
            </w:pPr>
            <w:r>
              <w:rPr>
                <w:b w:val="false"/>
                <w:bCs w:val="false"/>
                <w:color w:val="1A1A1A"/>
                <w:sz w:val="19"/>
                <w:szCs w:val="19"/>
              </w:rPr>
              <w:t xml:space="preserve">Execute-ready, not accepted</w:t>
            </w:r>
          </w:p>
        </w:tc>
        <w:tc>
          <w:tcPr>
            <w:tcW w:type="dxa" w:w="1175"/>
            <w:shd w:fill="FFFFFF" w:val="clear"/>
            <w:tcMar>
              <w:top w:type="dxa" w:w="80"/>
              <w:left w:type="dxa" w:w="100"/>
              <w:bottom w:type="dxa" w:w="80"/>
              <w:right w:type="dxa" w:w="100"/>
            </w:tcMar>
            <w:vAlign w:val="top"/>
          </w:tcPr>
          <w:p>
            <w:pPr>
              <w:jc w:val="left"/>
            </w:pPr>
            <w:r>
              <w:rPr>
                <w:b w:val="false"/>
                <w:bCs w:val="false"/>
                <w:color w:val="1A1A1A"/>
                <w:sz w:val="19"/>
                <w:szCs w:val="19"/>
              </w:rPr>
              <w:t xml:space="preserve">L4 pending WP-0002</w:t>
            </w:r>
          </w:p>
        </w:tc>
      </w:tr>
      <w:tr>
        <w:tc>
          <w:tcPr>
            <w:tcW w:type="dxa" w:w="723"/>
            <w:shd w:fill="EEF1F5" w:val="clear"/>
            <w:tcMar>
              <w:top w:type="dxa" w:w="80"/>
              <w:left w:type="dxa" w:w="100"/>
              <w:bottom w:type="dxa" w:w="80"/>
              <w:right w:type="dxa" w:w="100"/>
            </w:tcMar>
            <w:vAlign w:val="top"/>
          </w:tcPr>
          <w:p>
            <w:pPr>
              <w:jc w:val="left"/>
            </w:pPr>
            <w:r>
              <w:rPr>
                <w:b w:val="false"/>
                <w:bCs w:val="false"/>
                <w:color w:val="1A1A1A"/>
                <w:sz w:val="19"/>
                <w:szCs w:val="19"/>
              </w:rPr>
              <w:t xml:space="preserve">Wave 2</w:t>
            </w:r>
          </w:p>
        </w:tc>
        <w:tc>
          <w:tcPr>
            <w:tcW w:type="dxa" w:w="1355"/>
            <w:shd w:fill="EEF1F5" w:val="clear"/>
            <w:tcMar>
              <w:top w:type="dxa" w:w="80"/>
              <w:left w:type="dxa" w:w="100"/>
              <w:bottom w:type="dxa" w:w="80"/>
              <w:right w:type="dxa" w:w="100"/>
            </w:tcMar>
            <w:vAlign w:val="top"/>
          </w:tcPr>
          <w:p>
            <w:pPr>
              <w:jc w:val="left"/>
            </w:pPr>
            <w:r>
              <w:rPr>
                <w:b w:val="false"/>
                <w:bCs w:val="false"/>
                <w:color w:val="1A1A1A"/>
                <w:sz w:val="19"/>
                <w:szCs w:val="19"/>
              </w:rPr>
              <w:t xml:space="preserve">Design/Impl. Complete, not executed</w:t>
            </w:r>
          </w:p>
        </w:tc>
        <w:tc>
          <w:tcPr>
            <w:tcW w:type="dxa" w:w="1265"/>
            <w:shd w:fill="EEF1F5" w:val="clear"/>
            <w:tcMar>
              <w:top w:type="dxa" w:w="80"/>
              <w:left w:type="dxa" w:w="100"/>
              <w:bottom w:type="dxa" w:w="80"/>
              <w:right w:type="dxa" w:w="100"/>
            </w:tcMar>
            <w:vAlign w:val="top"/>
          </w:tcPr>
          <w:p>
            <w:pPr>
              <w:jc w:val="left"/>
            </w:pPr>
            <w:r>
              <w:rPr>
                <w:b w:val="false"/>
                <w:bCs w:val="false"/>
                <w:color w:val="1A1A1A"/>
                <w:sz w:val="19"/>
                <w:szCs w:val="19"/>
              </w:rPr>
              <w:t xml:space="preserve">Docs (WP-0001, WP-0004); DB (WP-0005)</w:t>
            </w:r>
          </w:p>
        </w:tc>
        <w:tc>
          <w:tcPr>
            <w:tcW w:type="dxa" w:w="1265"/>
            <w:shd w:fill="EEF1F5" w:val="clear"/>
            <w:tcMar>
              <w:top w:type="dxa" w:w="80"/>
              <w:left w:type="dxa" w:w="100"/>
              <w:bottom w:type="dxa" w:w="80"/>
              <w:right w:type="dxa" w:w="100"/>
            </w:tcMar>
            <w:vAlign w:val="top"/>
          </w:tcPr>
          <w:p>
            <w:pPr>
              <w:jc w:val="left"/>
            </w:pPr>
            <w:r>
              <w:rPr>
                <w:b w:val="false"/>
                <w:bCs w:val="false"/>
                <w:color w:val="1A1A1A"/>
                <w:sz w:val="19"/>
                <w:szCs w:val="19"/>
              </w:rPr>
              <w:t xml:space="preserve">Benefits from Wave 1 owner</w:t>
            </w:r>
          </w:p>
        </w:tc>
        <w:tc>
          <w:tcPr>
            <w:tcW w:type="dxa" w:w="1355"/>
            <w:shd w:fill="EEF1F5" w:val="clear"/>
            <w:tcMar>
              <w:top w:type="dxa" w:w="80"/>
              <w:left w:type="dxa" w:w="100"/>
              <w:bottom w:type="dxa" w:w="80"/>
              <w:right w:type="dxa" w:w="100"/>
            </w:tcMar>
            <w:vAlign w:val="top"/>
          </w:tcPr>
          <w:p>
            <w:pPr>
              <w:jc w:val="left"/>
            </w:pPr>
            <w:r>
              <w:rPr>
                <w:b w:val="false"/>
                <w:bCs w:val="false"/>
                <w:color w:val="1A1A1A"/>
                <w:sz w:val="19"/>
                <w:szCs w:val="19"/>
              </w:rPr>
              <w:t xml:space="preserve">Methods defined, not executed</w:t>
            </w:r>
          </w:p>
        </w:tc>
        <w:tc>
          <w:tcPr>
            <w:tcW w:type="dxa" w:w="1048"/>
            <w:shd w:fill="EEF1F5" w:val="clear"/>
            <w:tcMar>
              <w:top w:type="dxa" w:w="80"/>
              <w:left w:type="dxa" w:w="100"/>
              <w:bottom w:type="dxa" w:w="80"/>
              <w:right w:type="dxa" w:w="100"/>
            </w:tcMar>
            <w:vAlign w:val="top"/>
          </w:tcPr>
          <w:p>
            <w:pPr>
              <w:jc w:val="left"/>
            </w:pPr>
            <w:r>
              <w:rPr>
                <w:b w:val="false"/>
                <w:bCs w:val="false"/>
                <w:color w:val="1A1A1A"/>
                <w:sz w:val="19"/>
                <w:szCs w:val="19"/>
              </w:rPr>
              <w:t xml:space="preserve">Medium-High</w:t>
            </w:r>
          </w:p>
        </w:tc>
        <w:tc>
          <w:tcPr>
            <w:tcW w:type="dxa" w:w="1175"/>
            <w:shd w:fill="EEF1F5" w:val="clear"/>
            <w:tcMar>
              <w:top w:type="dxa" w:w="80"/>
              <w:left w:type="dxa" w:w="100"/>
              <w:bottom w:type="dxa" w:w="80"/>
              <w:right w:type="dxa" w:w="100"/>
            </w:tcMar>
            <w:vAlign w:val="top"/>
          </w:tcPr>
          <w:p>
            <w:pPr>
              <w:jc w:val="left"/>
            </w:pPr>
            <w:r>
              <w:rPr>
                <w:b w:val="false"/>
                <w:bCs w:val="false"/>
                <w:color w:val="1A1A1A"/>
                <w:sz w:val="19"/>
                <w:szCs w:val="19"/>
              </w:rPr>
              <w:t xml:space="preserve">Execute-ready, not accepted</w:t>
            </w:r>
          </w:p>
        </w:tc>
        <w:tc>
          <w:tcPr>
            <w:tcW w:type="dxa" w:w="1175"/>
            <w:shd w:fill="EEF1F5" w:val="clear"/>
            <w:tcMar>
              <w:top w:type="dxa" w:w="80"/>
              <w:left w:type="dxa" w:w="100"/>
              <w:bottom w:type="dxa" w:w="80"/>
              <w:right w:type="dxa" w:w="100"/>
            </w:tcMar>
            <w:vAlign w:val="top"/>
          </w:tcPr>
          <w:p>
            <w:pPr>
              <w:jc w:val="left"/>
            </w:pPr>
            <w:r>
              <w:rPr>
                <w:b w:val="false"/>
                <w:bCs w:val="false"/>
                <w:color w:val="1A1A1A"/>
                <w:sz w:val="19"/>
                <w:szCs w:val="19"/>
              </w:rPr>
              <w:t xml:space="preserve">L4 pending, per WP</w:t>
            </w:r>
          </w:p>
        </w:tc>
      </w:tr>
      <w:tr>
        <w:tc>
          <w:tcPr>
            <w:tcW w:type="dxa" w:w="723"/>
            <w:shd w:fill="FFFFFF" w:val="clear"/>
            <w:tcMar>
              <w:top w:type="dxa" w:w="80"/>
              <w:left w:type="dxa" w:w="100"/>
              <w:bottom w:type="dxa" w:w="80"/>
              <w:right w:type="dxa" w:w="100"/>
            </w:tcMar>
            <w:vAlign w:val="top"/>
          </w:tcPr>
          <w:p>
            <w:pPr>
              <w:jc w:val="left"/>
            </w:pPr>
            <w:r>
              <w:rPr>
                <w:b w:val="false"/>
                <w:bCs w:val="false"/>
                <w:color w:val="1A1A1A"/>
                <w:sz w:val="19"/>
                <w:szCs w:val="19"/>
              </w:rPr>
              <w:t xml:space="preserve">Wave 3</w:t>
            </w:r>
          </w:p>
        </w:tc>
        <w:tc>
          <w:tcPr>
            <w:tcW w:type="dxa" w:w="1355"/>
            <w:shd w:fill="FFFFFF" w:val="clear"/>
            <w:tcMar>
              <w:top w:type="dxa" w:w="80"/>
              <w:left w:type="dxa" w:w="100"/>
              <w:bottom w:type="dxa" w:w="80"/>
              <w:right w:type="dxa" w:w="100"/>
            </w:tcMar>
            <w:vAlign w:val="top"/>
          </w:tcPr>
          <w:p>
            <w:pPr>
              <w:jc w:val="left"/>
            </w:pPr>
            <w:r>
              <w:rPr>
                <w:b w:val="false"/>
                <w:bCs w:val="false"/>
                <w:color w:val="1A1A1A"/>
                <w:sz w:val="19"/>
                <w:szCs w:val="19"/>
              </w:rPr>
              <w:t xml:space="preserve">Method defined, dormant</w:t>
            </w:r>
          </w:p>
        </w:tc>
        <w:tc>
          <w:tcPr>
            <w:tcW w:type="dxa" w:w="1265"/>
            <w:shd w:fill="FFFFFF" w:val="clear"/>
            <w:tcMar>
              <w:top w:type="dxa" w:w="80"/>
              <w:left w:type="dxa" w:w="100"/>
              <w:bottom w:type="dxa" w:w="80"/>
              <w:right w:type="dxa" w:w="100"/>
            </w:tcMar>
            <w:vAlign w:val="top"/>
          </w:tcPr>
          <w:p>
            <w:pPr>
              <w:jc w:val="left"/>
            </w:pPr>
            <w:r>
              <w:rPr>
                <w:b w:val="false"/>
                <w:bCs w:val="false"/>
                <w:color w:val="1A1A1A"/>
                <w:sz w:val="19"/>
                <w:szCs w:val="19"/>
              </w:rPr>
              <w:t xml:space="preserve">DB, conditional</w:t>
            </w:r>
          </w:p>
        </w:tc>
        <w:tc>
          <w:tcPr>
            <w:tcW w:type="dxa" w:w="1265"/>
            <w:shd w:fill="FFFFFF" w:val="clear"/>
            <w:tcMar>
              <w:top w:type="dxa" w:w="80"/>
              <w:left w:type="dxa" w:w="100"/>
              <w:bottom w:type="dxa" w:w="80"/>
              <w:right w:type="dxa" w:w="100"/>
            </w:tcMar>
            <w:vAlign w:val="top"/>
          </w:tcPr>
          <w:p>
            <w:pPr>
              <w:jc w:val="left"/>
            </w:pPr>
            <w:r>
              <w:rPr>
                <w:b w:val="false"/>
                <w:bCs w:val="false"/>
                <w:color w:val="1A1A1A"/>
                <w:sz w:val="19"/>
                <w:szCs w:val="19"/>
              </w:rPr>
              <w:t xml:space="preserve">Monitoring-ready</w:t>
            </w:r>
          </w:p>
        </w:tc>
        <w:tc>
          <w:tcPr>
            <w:tcW w:type="dxa" w:w="1355"/>
            <w:shd w:fill="FFFFFF" w:val="clear"/>
            <w:tcMar>
              <w:top w:type="dxa" w:w="80"/>
              <w:left w:type="dxa" w:w="100"/>
              <w:bottom w:type="dxa" w:w="80"/>
              <w:right w:type="dxa" w:w="100"/>
            </w:tcMar>
            <w:vAlign w:val="top"/>
          </w:tcPr>
          <w:p>
            <w:pPr>
              <w:jc w:val="left"/>
            </w:pPr>
            <w:r>
              <w:rPr>
                <w:b w:val="false"/>
                <w:bCs w:val="false"/>
                <w:color w:val="1A1A1A"/>
                <w:sz w:val="19"/>
                <w:szCs w:val="19"/>
              </w:rPr>
              <w:t xml:space="preserve">Quarterly check, not operating</w:t>
            </w:r>
          </w:p>
        </w:tc>
        <w:tc>
          <w:tcPr>
            <w:tcW w:type="dxa" w:w="1048"/>
            <w:shd w:fill="FFFFFF" w:val="clear"/>
            <w:tcMar>
              <w:top w:type="dxa" w:w="80"/>
              <w:left w:type="dxa" w:w="100"/>
              <w:bottom w:type="dxa" w:w="80"/>
              <w:right w:type="dxa" w:w="100"/>
            </w:tcMar>
            <w:vAlign w:val="top"/>
          </w:tcPr>
          <w:p>
            <w:pPr>
              <w:jc w:val="left"/>
            </w:pPr>
            <w:r>
              <w:rPr>
                <w:b w:val="false"/>
                <w:bCs w:val="false"/>
                <w:color w:val="1A1A1A"/>
                <w:sz w:val="19"/>
                <w:szCs w:val="19"/>
              </w:rPr>
              <w:t xml:space="preserve">Medium (external data)</w:t>
            </w:r>
          </w:p>
        </w:tc>
        <w:tc>
          <w:tcPr>
            <w:tcW w:type="dxa" w:w="1175"/>
            <w:shd w:fill="FFFFFF" w:val="clear"/>
            <w:tcMar>
              <w:top w:type="dxa" w:w="80"/>
              <w:left w:type="dxa" w:w="100"/>
              <w:bottom w:type="dxa" w:w="80"/>
              <w:right w:type="dxa" w:w="100"/>
            </w:tcMar>
            <w:vAlign w:val="top"/>
          </w:tcPr>
          <w:p>
            <w:pPr>
              <w:jc w:val="left"/>
            </w:pPr>
            <w:r>
              <w:rPr>
                <w:b w:val="false"/>
                <w:bCs w:val="false"/>
                <w:color w:val="1A1A1A"/>
                <w:sz w:val="19"/>
                <w:szCs w:val="19"/>
              </w:rPr>
              <w:t xml:space="preserve">Monitoring-ready, not accepted</w:t>
            </w:r>
          </w:p>
        </w:tc>
        <w:tc>
          <w:tcPr>
            <w:tcW w:type="dxa" w:w="1175"/>
            <w:shd w:fill="FFFFFF" w:val="clear"/>
            <w:tcMar>
              <w:top w:type="dxa" w:w="80"/>
              <w:left w:type="dxa" w:w="100"/>
              <w:bottom w:type="dxa" w:w="80"/>
              <w:right w:type="dxa" w:w="100"/>
            </w:tcMar>
            <w:vAlign w:val="top"/>
          </w:tcPr>
          <w:p>
            <w:pPr>
              <w:jc w:val="left"/>
            </w:pPr>
            <w:r>
              <w:rPr>
                <w:b w:val="false"/>
                <w:bCs w:val="false"/>
                <w:color w:val="1A1A1A"/>
                <w:sz w:val="19"/>
                <w:szCs w:val="19"/>
              </w:rPr>
              <w:t xml:space="preserve">L3 standing; L4 conditional</w:t>
            </w:r>
          </w:p>
        </w:tc>
      </w:tr>
      <w:tr>
        <w:tc>
          <w:tcPr>
            <w:tcW w:type="dxa" w:w="723"/>
            <w:shd w:fill="EEF1F5" w:val="clear"/>
            <w:tcMar>
              <w:top w:type="dxa" w:w="80"/>
              <w:left w:type="dxa" w:w="100"/>
              <w:bottom w:type="dxa" w:w="80"/>
              <w:right w:type="dxa" w:w="100"/>
            </w:tcMar>
            <w:vAlign w:val="top"/>
          </w:tcPr>
          <w:p>
            <w:pPr>
              <w:jc w:val="left"/>
            </w:pPr>
            <w:r>
              <w:rPr>
                <w:b w:val="false"/>
                <w:bCs w:val="false"/>
                <w:color w:val="1A1A1A"/>
                <w:sz w:val="19"/>
                <w:szCs w:val="19"/>
              </w:rPr>
              <w:t xml:space="preserve">Wave 4</w:t>
            </w:r>
          </w:p>
        </w:tc>
        <w:tc>
          <w:tcPr>
            <w:tcW w:type="dxa" w:w="1355"/>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265"/>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265"/>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355"/>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048"/>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175"/>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175"/>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r>
        <w:tc>
          <w:tcPr>
            <w:tcW w:type="dxa" w:w="723"/>
            <w:shd w:fill="FFFFFF" w:val="clear"/>
            <w:tcMar>
              <w:top w:type="dxa" w:w="80"/>
              <w:left w:type="dxa" w:w="100"/>
              <w:bottom w:type="dxa" w:w="80"/>
              <w:right w:type="dxa" w:w="100"/>
            </w:tcMar>
            <w:vAlign w:val="top"/>
          </w:tcPr>
          <w:p>
            <w:pPr>
              <w:jc w:val="left"/>
            </w:pPr>
            <w:r>
              <w:rPr>
                <w:b w:val="false"/>
                <w:bCs w:val="false"/>
                <w:color w:val="1A1A1A"/>
                <w:sz w:val="19"/>
                <w:szCs w:val="19"/>
              </w:rPr>
              <w:t xml:space="preserve">Wave 5</w:t>
            </w:r>
          </w:p>
        </w:tc>
        <w:tc>
          <w:tcPr>
            <w:tcW w:type="dxa" w:w="1355"/>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265"/>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265"/>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355"/>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048"/>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175"/>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175"/>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bl>
    <w:p>
      <w:r>
        <w:br w:type="page"/>
      </w:r>
    </w:p>
    <w:p>
      <w:pPr>
        <w:pStyle w:val="Heading2"/>
        <w:spacing w:after="200" w:before="360"/>
      </w:pPr>
      <w:r>
        <w:rPr>
          <w:b/>
          <w:bCs/>
          <w:color w:val="3E5C76"/>
          <w:sz w:val="26"/>
          <w:szCs w:val="26"/>
        </w:rPr>
        <w:t xml:space="preserve">10.5.6 — Wave Governance Dashboard</w:t>
      </w:r>
    </w:p>
    <w:p>
      <w:pPr>
        <w:pStyle w:val="Heading3"/>
        <w:spacing w:after="160" w:before="260"/>
      </w:pPr>
      <w:r>
        <w:rPr>
          <w:b/>
          <w:bCs/>
          <w:color w:val="1F2A44"/>
          <w:sz w:val="22"/>
          <w:szCs w:val="22"/>
        </w:rPr>
        <w:t xml:space="preserve">Governance Ownership</w:t>
      </w:r>
    </w:p>
    <w:p>
      <w:pPr>
        <w:spacing w:after="160" w:before="0"/>
      </w:pPr>
      <w:r>
        <w:rPr>
          <w:sz w:val="22"/>
          <w:szCs w:val="22"/>
        </w:rPr>
        <w:t xml:space="preserve">No wave currently has a named, accountable owner. WP-0006 — itself a Wave 1 Work Package — exists specifically to close this gap by assigning named owners to every unassigned role across all nine Enterprise Governance Decisions (KPI-08, currently 0%). Until WP-0006 executes, wave-level accountability is unassigned across the entire program, not just within individual portfolios.</w:t>
      </w:r>
    </w:p>
    <w:p>
      <w:pPr>
        <w:pStyle w:val="Heading3"/>
        <w:spacing w:after="160" w:before="260"/>
      </w:pPr>
      <w:r>
        <w:rPr>
          <w:b/>
          <w:bCs/>
          <w:color w:val="1F2A44"/>
          <w:sz w:val="22"/>
          <w:szCs w:val="22"/>
        </w:rPr>
        <w:t xml:space="preserve">Wave Accountability</w:t>
      </w:r>
    </w:p>
    <w:p>
      <w:pPr>
        <w:spacing w:after="160" w:before="0"/>
      </w:pPr>
      <w:r>
        <w:rPr>
          <w:sz w:val="22"/>
          <w:szCs w:val="22"/>
        </w:rPr>
        <w:t xml:space="preserve">Target-state accountability, per the roles defined in Phase B §9: the Enterprise Architecture Owner is accountable for Wave 2 (WP-0001); the Security/Platform Engineer role is accountable for Wave 1's WP-0002 and Wave 2's WP-0005; the Platform Engineering Lead role is accountable for Wave 3 (WP-0003) if and when triggered. All three roles are themselves assigned by WP-0006 in Wave 1 — no role is currently filled.</w:t>
      </w:r>
    </w:p>
    <w:p>
      <w:pPr>
        <w:pStyle w:val="Heading3"/>
        <w:spacing w:after="160" w:before="260"/>
      </w:pPr>
      <w:r>
        <w:rPr>
          <w:b/>
          <w:bCs/>
          <w:color w:val="1F2A44"/>
          <w:sz w:val="22"/>
          <w:szCs w:val="22"/>
        </w:rPr>
        <w:t xml:space="preserve">Executive Governance Status</w:t>
      </w:r>
    </w:p>
    <w:p>
      <w:pPr>
        <w:spacing w:after="160" w:before="0"/>
      </w:pPr>
      <w:r>
        <w:rPr>
          <w:sz w:val="22"/>
          <w:szCs w:val="22"/>
        </w:rPr>
        <w:t xml:space="preserve">Enterprise Governance stands at 48/100 (KPI-03), unchanged since Phase B. This score is not wave-specific — it reflects the same single cross-cutting condition (KPI-08 = 0%) that affects every wave equally, since no wave can proceed under a formally accountable owner until WP-0006 executes.</w:t>
      </w:r>
    </w:p>
    <w:p>
      <w:pPr>
        <w:pStyle w:val="Heading3"/>
        <w:spacing w:after="160" w:before="260"/>
      </w:pPr>
      <w:r>
        <w:rPr>
          <w:b/>
          <w:bCs/>
          <w:color w:val="1F2A44"/>
          <w:sz w:val="22"/>
          <w:szCs w:val="22"/>
        </w:rPr>
        <w:t xml:space="preserve">Outstanding Governance Conditions</w:t>
      </w:r>
    </w:p>
    <w:p>
      <w:pPr>
        <w:pStyle w:val="ListParagraph"/>
        <w:numPr>
          <w:ilvl w:val="0"/>
          <w:numId w:val="1"/>
        </w:numPr>
        <w:spacing w:after="100"/>
      </w:pPr>
      <w:r>
        <w:rPr>
          <w:sz w:val="21"/>
          <w:szCs w:val="21"/>
        </w:rPr>
        <w:t xml:space="preserve">Named, accountable ownership (KPI-08 = 0%) — the single condition blocking formal accountability across all three active waves.</w:t>
      </w:r>
    </w:p>
    <w:p>
      <w:pPr>
        <w:pStyle w:val="ListParagraph"/>
        <w:numPr>
          <w:ilvl w:val="0"/>
          <w:numId w:val="1"/>
        </w:numPr>
        <w:spacing w:after="100"/>
      </w:pPr>
      <w:r>
        <w:rPr>
          <w:sz w:val="21"/>
          <w:szCs w:val="21"/>
        </w:rPr>
        <w:t xml:space="preserve">Row-count/growth data for WP-0003 (Wave 3) not yet gathered, so the EGD-0004 trigger has not fired.</w:t>
      </w:r>
    </w:p>
    <w:p>
      <w:pPr>
        <w:pStyle w:val="ListParagraph"/>
        <w:numPr>
          <w:ilvl w:val="0"/>
          <w:numId w:val="1"/>
        </w:numPr>
        <w:spacing w:after="100"/>
      </w:pPr>
      <w:r>
        <w:rPr>
          <w:sz w:val="21"/>
          <w:szCs w:val="21"/>
        </w:rPr>
        <w:t xml:space="preserve">No governance condition currently blocks Wave 1 or Wave 2 from starting; the ownership gap affects accountability, not startability.</w:t>
      </w:r>
    </w:p>
    <w:p>
      <w:pPr>
        <w:pStyle w:val="Heading3"/>
        <w:spacing w:after="160" w:before="260"/>
      </w:pPr>
      <w:r>
        <w:rPr>
          <w:b/>
          <w:bCs/>
          <w:color w:val="1F2A44"/>
          <w:sz w:val="22"/>
          <w:szCs w:val="22"/>
        </w:rPr>
        <w:t xml:space="preserve">Architecture Traceability</w:t>
      </w:r>
    </w:p>
    <w:p>
      <w:pPr>
        <w:spacing w:after="160" w:before="0"/>
      </w:pPr>
      <w:r>
        <w:rPr>
          <w:sz w:val="22"/>
          <w:szCs w:val="22"/>
        </w:rPr>
        <w:t xml:space="preserve">Every wave-level element in this section traces to a specific Architecture Requirement (AR) and Enterprise Governance Decision (EGD) pair, per the Architecture Requirement Delivery Matrix in Phase B §8: AR-0002/EGD-0002 and AR-0003/EGD-0003 to Wave 2; AR-0004/EGD-0004 to Wave 3; AR-0007/EGD-0007 to Wave 1 (WP-0002) and Wave 2 (WP-0005, extension). AR-0008–AR-0010 are standing (already met, Baseline Complete) and are not assigned to any wave.</w:t>
      </w:r>
    </w:p>
    <w:p>
      <w:pPr>
        <w:pStyle w:val="Heading2"/>
        <w:spacing w:after="200" w:before="360"/>
      </w:pPr>
      <w:r>
        <w:rPr>
          <w:b/>
          <w:bCs/>
          <w:color w:val="3E5C76"/>
          <w:sz w:val="26"/>
          <w:szCs w:val="26"/>
        </w:rPr>
        <w:t xml:space="preserve">10.5.7 — Critical Path Dashboard</w:t>
      </w:r>
    </w:p>
    <w:p>
      <w:pPr>
        <w:spacing w:after="200" w:before="80"/>
      </w:pPr>
      <w:r>
        <w:rPr>
          <w:i/>
          <w:iCs/>
          <w:color w:val="5B6470"/>
          <w:sz w:val="19"/>
          <w:szCs w:val="19"/>
        </w:rPr>
        <w:t xml:space="preserve">Source: ERP-01 Phase B §7 (Critical Path Analysis), reused unchanged.</w:t>
      </w:r>
    </w:p>
    <w:p>
      <w:pPr>
        <w:pStyle w:val="Heading3"/>
        <w:spacing w:after="160" w:before="260"/>
      </w:pPr>
      <w:r>
        <w:rPr>
          <w:b/>
          <w:bCs/>
          <w:color w:val="1F2A44"/>
          <w:sz w:val="22"/>
          <w:szCs w:val="22"/>
        </w:rPr>
        <w:t xml:space="preserve">Critical Execution Sequence</w:t>
      </w:r>
    </w:p>
    <w:p>
      <w:pPr>
        <w:spacing w:after="160" w:before="0"/>
      </w:pPr>
      <w:r>
        <w:rPr>
          <w:b/>
          <w:bCs/>
          <w:sz w:val="22"/>
          <w:szCs w:val="22"/>
        </w:rPr>
        <w:t xml:space="preserve">WP-0006 (owner assignment, days) → WP-0002 (RLS verification, 1–2 days, parallel) → WP-0001 (documentation revision, 1 session, under the newly-assigned owner) → WP-0004 / WP-0005 (parallel, low effort) → Production Ready milestone. WP-0003 and reserved Portfolios 3–7 sit outside this critical path entirely, gated on external triggers or future realization assessments rather than on any item within it.</w:t>
      </w:r>
    </w:p>
    <w:p>
      <w:pPr>
        <w:pStyle w:val="Heading3"/>
        <w:spacing w:after="160" w:before="260"/>
      </w:pPr>
      <w:r>
        <w:rPr>
          <w:b/>
          <w:bCs/>
          <w:color w:val="1F2A44"/>
          <w:sz w:val="22"/>
          <w:szCs w:val="22"/>
        </w:rPr>
        <w:t xml:space="preserve">Mandatory Predecessor Activities</w:t>
      </w:r>
    </w:p>
    <w:p>
      <w:pPr>
        <w:spacing w:after="160" w:before="0"/>
      </w:pPr>
      <w:r>
        <w:rPr>
          <w:sz w:val="22"/>
          <w:szCs w:val="22"/>
        </w:rPr>
        <w:t xml:space="preserve">WP-0006 → WP-0001. Documentation revision (WP-0001) should be authored under a named, accountable enterprise architecture owner; Phase A.2 §12 treats unassigned ownership as the reason dispositions remain aspirational rather than executed.</w:t>
      </w:r>
    </w:p>
    <w:p>
      <w:pPr>
        <w:pStyle w:val="Heading3"/>
        <w:spacing w:after="160" w:before="260"/>
      </w:pPr>
      <w:r>
        <w:rPr>
          <w:b/>
          <w:bCs/>
          <w:color w:val="1F2A44"/>
          <w:sz w:val="22"/>
          <w:szCs w:val="22"/>
        </w:rPr>
        <w:t xml:space="preserve">Trigger-Based Activities</w:t>
      </w:r>
    </w:p>
    <w:p>
      <w:pPr>
        <w:spacing w:after="160" w:before="0"/>
      </w:pPr>
      <w:r>
        <w:rPr>
          <w:sz w:val="22"/>
          <w:szCs w:val="22"/>
        </w:rPr>
        <w:t xml:space="preserve">WP-0003 (Wave 3) is trigger-based, not calendar-based: it begins only once row-count/growth data evidences the EGD-0004 condition. AR-0001, AR-0005, and AR-0006 are similarly trigger-gated with no wave assignment until triggered (Phase B §8).</w:t>
      </w:r>
    </w:p>
    <w:p>
      <w:pPr>
        <w:pStyle w:val="Heading3"/>
        <w:spacing w:after="160" w:before="260"/>
      </w:pPr>
      <w:r>
        <w:rPr>
          <w:b/>
          <w:bCs/>
          <w:color w:val="1F2A44"/>
          <w:sz w:val="22"/>
          <w:szCs w:val="22"/>
        </w:rPr>
        <w:t xml:space="preserve">Parallel Execution Opportunities</w:t>
      </w:r>
    </w:p>
    <w:p>
      <w:pPr>
        <w:spacing w:after="160" w:before="0"/>
      </w:pPr>
      <w:r>
        <w:rPr>
          <w:sz w:val="22"/>
          <w:szCs w:val="22"/>
        </w:rPr>
        <w:t xml:space="preserve">WP-0002 and WP-0006 have no dependency on each other and no blocking dependency of their own — both can run fully in parallel starting immediately (Wave 1). Within Wave 2, WP-0004 and WP-0005 can likewise run in parallel once their respective non-blocking predecessors (WP-0001 and WP-0002) are underway.</w:t>
      </w:r>
    </w:p>
    <w:p>
      <w:pPr>
        <w:pStyle w:val="Heading3"/>
        <w:spacing w:after="160" w:before="260"/>
      </w:pPr>
      <w:r>
        <w:rPr>
          <w:b/>
          <w:bCs/>
          <w:color w:val="1F2A44"/>
          <w:sz w:val="22"/>
          <w:szCs w:val="22"/>
        </w:rPr>
        <w:t xml:space="preserve">Organizational Dependencies</w:t>
      </w:r>
    </w:p>
    <w:p>
      <w:pPr>
        <w:spacing w:after="160" w:before="0"/>
      </w:pPr>
      <w:r>
        <w:rPr>
          <w:sz w:val="22"/>
          <w:szCs w:val="22"/>
        </w:rPr>
        <w:t xml:space="preserve">The single largest bottleneck in the roadmap is organizational, not technical: zero owners assigned across all nine governance decisions (KPI-08 = 0%). Every other identified risk (documentation drift, RLS gap, partitioning trigger) has a scoped, low-cost technical remedy already defined; none of those remedies currently has an accountable owner to execute it.</w:t>
      </w:r>
    </w:p>
    <w:p>
      <w:pPr>
        <w:pStyle w:val="Heading3"/>
        <w:spacing w:after="160" w:before="260"/>
      </w:pPr>
      <w:r>
        <w:rPr>
          <w:b/>
          <w:bCs/>
          <w:color w:val="1F2A44"/>
          <w:sz w:val="22"/>
          <w:szCs w:val="22"/>
        </w:rPr>
        <w:t xml:space="preserve">Technical Dependencies</w:t>
      </w:r>
    </w:p>
    <w:p>
      <w:pPr>
        <w:spacing w:after="160" w:before="0"/>
      </w:pPr>
      <w:r>
        <w:rPr>
          <w:sz w:val="22"/>
          <w:szCs w:val="22"/>
        </w:rPr>
        <w:t xml:space="preserve">None identified at current scope for Waves 1–2 — all associated Work Packages are low-complexity (documentation, verification, organizational assignment) and do not compete for specialized capacity. Wave 3 (WP-0003) may require dedicated data-engineering time once triggered, but this is not a current bottleneck since the trigger has not fired.</w:t>
      </w:r>
    </w:p>
    <w:p>
      <w:pPr>
        <w:pStyle w:val="Heading3"/>
        <w:spacing w:after="160" w:before="260"/>
      </w:pPr>
      <w:r>
        <w:rPr>
          <w:b/>
          <w:bCs/>
          <w:color w:val="1F2A44"/>
          <w:sz w:val="22"/>
          <w:szCs w:val="22"/>
        </w:rPr>
        <w:t xml:space="preserve">Current Execution Blockers</w:t>
      </w:r>
    </w:p>
    <w:p>
      <w:pPr>
        <w:pStyle w:val="ListParagraph"/>
        <w:numPr>
          <w:ilvl w:val="0"/>
          <w:numId w:val="1"/>
        </w:numPr>
        <w:spacing w:after="100"/>
      </w:pPr>
      <w:r>
        <w:rPr>
          <w:sz w:val="21"/>
          <w:szCs w:val="21"/>
        </w:rPr>
        <w:t xml:space="preserve">Wave 1: None. Fully startable.</w:t>
      </w:r>
    </w:p>
    <w:p>
      <w:pPr>
        <w:pStyle w:val="ListParagraph"/>
        <w:numPr>
          <w:ilvl w:val="0"/>
          <w:numId w:val="1"/>
        </w:numPr>
        <w:spacing w:after="100"/>
      </w:pPr>
      <w:r>
        <w:rPr>
          <w:sz w:val="21"/>
          <w:szCs w:val="21"/>
        </w:rPr>
        <w:t xml:space="preserve">Wave 2: None blocking; non-blocking benefit from Wave 1 recommended but not required.</w:t>
      </w:r>
    </w:p>
    <w:p>
      <w:pPr>
        <w:pStyle w:val="ListParagraph"/>
        <w:numPr>
          <w:ilvl w:val="0"/>
          <w:numId w:val="1"/>
        </w:numPr>
        <w:spacing w:after="100"/>
      </w:pPr>
      <w:r>
        <w:rPr>
          <w:sz w:val="21"/>
          <w:szCs w:val="21"/>
        </w:rPr>
        <w:t xml:space="preserve">Wave 3: Blocked — external row-count/growth data not yet gathered.</w:t>
      </w:r>
    </w:p>
    <w:p>
      <w:pPr>
        <w:pStyle w:val="ListParagraph"/>
        <w:numPr>
          <w:ilvl w:val="0"/>
          <w:numId w:val="1"/>
        </w:numPr>
        <w:spacing w:after="100"/>
      </w:pPr>
      <w:r>
        <w:rPr>
          <w:sz w:val="21"/>
          <w:szCs w:val="21"/>
        </w:rPr>
        <w:t xml:space="preserve">Waves 4–5: Reserved for Future Realization Phases.</w:t>
      </w:r>
    </w:p>
    <w:p>
      <w:r>
        <w:br w:type="page"/>
      </w:r>
    </w:p>
    <w:p>
      <w:pPr>
        <w:pStyle w:val="Heading2"/>
        <w:spacing w:after="200" w:before="360"/>
      </w:pPr>
      <w:r>
        <w:rPr>
          <w:b/>
          <w:bCs/>
          <w:color w:val="3E5C76"/>
          <w:sz w:val="26"/>
          <w:szCs w:val="26"/>
        </w:rPr>
        <w:t xml:space="preserve">10.5.8 — Executive Wave Decision Matrix</w:t>
      </w:r>
    </w:p>
    <w:tbl>
      <w:tblPr>
        <w:tblW w:type="dxa" w:w="9360"/>
        <w:tblBorders>
          <w:top w:val="single" w:color="AAB2BD" w:sz="4"/>
          <w:left w:val="single" w:color="AAB2BD" w:sz="4"/>
          <w:bottom w:val="single" w:color="AAB2BD" w:sz="4"/>
          <w:right w:val="single" w:color="AAB2BD" w:sz="4"/>
          <w:insideH w:val="single" w:color="CCD1D9" w:sz="2"/>
          <w:insideV w:val="single" w:color="CCD1D9" w:sz="2"/>
        </w:tblBorders>
      </w:tblPr>
      <w:tblGrid>
        <w:gridCol w:w="813"/>
        <w:gridCol w:w="1536"/>
        <w:gridCol w:w="1717"/>
        <w:gridCol w:w="1536"/>
        <w:gridCol w:w="1988"/>
        <w:gridCol w:w="1771"/>
      </w:tblGrid>
      <w:tr>
        <w:trPr>
          <w:tblHeader/>
        </w:trPr>
        <w:tc>
          <w:tcPr>
            <w:tcW w:type="dxa" w:w="813"/>
            <w:shd w:fill="1F2A44" w:val="clear"/>
            <w:tcMar>
              <w:top w:type="dxa" w:w="80"/>
              <w:left w:type="dxa" w:w="100"/>
              <w:bottom w:type="dxa" w:w="80"/>
              <w:right w:type="dxa" w:w="100"/>
            </w:tcMar>
            <w:vAlign w:val="top"/>
          </w:tcPr>
          <w:p>
            <w:pPr>
              <w:jc w:val="left"/>
            </w:pPr>
            <w:r>
              <w:rPr>
                <w:b/>
                <w:bCs/>
                <w:color w:val="FFFFFF"/>
                <w:sz w:val="19"/>
                <w:szCs w:val="19"/>
              </w:rPr>
              <w:t xml:space="preserve">Wave</w:t>
            </w:r>
          </w:p>
        </w:tc>
        <w:tc>
          <w:tcPr>
            <w:tcW w:type="dxa" w:w="1536"/>
            <w:shd w:fill="1F2A44" w:val="clear"/>
            <w:tcMar>
              <w:top w:type="dxa" w:w="80"/>
              <w:left w:type="dxa" w:w="100"/>
              <w:bottom w:type="dxa" w:w="80"/>
              <w:right w:type="dxa" w:w="100"/>
            </w:tcMar>
            <w:vAlign w:val="top"/>
          </w:tcPr>
          <w:p>
            <w:pPr>
              <w:jc w:val="left"/>
            </w:pPr>
            <w:r>
              <w:rPr>
                <w:b/>
                <w:bCs/>
                <w:color w:val="FFFFFF"/>
                <w:sz w:val="19"/>
                <w:szCs w:val="19"/>
              </w:rPr>
              <w:t xml:space="preserve">Executive Decision</w:t>
            </w:r>
          </w:p>
        </w:tc>
        <w:tc>
          <w:tcPr>
            <w:tcW w:type="dxa" w:w="1717"/>
            <w:shd w:fill="1F2A44" w:val="clear"/>
            <w:tcMar>
              <w:top w:type="dxa" w:w="80"/>
              <w:left w:type="dxa" w:w="100"/>
              <w:bottom w:type="dxa" w:w="80"/>
              <w:right w:type="dxa" w:w="100"/>
            </w:tcMar>
            <w:vAlign w:val="top"/>
          </w:tcPr>
          <w:p>
            <w:pPr>
              <w:jc w:val="left"/>
            </w:pPr>
            <w:r>
              <w:rPr>
                <w:b/>
                <w:bCs/>
                <w:color w:val="FFFFFF"/>
                <w:sz w:val="19"/>
                <w:szCs w:val="19"/>
              </w:rPr>
              <w:t xml:space="preserve">Supporting Evidence</w:t>
            </w:r>
          </w:p>
        </w:tc>
        <w:tc>
          <w:tcPr>
            <w:tcW w:type="dxa" w:w="1536"/>
            <w:shd w:fill="1F2A44" w:val="clear"/>
            <w:tcMar>
              <w:top w:type="dxa" w:w="80"/>
              <w:left w:type="dxa" w:w="100"/>
              <w:bottom w:type="dxa" w:w="80"/>
              <w:right w:type="dxa" w:w="100"/>
            </w:tcMar>
            <w:vAlign w:val="top"/>
          </w:tcPr>
          <w:p>
            <w:pPr>
              <w:jc w:val="left"/>
            </w:pPr>
            <w:r>
              <w:rPr>
                <w:b/>
                <w:bCs/>
                <w:color w:val="FFFFFF"/>
                <w:sz w:val="19"/>
                <w:szCs w:val="19"/>
              </w:rPr>
              <w:t xml:space="preserve">Blocking Conditions</w:t>
            </w:r>
          </w:p>
        </w:tc>
        <w:tc>
          <w:tcPr>
            <w:tcW w:type="dxa" w:w="1988"/>
            <w:shd w:fill="1F2A44" w:val="clear"/>
            <w:tcMar>
              <w:top w:type="dxa" w:w="80"/>
              <w:left w:type="dxa" w:w="100"/>
              <w:bottom w:type="dxa" w:w="80"/>
              <w:right w:type="dxa" w:w="100"/>
            </w:tcMar>
            <w:vAlign w:val="top"/>
          </w:tcPr>
          <w:p>
            <w:pPr>
              <w:jc w:val="left"/>
            </w:pPr>
            <w:r>
              <w:rPr>
                <w:b/>
                <w:bCs/>
                <w:color w:val="FFFFFF"/>
                <w:sz w:val="19"/>
                <w:szCs w:val="19"/>
              </w:rPr>
              <w:t xml:space="preserve">Immediate Next Approved Action</w:t>
            </w:r>
          </w:p>
        </w:tc>
        <w:tc>
          <w:tcPr>
            <w:tcW w:type="dxa" w:w="1771"/>
            <w:shd w:fill="1F2A44" w:val="clear"/>
            <w:tcMar>
              <w:top w:type="dxa" w:w="80"/>
              <w:left w:type="dxa" w:w="100"/>
              <w:bottom w:type="dxa" w:w="80"/>
              <w:right w:type="dxa" w:w="100"/>
            </w:tcMar>
            <w:vAlign w:val="top"/>
          </w:tcPr>
          <w:p>
            <w:pPr>
              <w:jc w:val="left"/>
            </w:pPr>
            <w:r>
              <w:rPr>
                <w:b/>
                <w:bCs/>
                <w:color w:val="FFFFFF"/>
                <w:sz w:val="19"/>
                <w:szCs w:val="19"/>
              </w:rPr>
              <w:t xml:space="preserve">Exec. Recommendation</w:t>
            </w:r>
          </w:p>
        </w:tc>
      </w:tr>
      <w:tr>
        <w:tc>
          <w:tcPr>
            <w:tcW w:type="dxa" w:w="813"/>
            <w:shd w:fill="FFFFFF" w:val="clear"/>
            <w:tcMar>
              <w:top w:type="dxa" w:w="80"/>
              <w:left w:type="dxa" w:w="100"/>
              <w:bottom w:type="dxa" w:w="80"/>
              <w:right w:type="dxa" w:w="100"/>
            </w:tcMar>
            <w:vAlign w:val="top"/>
          </w:tcPr>
          <w:p>
            <w:pPr>
              <w:jc w:val="left"/>
            </w:pPr>
            <w:r>
              <w:rPr>
                <w:b w:val="false"/>
                <w:bCs w:val="false"/>
                <w:color w:val="1A1A1A"/>
                <w:sz w:val="19"/>
                <w:szCs w:val="19"/>
              </w:rPr>
              <w:t xml:space="preserve">Wave 1</w:t>
            </w:r>
          </w:p>
        </w:tc>
        <w:tc>
          <w:tcPr>
            <w:tcW w:type="dxa" w:w="1536"/>
            <w:shd w:fill="FFFFFF" w:val="clear"/>
            <w:tcMar>
              <w:top w:type="dxa" w:w="80"/>
              <w:left w:type="dxa" w:w="100"/>
              <w:bottom w:type="dxa" w:w="80"/>
              <w:right w:type="dxa" w:w="100"/>
            </w:tcMar>
            <w:vAlign w:val="top"/>
          </w:tcPr>
          <w:p>
            <w:pPr>
              <w:jc w:val="left"/>
            </w:pPr>
            <w:r>
              <w:rPr>
                <w:b w:val="false"/>
                <w:bCs w:val="false"/>
                <w:color w:val="1A1A1A"/>
                <w:sz w:val="19"/>
                <w:szCs w:val="19"/>
              </w:rPr>
              <w:t xml:space="preserve">Proceed</w:t>
            </w:r>
          </w:p>
        </w:tc>
        <w:tc>
          <w:tcPr>
            <w:tcW w:type="dxa" w:w="1717"/>
            <w:shd w:fill="FFFFFF" w:val="clear"/>
            <w:tcMar>
              <w:top w:type="dxa" w:w="80"/>
              <w:left w:type="dxa" w:w="100"/>
              <w:bottom w:type="dxa" w:w="80"/>
              <w:right w:type="dxa" w:w="100"/>
            </w:tcMar>
            <w:vAlign w:val="top"/>
          </w:tcPr>
          <w:p>
            <w:pPr>
              <w:jc w:val="left"/>
            </w:pPr>
            <w:r>
              <w:rPr>
                <w:b w:val="false"/>
                <w:bCs w:val="false"/>
                <w:color w:val="1A1A1A"/>
                <w:sz w:val="19"/>
                <w:szCs w:val="19"/>
              </w:rPr>
              <w:t xml:space="preserve">Phase B §4, §7, §9; Section 10.3 WP-0002/WP-0006 profiles</w:t>
            </w:r>
          </w:p>
        </w:tc>
        <w:tc>
          <w:tcPr>
            <w:tcW w:type="dxa" w:w="1536"/>
            <w:shd w:fill="FFFFFF" w:val="clear"/>
            <w:tcMar>
              <w:top w:type="dxa" w:w="80"/>
              <w:left w:type="dxa" w:w="100"/>
              <w:bottom w:type="dxa" w:w="80"/>
              <w:right w:type="dxa" w:w="100"/>
            </w:tcMar>
            <w:vAlign w:val="top"/>
          </w:tcPr>
          <w:p>
            <w:pPr>
              <w:jc w:val="left"/>
            </w:pPr>
            <w:r>
              <w:rPr>
                <w:b w:val="false"/>
                <w:bCs w:val="false"/>
                <w:color w:val="1A1A1A"/>
                <w:sz w:val="19"/>
                <w:szCs w:val="19"/>
              </w:rPr>
              <w:t xml:space="preserve">None</w:t>
            </w:r>
          </w:p>
        </w:tc>
        <w:tc>
          <w:tcPr>
            <w:tcW w:type="dxa" w:w="1988"/>
            <w:shd w:fill="FFFFFF" w:val="clear"/>
            <w:tcMar>
              <w:top w:type="dxa" w:w="80"/>
              <w:left w:type="dxa" w:w="100"/>
              <w:bottom w:type="dxa" w:w="80"/>
              <w:right w:type="dxa" w:w="100"/>
            </w:tcMar>
            <w:vAlign w:val="top"/>
          </w:tcPr>
          <w:p>
            <w:pPr>
              <w:jc w:val="left"/>
            </w:pPr>
            <w:r>
              <w:rPr>
                <w:b w:val="false"/>
                <w:bCs w:val="false"/>
                <w:color w:val="1A1A1A"/>
                <w:sz w:val="19"/>
                <w:szCs w:val="19"/>
              </w:rPr>
              <w:t xml:space="preserve">Execute WP-0006 and WP-0002 in parallel</w:t>
            </w:r>
          </w:p>
        </w:tc>
        <w:tc>
          <w:tcPr>
            <w:tcW w:type="dxa" w:w="1771"/>
            <w:shd w:fill="FFFFFF" w:val="clear"/>
            <w:tcMar>
              <w:top w:type="dxa" w:w="80"/>
              <w:left w:type="dxa" w:w="100"/>
              <w:bottom w:type="dxa" w:w="80"/>
              <w:right w:type="dxa" w:w="100"/>
            </w:tcMar>
            <w:vAlign w:val="top"/>
          </w:tcPr>
          <w:p>
            <w:pPr>
              <w:jc w:val="left"/>
            </w:pPr>
            <w:r>
              <w:rPr>
                <w:b w:val="false"/>
                <w:bCs w:val="false"/>
                <w:color w:val="1A1A1A"/>
                <w:sz w:val="19"/>
                <w:szCs w:val="19"/>
              </w:rPr>
              <w:t xml:space="preserve">Highest-priority, zero-dependency; begin immediately</w:t>
            </w:r>
          </w:p>
        </w:tc>
      </w:tr>
      <w:tr>
        <w:tc>
          <w:tcPr>
            <w:tcW w:type="dxa" w:w="813"/>
            <w:shd w:fill="EEF1F5" w:val="clear"/>
            <w:tcMar>
              <w:top w:type="dxa" w:w="80"/>
              <w:left w:type="dxa" w:w="100"/>
              <w:bottom w:type="dxa" w:w="80"/>
              <w:right w:type="dxa" w:w="100"/>
            </w:tcMar>
            <w:vAlign w:val="top"/>
          </w:tcPr>
          <w:p>
            <w:pPr>
              <w:jc w:val="left"/>
            </w:pPr>
            <w:r>
              <w:rPr>
                <w:b w:val="false"/>
                <w:bCs w:val="false"/>
                <w:color w:val="1A1A1A"/>
                <w:sz w:val="19"/>
                <w:szCs w:val="19"/>
              </w:rPr>
              <w:t xml:space="preserve">Wave 2</w:t>
            </w:r>
          </w:p>
        </w:tc>
        <w:tc>
          <w:tcPr>
            <w:tcW w:type="dxa" w:w="1536"/>
            <w:shd w:fill="EEF1F5" w:val="clear"/>
            <w:tcMar>
              <w:top w:type="dxa" w:w="80"/>
              <w:left w:type="dxa" w:w="100"/>
              <w:bottom w:type="dxa" w:w="80"/>
              <w:right w:type="dxa" w:w="100"/>
            </w:tcMar>
            <w:vAlign w:val="top"/>
          </w:tcPr>
          <w:p>
            <w:pPr>
              <w:jc w:val="left"/>
            </w:pPr>
            <w:r>
              <w:rPr>
                <w:b w:val="false"/>
                <w:bCs w:val="false"/>
                <w:color w:val="1A1A1A"/>
                <w:sz w:val="19"/>
                <w:szCs w:val="19"/>
              </w:rPr>
              <w:t xml:space="preserve">Proceed, sequenced after Wave 1</w:t>
            </w:r>
          </w:p>
        </w:tc>
        <w:tc>
          <w:tcPr>
            <w:tcW w:type="dxa" w:w="1717"/>
            <w:shd w:fill="EEF1F5" w:val="clear"/>
            <w:tcMar>
              <w:top w:type="dxa" w:w="80"/>
              <w:left w:type="dxa" w:w="100"/>
              <w:bottom w:type="dxa" w:w="80"/>
              <w:right w:type="dxa" w:w="100"/>
            </w:tcMar>
            <w:vAlign w:val="top"/>
          </w:tcPr>
          <w:p>
            <w:pPr>
              <w:jc w:val="left"/>
            </w:pPr>
            <w:r>
              <w:rPr>
                <w:b w:val="false"/>
                <w:bCs w:val="false"/>
                <w:color w:val="1A1A1A"/>
                <w:sz w:val="19"/>
                <w:szCs w:val="19"/>
              </w:rPr>
              <w:t xml:space="preserve">Phase B §5, §7; Section 10.3 WP-0001/WP-0004/WP-0005 profiles</w:t>
            </w:r>
          </w:p>
        </w:tc>
        <w:tc>
          <w:tcPr>
            <w:tcW w:type="dxa" w:w="1536"/>
            <w:shd w:fill="EEF1F5" w:val="clear"/>
            <w:tcMar>
              <w:top w:type="dxa" w:w="80"/>
              <w:left w:type="dxa" w:w="100"/>
              <w:bottom w:type="dxa" w:w="80"/>
              <w:right w:type="dxa" w:w="100"/>
            </w:tcMar>
            <w:vAlign w:val="top"/>
          </w:tcPr>
          <w:p>
            <w:pPr>
              <w:jc w:val="left"/>
            </w:pPr>
            <w:r>
              <w:rPr>
                <w:b w:val="false"/>
                <w:bCs w:val="false"/>
                <w:color w:val="1A1A1A"/>
                <w:sz w:val="19"/>
                <w:szCs w:val="19"/>
              </w:rPr>
              <w:t xml:space="preserve">None blocking (non-blocking benefit from Wave 1)</w:t>
            </w:r>
          </w:p>
        </w:tc>
        <w:tc>
          <w:tcPr>
            <w:tcW w:type="dxa" w:w="1988"/>
            <w:shd w:fill="EEF1F5" w:val="clear"/>
            <w:tcMar>
              <w:top w:type="dxa" w:w="80"/>
              <w:left w:type="dxa" w:w="100"/>
              <w:bottom w:type="dxa" w:w="80"/>
              <w:right w:type="dxa" w:w="100"/>
            </w:tcMar>
            <w:vAlign w:val="top"/>
          </w:tcPr>
          <w:p>
            <w:pPr>
              <w:jc w:val="left"/>
            </w:pPr>
            <w:r>
              <w:rPr>
                <w:b w:val="false"/>
                <w:bCs w:val="false"/>
                <w:color w:val="1A1A1A"/>
                <w:sz w:val="19"/>
                <w:szCs w:val="19"/>
              </w:rPr>
              <w:t xml:space="preserve">Queue WP-0001, WP-0004, WP-0005 for execution following Wave 1</w:t>
            </w:r>
          </w:p>
        </w:tc>
        <w:tc>
          <w:tcPr>
            <w:tcW w:type="dxa" w:w="1771"/>
            <w:shd w:fill="EEF1F5" w:val="clear"/>
            <w:tcMar>
              <w:top w:type="dxa" w:w="80"/>
              <w:left w:type="dxa" w:w="100"/>
              <w:bottom w:type="dxa" w:w="80"/>
              <w:right w:type="dxa" w:w="100"/>
            </w:tcMar>
            <w:vAlign w:val="top"/>
          </w:tcPr>
          <w:p>
            <w:pPr>
              <w:jc w:val="left"/>
            </w:pPr>
            <w:r>
              <w:rPr>
                <w:b w:val="false"/>
                <w:bCs w:val="false"/>
                <w:color w:val="1A1A1A"/>
                <w:sz w:val="19"/>
                <w:szCs w:val="19"/>
              </w:rPr>
              <w:t xml:space="preserve">Ready to proceed; recommended to begin after Wave 1 completes</w:t>
            </w:r>
          </w:p>
        </w:tc>
      </w:tr>
      <w:tr>
        <w:tc>
          <w:tcPr>
            <w:tcW w:type="dxa" w:w="813"/>
            <w:shd w:fill="FFFFFF" w:val="clear"/>
            <w:tcMar>
              <w:top w:type="dxa" w:w="80"/>
              <w:left w:type="dxa" w:w="100"/>
              <w:bottom w:type="dxa" w:w="80"/>
              <w:right w:type="dxa" w:w="100"/>
            </w:tcMar>
            <w:vAlign w:val="top"/>
          </w:tcPr>
          <w:p>
            <w:pPr>
              <w:jc w:val="left"/>
            </w:pPr>
            <w:r>
              <w:rPr>
                <w:b w:val="false"/>
                <w:bCs w:val="false"/>
                <w:color w:val="1A1A1A"/>
                <w:sz w:val="19"/>
                <w:szCs w:val="19"/>
              </w:rPr>
              <w:t xml:space="preserve">Wave 3</w:t>
            </w:r>
          </w:p>
        </w:tc>
        <w:tc>
          <w:tcPr>
            <w:tcW w:type="dxa" w:w="1536"/>
            <w:shd w:fill="FFFFFF" w:val="clear"/>
            <w:tcMar>
              <w:top w:type="dxa" w:w="80"/>
              <w:left w:type="dxa" w:w="100"/>
              <w:bottom w:type="dxa" w:w="80"/>
              <w:right w:type="dxa" w:w="100"/>
            </w:tcMar>
            <w:vAlign w:val="top"/>
          </w:tcPr>
          <w:p>
            <w:pPr>
              <w:jc w:val="left"/>
            </w:pPr>
            <w:r>
              <w:rPr>
                <w:b w:val="false"/>
                <w:bCs w:val="false"/>
                <w:color w:val="1A1A1A"/>
                <w:sz w:val="19"/>
                <w:szCs w:val="19"/>
              </w:rPr>
              <w:t xml:space="preserve">Monitor — do not execute</w:t>
            </w:r>
          </w:p>
        </w:tc>
        <w:tc>
          <w:tcPr>
            <w:tcW w:type="dxa" w:w="1717"/>
            <w:shd w:fill="FFFFFF" w:val="clear"/>
            <w:tcMar>
              <w:top w:type="dxa" w:w="80"/>
              <w:left w:type="dxa" w:w="100"/>
              <w:bottom w:type="dxa" w:w="80"/>
              <w:right w:type="dxa" w:w="100"/>
            </w:tcMar>
            <w:vAlign w:val="top"/>
          </w:tcPr>
          <w:p>
            <w:pPr>
              <w:jc w:val="left"/>
            </w:pPr>
            <w:r>
              <w:rPr>
                <w:b w:val="false"/>
                <w:bCs w:val="false"/>
                <w:color w:val="1A1A1A"/>
                <w:sz w:val="19"/>
                <w:szCs w:val="19"/>
              </w:rPr>
              <w:t xml:space="preserve">Phase A.2 'not yet triggered' finding; Phase B §5, §7</w:t>
            </w:r>
          </w:p>
        </w:tc>
        <w:tc>
          <w:tcPr>
            <w:tcW w:type="dxa" w:w="1536"/>
            <w:shd w:fill="FFFFFF" w:val="clear"/>
            <w:tcMar>
              <w:top w:type="dxa" w:w="80"/>
              <w:left w:type="dxa" w:w="100"/>
              <w:bottom w:type="dxa" w:w="80"/>
              <w:right w:type="dxa" w:w="100"/>
            </w:tcMar>
            <w:vAlign w:val="top"/>
          </w:tcPr>
          <w:p>
            <w:pPr>
              <w:jc w:val="left"/>
            </w:pPr>
            <w:r>
              <w:rPr>
                <w:b w:val="false"/>
                <w:bCs w:val="false"/>
                <w:color w:val="1A1A1A"/>
                <w:sz w:val="19"/>
                <w:szCs w:val="19"/>
              </w:rPr>
              <w:t xml:space="preserve">External row-count/growth data not gathered</w:t>
            </w:r>
          </w:p>
        </w:tc>
        <w:tc>
          <w:tcPr>
            <w:tcW w:type="dxa" w:w="1988"/>
            <w:shd w:fill="FFFFFF" w:val="clear"/>
            <w:tcMar>
              <w:top w:type="dxa" w:w="80"/>
              <w:left w:type="dxa" w:w="100"/>
              <w:bottom w:type="dxa" w:w="80"/>
              <w:right w:type="dxa" w:w="100"/>
            </w:tcMar>
            <w:vAlign w:val="top"/>
          </w:tcPr>
          <w:p>
            <w:pPr>
              <w:jc w:val="left"/>
            </w:pPr>
            <w:r>
              <w:rPr>
                <w:b w:val="false"/>
                <w:bCs w:val="false"/>
                <w:color w:val="1A1A1A"/>
                <w:sz w:val="19"/>
                <w:szCs w:val="19"/>
              </w:rPr>
              <w:t xml:space="preserve">Continue quarterly monitoring for the EGD-0004 trigger</w:t>
            </w:r>
          </w:p>
        </w:tc>
        <w:tc>
          <w:tcPr>
            <w:tcW w:type="dxa" w:w="1771"/>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ready; revisit once trigger data exists</w:t>
            </w:r>
          </w:p>
        </w:tc>
      </w:tr>
      <w:tr>
        <w:tc>
          <w:tcPr>
            <w:tcW w:type="dxa" w:w="813"/>
            <w:shd w:fill="EEF1F5" w:val="clear"/>
            <w:tcMar>
              <w:top w:type="dxa" w:w="80"/>
              <w:left w:type="dxa" w:w="100"/>
              <w:bottom w:type="dxa" w:w="80"/>
              <w:right w:type="dxa" w:w="100"/>
            </w:tcMar>
            <w:vAlign w:val="top"/>
          </w:tcPr>
          <w:p>
            <w:pPr>
              <w:jc w:val="left"/>
            </w:pPr>
            <w:r>
              <w:rPr>
                <w:b w:val="false"/>
                <w:bCs w:val="false"/>
                <w:color w:val="1A1A1A"/>
                <w:sz w:val="19"/>
                <w:szCs w:val="19"/>
              </w:rPr>
              <w:t xml:space="preserve">Wave 4</w:t>
            </w:r>
          </w:p>
        </w:tc>
        <w:tc>
          <w:tcPr>
            <w:tcW w:type="dxa" w:w="1536"/>
            <w:shd w:fill="EEF1F5" w:val="clear"/>
            <w:tcMar>
              <w:top w:type="dxa" w:w="80"/>
              <w:left w:type="dxa" w:w="100"/>
              <w:bottom w:type="dxa" w:w="80"/>
              <w:right w:type="dxa" w:w="100"/>
            </w:tcMar>
            <w:vAlign w:val="top"/>
          </w:tcPr>
          <w:p>
            <w:pPr>
              <w:jc w:val="left"/>
            </w:pPr>
            <w:r>
              <w:rPr>
                <w:b w:val="false"/>
                <w:bCs w:val="false"/>
                <w:color w:val="1A1A1A"/>
                <w:sz w:val="19"/>
                <w:szCs w:val="19"/>
              </w:rPr>
              <w:t xml:space="preserve">Defer</w:t>
            </w:r>
          </w:p>
        </w:tc>
        <w:tc>
          <w:tcPr>
            <w:tcW w:type="dxa" w:w="1717"/>
            <w:shd w:fill="EEF1F5"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536"/>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988"/>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771"/>
            <w:shd w:fill="EEF1F5"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r>
        <w:tc>
          <w:tcPr>
            <w:tcW w:type="dxa" w:w="813"/>
            <w:shd w:fill="FFFFFF" w:val="clear"/>
            <w:tcMar>
              <w:top w:type="dxa" w:w="80"/>
              <w:left w:type="dxa" w:w="100"/>
              <w:bottom w:type="dxa" w:w="80"/>
              <w:right w:type="dxa" w:w="100"/>
            </w:tcMar>
            <w:vAlign w:val="top"/>
          </w:tcPr>
          <w:p>
            <w:pPr>
              <w:jc w:val="left"/>
            </w:pPr>
            <w:r>
              <w:rPr>
                <w:b w:val="false"/>
                <w:bCs w:val="false"/>
                <w:color w:val="1A1A1A"/>
                <w:sz w:val="19"/>
                <w:szCs w:val="19"/>
              </w:rPr>
              <w:t xml:space="preserve">Wave 5</w:t>
            </w:r>
          </w:p>
        </w:tc>
        <w:tc>
          <w:tcPr>
            <w:tcW w:type="dxa" w:w="1536"/>
            <w:shd w:fill="FFFFFF" w:val="clear"/>
            <w:tcMar>
              <w:top w:type="dxa" w:w="80"/>
              <w:left w:type="dxa" w:w="100"/>
              <w:bottom w:type="dxa" w:w="80"/>
              <w:right w:type="dxa" w:w="100"/>
            </w:tcMar>
            <w:vAlign w:val="top"/>
          </w:tcPr>
          <w:p>
            <w:pPr>
              <w:jc w:val="left"/>
            </w:pPr>
            <w:r>
              <w:rPr>
                <w:b w:val="false"/>
                <w:bCs w:val="false"/>
                <w:color w:val="1A1A1A"/>
                <w:sz w:val="19"/>
                <w:szCs w:val="19"/>
              </w:rPr>
              <w:t xml:space="preserve">Defer</w:t>
            </w:r>
          </w:p>
        </w:tc>
        <w:tc>
          <w:tcPr>
            <w:tcW w:type="dxa" w:w="1717"/>
            <w:shd w:fill="FFFFFF" w:val="clear"/>
            <w:tcMar>
              <w:top w:type="dxa" w:w="80"/>
              <w:left w:type="dxa" w:w="100"/>
              <w:bottom w:type="dxa" w:w="80"/>
              <w:right w:type="dxa" w:w="100"/>
            </w:tcMar>
            <w:vAlign w:val="top"/>
          </w:tcPr>
          <w:p>
            <w:pPr>
              <w:jc w:val="left"/>
            </w:pPr>
            <w:r>
              <w:rPr>
                <w:b w:val="false"/>
                <w:bCs w:val="false"/>
                <w:color w:val="1A1A1A"/>
                <w:sz w:val="19"/>
                <w:szCs w:val="19"/>
              </w:rPr>
              <w:t xml:space="preserve">Not Evidenced in Current Baseline.</w:t>
            </w:r>
          </w:p>
        </w:tc>
        <w:tc>
          <w:tcPr>
            <w:tcW w:type="dxa" w:w="1536"/>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988"/>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c>
          <w:tcPr>
            <w:tcW w:type="dxa" w:w="1771"/>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bl>
    <w:p>
      <w:r>
        <w:br w:type="page"/>
      </w:r>
    </w:p>
    <w:p>
      <w:pPr>
        <w:pStyle w:val="Heading2"/>
        <w:spacing w:after="200" w:before="360"/>
      </w:pPr>
      <w:r>
        <w:rPr>
          <w:b/>
          <w:bCs/>
          <w:color w:val="3E5C76"/>
          <w:sz w:val="26"/>
          <w:szCs w:val="26"/>
        </w:rPr>
        <w:t xml:space="preserve">10.5.9 — Executive Summary</w:t>
      </w:r>
    </w:p>
    <w:p>
      <w:pPr>
        <w:pStyle w:val="Heading3"/>
        <w:spacing w:after="160" w:before="260"/>
      </w:pPr>
      <w:r>
        <w:rPr>
          <w:b/>
          <w:bCs/>
          <w:color w:val="1F2A44"/>
          <w:sz w:val="22"/>
          <w:szCs w:val="22"/>
        </w:rPr>
        <w:t xml:space="preserve">Overall Wave Maturity</w:t>
      </w:r>
    </w:p>
    <w:p>
      <w:pPr>
        <w:spacing w:after="160" w:before="0"/>
      </w:pPr>
      <w:r>
        <w:rPr>
          <w:sz w:val="22"/>
          <w:szCs w:val="22"/>
        </w:rPr>
        <w:t xml:space="preserve">Three of five approved waves are populated with evidenced Work Packages (Waves 1–3); the remaining two (Waves 4–5) remain reserved with no assigned scope, consistent with Phase B's non-speculative population principle. Zero of the program's six Work Packages have been executed as of this baseline.</w:t>
      </w:r>
    </w:p>
    <w:p>
      <w:pPr>
        <w:pStyle w:val="Heading3"/>
        <w:spacing w:after="160" w:before="260"/>
      </w:pPr>
      <w:r>
        <w:rPr>
          <w:b/>
          <w:bCs/>
          <w:color w:val="1F2A44"/>
          <w:sz w:val="22"/>
          <w:szCs w:val="22"/>
        </w:rPr>
        <w:t xml:space="preserve">Current Realization Readiness</w:t>
      </w:r>
    </w:p>
    <w:p>
      <w:pPr>
        <w:spacing w:after="160" w:before="0"/>
      </w:pPr>
      <w:r>
        <w:rPr>
          <w:sz w:val="22"/>
          <w:szCs w:val="22"/>
        </w:rPr>
        <w:t xml:space="preserve">Wave 1 is fully ready with zero blocking dependency. Wave 2 is ready and sequenced to follow Wave 1. Wave 3 is not ready — it remains dormant pending an external data trigger. Waves 4–5 are not applicable at this baseline.</w:t>
      </w:r>
    </w:p>
    <w:p>
      <w:pPr>
        <w:pStyle w:val="Heading3"/>
        <w:spacing w:after="160" w:before="260"/>
      </w:pPr>
      <w:r>
        <w:rPr>
          <w:b/>
          <w:bCs/>
          <w:color w:val="1F2A44"/>
          <w:sz w:val="22"/>
          <w:szCs w:val="22"/>
        </w:rPr>
        <w:t xml:space="preserve">Sequencing Integrity</w:t>
      </w:r>
    </w:p>
    <w:p>
      <w:pPr>
        <w:spacing w:after="160" w:before="0"/>
      </w:pPr>
      <w:r>
        <w:rPr>
          <w:sz w:val="22"/>
          <w:szCs w:val="22"/>
        </w:rPr>
        <w:t xml:space="preserve">The wave sequence is internally consistent with the dependency evidence in Phase B §4 and §7: no wave is assigned a Work Package whose preconditions are unmet, and no Work Package is assigned to more than one wave.</w:t>
      </w:r>
    </w:p>
    <w:p>
      <w:pPr>
        <w:pStyle w:val="Heading3"/>
        <w:spacing w:after="160" w:before="260"/>
      </w:pPr>
      <w:r>
        <w:rPr>
          <w:b/>
          <w:bCs/>
          <w:color w:val="1F2A44"/>
          <w:sz w:val="22"/>
          <w:szCs w:val="22"/>
        </w:rPr>
        <w:t xml:space="preserve">Outstanding Execution Conditions</w:t>
      </w:r>
    </w:p>
    <w:p>
      <w:pPr>
        <w:pStyle w:val="ListParagraph"/>
        <w:numPr>
          <w:ilvl w:val="0"/>
          <w:numId w:val="1"/>
        </w:numPr>
        <w:spacing w:after="100"/>
      </w:pPr>
      <w:r>
        <w:rPr>
          <w:sz w:val="21"/>
          <w:szCs w:val="21"/>
        </w:rPr>
        <w:t xml:space="preserve">KPI-08 (Ownership Assignment) = 0% — the single cross-cutting condition affecting accountability across all active waves.</w:t>
      </w:r>
    </w:p>
    <w:p>
      <w:pPr>
        <w:pStyle w:val="ListParagraph"/>
        <w:numPr>
          <w:ilvl w:val="0"/>
          <w:numId w:val="1"/>
        </w:numPr>
        <w:spacing w:after="100"/>
      </w:pPr>
      <w:r>
        <w:rPr>
          <w:sz w:val="21"/>
          <w:szCs w:val="21"/>
        </w:rPr>
        <w:t xml:space="preserve">EGD-0004 trigger (row-count/growth data) not yet fired — the sole condition holding Wave 3 dormant.</w:t>
      </w:r>
    </w:p>
    <w:p>
      <w:pPr>
        <w:pStyle w:val="ListParagraph"/>
        <w:numPr>
          <w:ilvl w:val="0"/>
          <w:numId w:val="1"/>
        </w:numPr>
        <w:spacing w:after="100"/>
      </w:pPr>
      <w:r>
        <w:rPr>
          <w:sz w:val="21"/>
          <w:szCs w:val="21"/>
        </w:rPr>
        <w:t xml:space="preserve">No engineering, technical, or resource blocker currently affects Wave 1 or Wave 2.</w:t>
      </w:r>
    </w:p>
    <w:p>
      <w:pPr>
        <w:pStyle w:val="Heading3"/>
        <w:spacing w:after="160" w:before="260"/>
      </w:pPr>
      <w:r>
        <w:rPr>
          <w:b/>
          <w:bCs/>
          <w:color w:val="1F2A44"/>
          <w:sz w:val="22"/>
          <w:szCs w:val="22"/>
        </w:rPr>
        <w:t xml:space="preserve">Critical Path Status</w:t>
      </w:r>
    </w:p>
    <w:p>
      <w:pPr>
        <w:spacing w:after="160" w:before="0"/>
      </w:pPr>
      <w:r>
        <w:rPr>
          <w:sz w:val="22"/>
          <w:szCs w:val="22"/>
        </w:rPr>
        <w:t xml:space="preserve">The critical path (WP-0006 → WP-0002 → WP-0001 → WP-0004/WP-0005 → Production Ready) is entirely unblocked and startable today. WP-0003 sits outside the critical path and does not gate Production Ready.</w:t>
      </w:r>
    </w:p>
    <w:p>
      <w:pPr>
        <w:pStyle w:val="Heading3"/>
        <w:spacing w:after="160" w:before="260"/>
      </w:pPr>
      <w:r>
        <w:rPr>
          <w:b/>
          <w:bCs/>
          <w:color w:val="1F2A44"/>
          <w:sz w:val="22"/>
          <w:szCs w:val="22"/>
        </w:rPr>
        <w:t xml:space="preserve">Executive Priorities</w:t>
      </w:r>
    </w:p>
    <w:p>
      <w:pPr>
        <w:pStyle w:val="ListParagraph"/>
        <w:numPr>
          <w:ilvl w:val="0"/>
          <w:numId w:val="1"/>
        </w:numPr>
        <w:spacing w:after="100"/>
      </w:pPr>
      <w:r>
        <w:rPr>
          <w:sz w:val="21"/>
          <w:szCs w:val="21"/>
        </w:rPr>
        <w:t xml:space="preserve">Execute WP-0006 and WP-0002 in parallel (Wave 1) — no blocking condition exists.</w:t>
      </w:r>
    </w:p>
    <w:p>
      <w:pPr>
        <w:pStyle w:val="ListParagraph"/>
        <w:numPr>
          <w:ilvl w:val="0"/>
          <w:numId w:val="1"/>
        </w:numPr>
        <w:spacing w:after="100"/>
      </w:pPr>
      <w:r>
        <w:rPr>
          <w:sz w:val="21"/>
          <w:szCs w:val="21"/>
        </w:rPr>
        <w:t xml:space="preserve">Sequence WP-0001, WP-0004, and WP-0005 (Wave 2) to follow, under the owner named by WP-0006.</w:t>
      </w:r>
    </w:p>
    <w:p>
      <w:pPr>
        <w:pStyle w:val="ListParagraph"/>
        <w:numPr>
          <w:ilvl w:val="0"/>
          <w:numId w:val="1"/>
        </w:numPr>
        <w:spacing w:after="100"/>
      </w:pPr>
      <w:r>
        <w:rPr>
          <w:sz w:val="21"/>
          <w:szCs w:val="21"/>
        </w:rPr>
        <w:t xml:space="preserve">Continue quarterly monitoring of row-count/growth data for the Wave 3 (WP-0003) trigger; take no execution action until triggered.</w:t>
      </w:r>
    </w:p>
    <w:p>
      <w:pPr>
        <w:pStyle w:val="Heading3"/>
        <w:spacing w:after="160" w:before="260"/>
      </w:pPr>
      <w:r>
        <w:rPr>
          <w:b/>
          <w:bCs/>
          <w:color w:val="1F2A44"/>
          <w:sz w:val="22"/>
          <w:szCs w:val="22"/>
        </w:rPr>
        <w:t xml:space="preserve">Transition Readiness for Future Realization Phases</w:t>
      </w:r>
    </w:p>
    <w:p>
      <w:pPr>
        <w:spacing w:after="160" w:before="0"/>
      </w:pPr>
      <w:r>
        <w:rPr>
          <w:sz w:val="22"/>
          <w:szCs w:val="22"/>
        </w:rPr>
        <w:t xml:space="preserve">Waves 4 and 5, and reserved Portfolios 3–7, require a future realization assessment to produce Architecture Requirement and Enterprise Governance Decision evidence before they can be populated. Reserved for Future Realization Phases.</w:t>
      </w:r>
    </w:p>
    <w:p>
      <w:pPr>
        <w:spacing w:after="160" w:before="200"/>
      </w:pPr>
      <w:r>
        <w:rPr>
          <w:sz w:val="22"/>
          <w:szCs w:val="22"/>
        </w:rPr>
        <w:t xml:space="preserve"/>
      </w:r>
    </w:p>
    <w:tbl>
      <w:tblPr>
        <w:tblW w:type="dxa" w:w="9360"/>
        <w:tblBorders>
          <w:top w:val="single" w:color="AAB2BD" w:sz="4"/>
          <w:left w:val="single" w:color="AAB2BD" w:sz="4"/>
          <w:bottom w:val="single" w:color="AAB2BD" w:sz="4"/>
          <w:right w:val="single" w:color="AAB2BD" w:sz="4"/>
          <w:insideH w:val="single" w:color="CCD1D9" w:sz="2"/>
          <w:insideV w:val="single" w:color="CCD1D9" w:sz="2"/>
        </w:tblBorders>
      </w:tblPr>
      <w:tblGrid>
        <w:gridCol w:w="2621"/>
        <w:gridCol w:w="6739"/>
      </w:tblGrid>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Overall Wave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Wave 1: Fully Ready. Wave 2: Ready, sequenced. Wave 3: Not Ready (external trigger pending). Waves 4–5: Not Applicable.</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Executive Execution Assessment</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The program's full critical path is unblocked and startable immediately; the only open condition of consequence across active waves is unassigned governance ownership (KPI-08), which Wave 1 itself resolves.</w:t>
            </w:r>
          </w:p>
        </w:tc>
      </w:tr>
      <w:tr>
        <w:tc>
          <w:tcPr>
            <w:tcW w:type="dxa" w:w="2621"/>
            <w:shd w:fill="EEF1F5" w:val="clear"/>
            <w:tcMar>
              <w:top w:type="dxa" w:w="80"/>
              <w:left w:type="dxa" w:w="100"/>
              <w:bottom w:type="dxa" w:w="80"/>
              <w:right w:type="dxa" w:w="100"/>
            </w:tcMar>
            <w:vAlign w:val="top"/>
          </w:tcPr>
          <w:p>
            <w:pPr>
              <w:jc w:val="left"/>
            </w:pPr>
            <w:r>
              <w:rPr>
                <w:b w:val="false"/>
                <w:bCs w:val="false"/>
                <w:color w:val="1A1A1A"/>
                <w:sz w:val="19"/>
                <w:szCs w:val="19"/>
              </w:rPr>
              <w:t xml:space="preserve">Wave Transition Readiness</w:t>
            </w:r>
          </w:p>
        </w:tc>
        <w:tc>
          <w:tcPr>
            <w:tcW w:type="dxa" w:w="6739"/>
            <w:shd w:fill="FFFFFF" w:val="clear"/>
            <w:tcMar>
              <w:top w:type="dxa" w:w="80"/>
              <w:left w:type="dxa" w:w="100"/>
              <w:bottom w:type="dxa" w:w="80"/>
              <w:right w:type="dxa" w:w="100"/>
            </w:tcMar>
            <w:vAlign w:val="top"/>
          </w:tcPr>
          <w:p>
            <w:pPr>
              <w:jc w:val="left"/>
            </w:pPr>
            <w:r>
              <w:rPr>
                <w:b w:val="false"/>
                <w:bCs w:val="false"/>
                <w:color w:val="1A1A1A"/>
                <w:sz w:val="19"/>
                <w:szCs w:val="19"/>
              </w:rPr>
              <w:t xml:space="preserve">Reserved for Future Realization Phases.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2026-07-09T19:44:29.071Z</dcterms:created>
  <dcterms:modified xsi:type="dcterms:W3CDTF">2026-07-09T19:44:29.072Z</dcterms:modified>
</cp:coreProperties>
</file>

<file path=docProps/custom.xml><?xml version="1.0" encoding="utf-8"?>
<Properties xmlns="http://schemas.openxmlformats.org/officeDocument/2006/custom-properties" xmlns:vt="http://schemas.openxmlformats.org/officeDocument/2006/docPropsVTypes"/>
</file>