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B6470"/>
          <w:sz w:val="22"/>
          <w:szCs w:val="22"/>
        </w:rPr>
        <w:t xml:space="preserve">ERP-01 — Phase C</w:t>
      </w:r>
    </w:p>
    <w:p>
      <w:pPr>
        <w:spacing w:after="120" w:before="0"/>
      </w:pPr>
      <w:r>
        <w:rPr>
          <w:b/>
          <w:bCs/>
          <w:color w:val="1F2A44"/>
          <w:sz w:val="34"/>
          <w:szCs w:val="34"/>
        </w:rPr>
        <w:t xml:space="preserve">Section 10.6 — Repository Readiness Dashboard</w:t>
      </w:r>
    </w:p>
    <w:p>
      <w:pPr>
        <w:spacing w:after="60" w:before="0"/>
      </w:pPr>
      <w:r>
        <w:rPr>
          <w:i/>
          <w:iCs/>
          <w:sz w:val="24"/>
          <w:szCs w:val="24"/>
        </w:rPr>
        <w:t xml:space="preserve">HireRise Career Intelligence Platform</w:t>
      </w:r>
    </w:p>
    <w:p>
      <w:pPr>
        <w:spacing w:after="200" w:before="0"/>
      </w:pPr>
      <w:r>
        <w:rPr>
          <w:color w:val="5B6470"/>
          <w:sz w:val="21"/>
          <w:szCs w:val="21"/>
        </w:rPr>
        <w:t xml:space="preserve">Executive Readiness View of Every Engineering Repository Defined Within ERP-01</w:t>
      </w:r>
    </w:p>
    <w:p>
      <w:pPr>
        <w:spacing w:after="300" w:before="0"/>
      </w:pPr>
      <w:r>
        <w:rPr>
          <w:color w:val="5B6470"/>
          <w:sz w:val="20"/>
          <w:szCs w:val="20"/>
        </w:rPr>
        <w:t xml:space="preserve">Version 1.0 | Status: DRAFT FOR REVIEW</w:t>
      </w:r>
    </w:p>
    <w:p>
      <w:pPr>
        <w:spacing w:after="200" w:before="0"/>
      </w:pPr>
      <w:r>
        <w:rPr>
          <w:b/>
          <w:bCs/>
          <w:color w:val="B36B00"/>
          <w:sz w:val="20"/>
          <w:szCs w:val="20"/>
        </w:rPr>
        <w:t xml:space="preserve">Target-State Architecture &amp; Engineering Planning Artifact — Not Evidence of an Operating Governance Body</w:t>
      </w:r>
    </w:p>
    <w:p>
      <w:pPr>
        <w:pStyle w:val="Heading3"/>
        <w:spacing w:after="160" w:before="260"/>
      </w:pPr>
      <w:r>
        <w:rPr>
          <w:b/>
          <w:bCs/>
          <w:color w:val="1F2A44"/>
          <w:sz w:val="22"/>
          <w:szCs w:val="22"/>
        </w:rPr>
        <w:t xml:space="preserve">A Note on Governance Framing</w:t>
      </w:r>
    </w:p>
    <w:p>
      <w:pPr>
        <w:spacing w:after="160" w:before="0"/>
      </w:pPr>
      <w:r>
        <w:rPr>
          <w:sz w:val="20"/>
          <w:szCs w:val="20"/>
        </w:rPr>
        <w:t xml:space="preserve">This document is an architecture and engineering planning artifact. Repository ownership, governance accountability, and the executive roles referenced below describe target-state governance architecture for the HireRise platform — a structure the program is designed to grow into — not evidence that a chartered Enterprise Architecture Board, Portfolio Management Office, Executive Steering Committee, or certification authority currently exists or has operated. Every governance role referenced in this document is a defined future governance role or architectural responsibility, consistent with ERP-01 Phase A.3's permanent-identifier and evidence-first principles.</w:t>
      </w:r>
    </w:p>
    <w:p>
      <w:pPr>
        <w:spacing w:after="160" w:before="0"/>
      </w:pPr>
      <w:r>
        <w:rPr>
          <w:sz w:val="20"/>
          <w:szCs w:val="20"/>
        </w:rPr>
        <w:t xml:space="preserve">Every dashboard element below is reused, unchanged, from ERP-01 Phase A.1 through Phase C Section 10.5, and in particular from Phase C Section 3 (Repository Impact Assessment), which remains the authoritative repository evidence source for this section. This document introduces no new repository, ownership assignment, readiness calculation, executive metric, or certification outcome. Where evidence does not exist, this document states "Not Evidenced in Current Baseline." Where content depends on a future realization phase, this document states "Reserved for Future Realization Phases."</w:t>
      </w:r>
    </w:p>
    <w:p>
      <w:r>
        <w:br w:type="page"/>
      </w:r>
    </w:p>
    <w:p>
      <w:pPr>
        <w:pStyle w:val="Heading1"/>
        <w:spacing w:after="240" w:before="480"/>
      </w:pPr>
      <w:r>
        <w:rPr>
          <w:b/>
          <w:bCs/>
          <w:color w:val="1F2A44"/>
          <w:sz w:val="30"/>
          <w:szCs w:val="30"/>
        </w:rPr>
        <w:t xml:space="preserve">10.6 Repository Readiness Dashboard</w:t>
      </w:r>
    </w:p>
    <w:p>
      <w:pPr>
        <w:pStyle w:val="Heading2"/>
        <w:spacing w:after="200" w:before="360"/>
      </w:pPr>
      <w:r>
        <w:rPr>
          <w:b/>
          <w:bCs/>
          <w:color w:val="3E5C76"/>
          <w:sz w:val="26"/>
          <w:szCs w:val="26"/>
        </w:rPr>
        <w:t xml:space="preserve">10.6.1 — Executive Repository Overview</w:t>
      </w:r>
    </w:p>
    <w:p>
      <w:pPr>
        <w:pStyle w:val="Heading3"/>
        <w:spacing w:after="160" w:before="260"/>
      </w:pPr>
      <w:r>
        <w:rPr>
          <w:b/>
          <w:bCs/>
          <w:color w:val="1F2A44"/>
          <w:sz w:val="22"/>
          <w:szCs w:val="22"/>
        </w:rPr>
        <w:t xml:space="preserve">Purpose of Repository Readiness</w:t>
      </w:r>
    </w:p>
    <w:p>
      <w:pPr>
        <w:spacing w:after="160" w:before="0"/>
      </w:pPr>
      <w:r>
        <w:rPr>
          <w:sz w:val="22"/>
          <w:szCs w:val="22"/>
        </w:rPr>
        <w:t xml:space="preserve">ERP-01 Phase C Section 3 (Repository Impact Assessment) established the authoritative repository landscape for the program: eight repository categories, of which three — Documentation, Database, and Test — carry approved, evidenced scope, and five — Backend, Frontend, Integration, AI, and Infrastructure — carry either no approved scope ("Not Evidenced in Current Baseline.") or no populated portfolio ("Reserved for Future Realization Phases."). Section 10.6 exists to give the Executive Steering Committee construct a single executive view of repository readiness: which repositories are operationally supporting the current realization program, and which remain outside the evidenced baseline entirely.</w:t>
      </w:r>
    </w:p>
    <w:p>
      <w:pPr>
        <w:pStyle w:val="Heading3"/>
        <w:spacing w:after="160" w:before="260"/>
      </w:pPr>
      <w:r>
        <w:rPr>
          <w:b/>
          <w:bCs/>
          <w:color w:val="1F2A44"/>
          <w:sz w:val="22"/>
          <w:szCs w:val="22"/>
        </w:rPr>
        <w:t xml:space="preserve">Relationship with Section 10.5</w:t>
      </w:r>
    </w:p>
    <w:p>
      <w:pPr>
        <w:spacing w:after="160" w:before="0"/>
      </w:pPr>
      <w:r>
        <w:rPr>
          <w:sz w:val="22"/>
          <w:szCs w:val="22"/>
        </w:rPr>
        <w:t xml:space="preserve">Section 10.5 (Executive Wave Progress Dashboard) reported realization sequencing — which Work Packages are startable now, in what order. Section 10.6 reports a different axis of the same evidence: the operational engineering foundation each Work Package depends on. Where 10.5 answers "what is the sequence," 10.6 answers "what repository-level engineering artifact does each step in that sequence actually touch, and is that repository ready to support it."</w:t>
      </w:r>
    </w:p>
    <w:p>
      <w:pPr>
        <w:pStyle w:val="Heading3"/>
        <w:spacing w:after="160" w:before="260"/>
      </w:pPr>
      <w:r>
        <w:rPr>
          <w:b/>
          <w:bCs/>
          <w:color w:val="1F2A44"/>
          <w:sz w:val="22"/>
          <w:szCs w:val="22"/>
        </w:rPr>
        <w:t xml:space="preserve">Repository Governance Philosophy</w:t>
      </w:r>
    </w:p>
    <w:p>
      <w:pPr>
        <w:spacing w:after="160" w:before="0"/>
      </w:pPr>
      <w:r>
        <w:rPr>
          <w:sz w:val="22"/>
          <w:szCs w:val="22"/>
        </w:rPr>
        <w:t xml:space="preserve">Consistent with Section 3's Repository Traceability Philosophy (AP-002 — repository evidence governs implementation, not the reverse), this section treats a repository as "ready" only to the extent that approved Work Package evidence exists for it. A repository with no approved scope is not scored as unready or at-risk; it is reported as not evidenced, since asserting a readiness rating without approved scope would fabricate an engineering claim this baseline does not support (Section 3 §6).</w:t>
      </w:r>
    </w:p>
    <w:p>
      <w:pPr>
        <w:pStyle w:val="Heading3"/>
        <w:spacing w:after="160" w:before="260"/>
      </w:pPr>
      <w:r>
        <w:rPr>
          <w:b/>
          <w:bCs/>
          <w:color w:val="1F2A44"/>
          <w:sz w:val="22"/>
          <w:szCs w:val="22"/>
        </w:rPr>
        <w:t xml:space="preserve">Repository Operational Readiness</w:t>
      </w:r>
    </w:p>
    <w:p>
      <w:pPr>
        <w:spacing w:after="160" w:before="0"/>
      </w:pPr>
      <w:r>
        <w:rPr>
          <w:sz w:val="22"/>
          <w:szCs w:val="22"/>
        </w:rPr>
        <w:t xml:space="preserve">Operational readiness — deployment, runtime, and production-rollout evidence — is uniformly "Reserved for Future Realization Phases." across every repository category in this baseline. Section 3 confirms that Portfolio 7 (Operations &amp; Observability) carries no approved Work Package, and that no approved document contains configuration, deployment, platform, runtime, secrets, or environment evidence. This is a scope boundary of the current baseline, not a deficiency finding.</w:t>
      </w:r>
    </w:p>
    <w:p>
      <w:pPr>
        <w:pStyle w:val="Heading3"/>
        <w:spacing w:after="160" w:before="260"/>
      </w:pPr>
      <w:r>
        <w:rPr>
          <w:b/>
          <w:bCs/>
          <w:color w:val="1F2A44"/>
          <w:sz w:val="22"/>
          <w:szCs w:val="22"/>
        </w:rPr>
        <w:t xml:space="preserve">Evidence-First Reporting Principles</w:t>
      </w:r>
    </w:p>
    <w:p>
      <w:pPr>
        <w:spacing w:after="160" w:before="0"/>
      </w:pPr>
      <w:r>
        <w:rPr>
          <w:sz w:val="22"/>
          <w:szCs w:val="22"/>
        </w:rPr>
        <w:t xml:space="preserve">This section, like Sections 10.1–10.5, performs no new analysis, assigns no new readiness score, and reports no implementation progress beyond what Phase A.1 through Section 10.5 already evidence. Every figure below traces to a specific prior section, principally Section 3. Where a dashboard element requested by the ERP-01 template has no corresponding evidence in the baseline, this section states "Not Evidenced in Current Baseline." rather than approximating or interpolating a value.</w:t>
      </w:r>
    </w:p>
    <w:p>
      <w:pPr>
        <w:pStyle w:val="Heading2"/>
        <w:spacing w:after="200" w:before="360"/>
      </w:pPr>
      <w:r>
        <w:rPr>
          <w:b/>
          <w:bCs/>
          <w:color w:val="3E5C76"/>
          <w:sz w:val="26"/>
          <w:szCs w:val="26"/>
        </w:rPr>
        <w:t xml:space="preserve">10.6.2 — Enterprise Repository Summary Dashboard</w:t>
      </w:r>
    </w:p>
    <w:p>
      <w:pPr>
        <w:spacing w:after="200" w:before="80"/>
      </w:pPr>
      <w:r>
        <w:rPr>
          <w:i/>
          <w:iCs/>
          <w:color w:val="5B6470"/>
          <w:sz w:val="19"/>
          <w:szCs w:val="19"/>
        </w:rPr>
        <w:t xml:space="preserve">Source: ERP-01 Phase C Section 3 (Repository Landscape Summary, Repository Impact Matrix).</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861"/>
        <w:gridCol w:w="1487"/>
        <w:gridCol w:w="1096"/>
        <w:gridCol w:w="939"/>
        <w:gridCol w:w="939"/>
        <w:gridCol w:w="861"/>
        <w:gridCol w:w="986"/>
        <w:gridCol w:w="1409"/>
      </w:tblGrid>
      <w:tr>
        <w:trPr>
          <w:tblHeader/>
        </w:trPr>
        <w:tc>
          <w:tcPr>
            <w:tcW w:type="dxa" w:w="861"/>
            <w:shd w:fill="1F2A44" w:val="clear"/>
            <w:tcMar>
              <w:top w:type="dxa" w:w="80"/>
              <w:left w:type="dxa" w:w="100"/>
              <w:bottom w:type="dxa" w:w="80"/>
              <w:right w:type="dxa" w:w="100"/>
            </w:tcMar>
            <w:vAlign w:val="top"/>
          </w:tcPr>
          <w:p>
            <w:pPr>
              <w:jc w:val="left"/>
            </w:pPr>
            <w:r>
              <w:rPr>
                <w:b/>
                <w:bCs/>
                <w:color w:val="FFFFFF"/>
                <w:sz w:val="19"/>
                <w:szCs w:val="19"/>
              </w:rPr>
              <w:t xml:space="preserve">Repository</w:t>
            </w:r>
          </w:p>
        </w:tc>
        <w:tc>
          <w:tcPr>
            <w:tcW w:type="dxa" w:w="1487"/>
            <w:shd w:fill="1F2A44" w:val="clear"/>
            <w:tcMar>
              <w:top w:type="dxa" w:w="80"/>
              <w:left w:type="dxa" w:w="100"/>
              <w:bottom w:type="dxa" w:w="80"/>
              <w:right w:type="dxa" w:w="100"/>
            </w:tcMar>
            <w:vAlign w:val="top"/>
          </w:tcPr>
          <w:p>
            <w:pPr>
              <w:jc w:val="left"/>
            </w:pPr>
            <w:r>
              <w:rPr>
                <w:b/>
                <w:bCs/>
                <w:color w:val="FFFFFF"/>
                <w:sz w:val="19"/>
                <w:szCs w:val="19"/>
              </w:rPr>
              <w:t xml:space="preserve">Primary Purpose</w:t>
            </w:r>
          </w:p>
        </w:tc>
        <w:tc>
          <w:tcPr>
            <w:tcW w:type="dxa" w:w="1096"/>
            <w:shd w:fill="1F2A44" w:val="clear"/>
            <w:tcMar>
              <w:top w:type="dxa" w:w="80"/>
              <w:left w:type="dxa" w:w="100"/>
              <w:bottom w:type="dxa" w:w="80"/>
              <w:right w:type="dxa" w:w="100"/>
            </w:tcMar>
            <w:vAlign w:val="top"/>
          </w:tcPr>
          <w:p>
            <w:pPr>
              <w:jc w:val="left"/>
            </w:pPr>
            <w:r>
              <w:rPr>
                <w:b/>
                <w:bCs/>
                <w:color w:val="FFFFFF"/>
                <w:sz w:val="19"/>
                <w:szCs w:val="19"/>
              </w:rPr>
              <w:t xml:space="preserve">Assoc. WPs</w:t>
            </w:r>
          </w:p>
        </w:tc>
        <w:tc>
          <w:tcPr>
            <w:tcW w:type="dxa" w:w="939"/>
            <w:shd w:fill="1F2A44" w:val="clear"/>
            <w:tcMar>
              <w:top w:type="dxa" w:w="80"/>
              <w:left w:type="dxa" w:w="100"/>
              <w:bottom w:type="dxa" w:w="80"/>
              <w:right w:type="dxa" w:w="100"/>
            </w:tcMar>
            <w:vAlign w:val="top"/>
          </w:tcPr>
          <w:p>
            <w:pPr>
              <w:jc w:val="left"/>
            </w:pPr>
            <w:r>
              <w:rPr>
                <w:b/>
                <w:bCs/>
                <w:color w:val="FFFFFF"/>
                <w:sz w:val="19"/>
                <w:szCs w:val="19"/>
              </w:rPr>
              <w:t xml:space="preserve">Assoc. Portfolios</w:t>
            </w:r>
          </w:p>
        </w:tc>
        <w:tc>
          <w:tcPr>
            <w:tcW w:type="dxa" w:w="939"/>
            <w:shd w:fill="1F2A44" w:val="clear"/>
            <w:tcMar>
              <w:top w:type="dxa" w:w="80"/>
              <w:left w:type="dxa" w:w="100"/>
              <w:bottom w:type="dxa" w:w="80"/>
              <w:right w:type="dxa" w:w="100"/>
            </w:tcMar>
            <w:vAlign w:val="top"/>
          </w:tcPr>
          <w:p>
            <w:pPr>
              <w:jc w:val="left"/>
            </w:pPr>
            <w:r>
              <w:rPr>
                <w:b/>
                <w:bCs/>
                <w:color w:val="FFFFFF"/>
                <w:sz w:val="19"/>
                <w:szCs w:val="19"/>
              </w:rPr>
              <w:t xml:space="preserve">Assoc. Waves</w:t>
            </w:r>
          </w:p>
        </w:tc>
        <w:tc>
          <w:tcPr>
            <w:tcW w:type="dxa" w:w="861"/>
            <w:shd w:fill="1F2A44" w:val="clear"/>
            <w:tcMar>
              <w:top w:type="dxa" w:w="80"/>
              <w:left w:type="dxa" w:w="100"/>
              <w:bottom w:type="dxa" w:w="80"/>
              <w:right w:type="dxa" w:w="100"/>
            </w:tcMar>
            <w:vAlign w:val="top"/>
          </w:tcPr>
          <w:p>
            <w:pPr>
              <w:jc w:val="left"/>
            </w:pPr>
            <w:r>
              <w:rPr>
                <w:b/>
                <w:bCs/>
                <w:color w:val="FFFFFF"/>
                <w:sz w:val="19"/>
                <w:szCs w:val="19"/>
              </w:rPr>
              <w:t xml:space="preserve">Status</w:t>
            </w:r>
          </w:p>
        </w:tc>
        <w:tc>
          <w:tcPr>
            <w:tcW w:type="dxa" w:w="986"/>
            <w:shd w:fill="1F2A44" w:val="clear"/>
            <w:tcMar>
              <w:top w:type="dxa" w:w="80"/>
              <w:left w:type="dxa" w:w="100"/>
              <w:bottom w:type="dxa" w:w="80"/>
              <w:right w:type="dxa" w:w="100"/>
            </w:tcMar>
            <w:vAlign w:val="top"/>
          </w:tcPr>
          <w:p>
            <w:pPr>
              <w:jc w:val="left"/>
            </w:pPr>
            <w:r>
              <w:rPr>
                <w:b/>
                <w:bCs/>
                <w:color w:val="FFFFFF"/>
                <w:sz w:val="19"/>
                <w:szCs w:val="19"/>
              </w:rPr>
              <w:t xml:space="preserve">Exec. Readiness</w:t>
            </w:r>
          </w:p>
        </w:tc>
        <w:tc>
          <w:tcPr>
            <w:tcW w:type="dxa" w:w="1409"/>
            <w:shd w:fill="1F2A44" w:val="clear"/>
            <w:tcMar>
              <w:top w:type="dxa" w:w="80"/>
              <w:left w:type="dxa" w:w="100"/>
              <w:bottom w:type="dxa" w:w="80"/>
              <w:right w:type="dxa" w:w="100"/>
            </w:tcMar>
            <w:vAlign w:val="top"/>
          </w:tcPr>
          <w:p>
            <w:pPr>
              <w:jc w:val="left"/>
            </w:pPr>
            <w:r>
              <w:rPr>
                <w:b/>
                <w:bCs/>
                <w:color w:val="FFFFFF"/>
                <w:sz w:val="19"/>
                <w:szCs w:val="19"/>
              </w:rPr>
              <w:t xml:space="preserve">Exec. Assessment</w:t>
            </w:r>
          </w:p>
        </w:tc>
      </w:tr>
      <w:tr>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w:t>
            </w:r>
          </w:p>
        </w:tc>
        <w:tc>
          <w:tcPr>
            <w:tcW w:type="dxa" w:w="1487"/>
            <w:shd w:fill="FFFFFF" w:val="clear"/>
            <w:tcMar>
              <w:top w:type="dxa" w:w="80"/>
              <w:left w:type="dxa" w:w="100"/>
              <w:bottom w:type="dxa" w:w="80"/>
              <w:right w:type="dxa" w:w="100"/>
            </w:tcMar>
            <w:vAlign w:val="top"/>
          </w:tcPr>
          <w:p>
            <w:pPr>
              <w:jc w:val="left"/>
            </w:pPr>
            <w:r>
              <w:rPr>
                <w:b w:val="false"/>
                <w:bCs w:val="false"/>
                <w:color w:val="1A1A1A"/>
                <w:sz w:val="19"/>
                <w:szCs w:val="19"/>
              </w:rPr>
              <w:t xml:space="preserve">Architecture documentation; EEP-01 Phase A document; taxonomy pattern documentation.</w:t>
            </w:r>
          </w:p>
        </w:tc>
        <w:tc>
          <w:tcPr>
            <w:tcW w:type="dxa" w:w="1096"/>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WP-0004</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1</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2</w:t>
            </w:r>
          </w:p>
        </w:tc>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yet started</w:t>
            </w:r>
          </w:p>
        </w:tc>
        <w:tc>
          <w:tcPr>
            <w:tcW w:type="dxa" w:w="986"/>
            <w:shd w:fill="FFFFFF" w:val="clear"/>
            <w:tcMar>
              <w:top w:type="dxa" w:w="80"/>
              <w:left w:type="dxa" w:w="100"/>
              <w:bottom w:type="dxa" w:w="80"/>
              <w:right w:type="dxa" w:w="100"/>
            </w:tcMar>
            <w:vAlign w:val="top"/>
          </w:tcPr>
          <w:p>
            <w:pPr>
              <w:jc w:val="left"/>
            </w:pPr>
            <w:r>
              <w:rPr>
                <w:b w:val="false"/>
                <w:bCs w:val="false"/>
                <w:color w:val="1A1A1A"/>
                <w:sz w:val="19"/>
                <w:szCs w:val="19"/>
              </w:rPr>
              <w:t xml:space="preserve">KPI-02 = 30/100 baseline</w:t>
            </w:r>
          </w:p>
        </w:tc>
        <w:tc>
          <w:tcPr>
            <w:tcW w:type="dxa" w:w="1409"/>
            <w:shd w:fill="FFFFFF" w:val="clear"/>
            <w:tcMar>
              <w:top w:type="dxa" w:w="80"/>
              <w:left w:type="dxa" w:w="100"/>
              <w:bottom w:type="dxa" w:w="80"/>
              <w:right w:type="dxa" w:w="100"/>
            </w:tcMar>
            <w:vAlign w:val="top"/>
          </w:tcPr>
          <w:p>
            <w:pPr>
              <w:jc w:val="left"/>
            </w:pPr>
            <w:r>
              <w:rPr>
                <w:b w:val="false"/>
                <w:bCs w:val="false"/>
                <w:color w:val="1A1A1A"/>
                <w:sz w:val="19"/>
                <w:szCs w:val="19"/>
              </w:rPr>
              <w:t xml:space="preserve">High-priority — resolves top-rated baseline risk (WP-0001)</w:t>
            </w:r>
          </w:p>
        </w:tc>
      </w:tr>
      <w:tr>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Database</w:t>
            </w:r>
          </w:p>
        </w:tc>
        <w:tc>
          <w:tcPr>
            <w:tcW w:type="dxa" w:w="1487"/>
            <w:shd w:fill="EEF1F5" w:val="clear"/>
            <w:tcMar>
              <w:top w:type="dxa" w:w="80"/>
              <w:left w:type="dxa" w:w="100"/>
              <w:bottom w:type="dxa" w:w="80"/>
              <w:right w:type="dxa" w:w="100"/>
            </w:tcMar>
            <w:vAlign w:val="top"/>
          </w:tcPr>
          <w:p>
            <w:pPr>
              <w:jc w:val="left"/>
            </w:pPr>
            <w:r>
              <w:rPr>
                <w:b w:val="false"/>
                <w:bCs w:val="false"/>
                <w:color w:val="1A1A1A"/>
                <w:sz w:val="19"/>
                <w:szCs w:val="19"/>
              </w:rPr>
              <w:t xml:space="preserve">Student-academic physical schema; RLS policies; conditional partitioning.</w:t>
            </w:r>
          </w:p>
        </w:tc>
        <w:tc>
          <w:tcPr>
            <w:tcW w:type="dxa" w:w="1096"/>
            <w:shd w:fill="EEF1F5" w:val="clear"/>
            <w:tcMar>
              <w:top w:type="dxa" w:w="80"/>
              <w:left w:type="dxa" w:w="100"/>
              <w:bottom w:type="dxa" w:w="80"/>
              <w:right w:type="dxa" w:w="100"/>
            </w:tcMar>
            <w:vAlign w:val="top"/>
          </w:tcPr>
          <w:p>
            <w:pPr>
              <w:jc w:val="left"/>
            </w:pPr>
            <w:r>
              <w:rPr>
                <w:b w:val="false"/>
                <w:bCs w:val="false"/>
                <w:color w:val="1A1A1A"/>
                <w:sz w:val="19"/>
                <w:szCs w:val="19"/>
              </w:rPr>
              <w:t xml:space="preserve">WP-0002, WP-0003, WP-0004, WP-0005</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1, 2</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1, Wave 2, Wave 3</w:t>
            </w:r>
          </w:p>
        </w:tc>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Sound; 2 open items</w:t>
            </w:r>
          </w:p>
        </w:tc>
        <w:tc>
          <w:tcPr>
            <w:tcW w:type="dxa" w:w="9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 integrity/quality blocker found</w:t>
            </w:r>
          </w:p>
        </w:tc>
        <w:tc>
          <w:tcPr>
            <w:tcW w:type="dxa" w:w="1409"/>
            <w:shd w:fill="EEF1F5" w:val="clear"/>
            <w:tcMar>
              <w:top w:type="dxa" w:w="80"/>
              <w:left w:type="dxa" w:w="100"/>
              <w:bottom w:type="dxa" w:w="80"/>
              <w:right w:type="dxa" w:w="100"/>
            </w:tcMar>
            <w:vAlign w:val="top"/>
          </w:tcPr>
          <w:p>
            <w:pPr>
              <w:jc w:val="left"/>
            </w:pPr>
            <w:r>
              <w:rPr>
                <w:b w:val="false"/>
                <w:bCs w:val="false"/>
                <w:color w:val="1A1A1A"/>
                <w:sz w:val="19"/>
                <w:szCs w:val="19"/>
              </w:rPr>
              <w:t xml:space="preserve">RLS verification (WP-0002) highest-leverage open item</w:t>
            </w:r>
          </w:p>
        </w:tc>
      </w:tr>
      <w:tr>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Backend</w:t>
            </w:r>
          </w:p>
        </w:tc>
        <w:tc>
          <w:tcPr>
            <w:tcW w:type="dxa" w:w="1487"/>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40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Frontend</w:t>
            </w:r>
          </w:p>
        </w:tc>
        <w:tc>
          <w:tcPr>
            <w:tcW w:type="dxa" w:w="1487"/>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40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Test</w:t>
            </w:r>
          </w:p>
        </w:tc>
        <w:tc>
          <w:tcPr>
            <w:tcW w:type="dxa" w:w="1487"/>
            <w:shd w:fill="FFFFFF" w:val="clear"/>
            <w:tcMar>
              <w:top w:type="dxa" w:w="80"/>
              <w:left w:type="dxa" w:w="100"/>
              <w:bottom w:type="dxa" w:w="80"/>
              <w:right w:type="dxa" w:w="100"/>
            </w:tcMar>
            <w:vAlign w:val="top"/>
          </w:tcPr>
          <w:p>
            <w:pPr>
              <w:jc w:val="left"/>
            </w:pPr>
            <w:r>
              <w:rPr>
                <w:b w:val="false"/>
                <w:bCs w:val="false"/>
                <w:color w:val="1A1A1A"/>
                <w:sz w:val="19"/>
                <w:szCs w:val="19"/>
              </w:rPr>
              <w:t xml:space="preserve">RLS verification method; per-release checks; adopted verification template.</w:t>
            </w:r>
          </w:p>
        </w:tc>
        <w:tc>
          <w:tcPr>
            <w:tcW w:type="dxa" w:w="1096"/>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 WP-0004, WP-0005, WP-0006</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1, 2, 8</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 Wave 2</w:t>
            </w:r>
          </w:p>
        </w:tc>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Method defined, ready to execute</w:t>
            </w:r>
          </w:p>
        </w:tc>
        <w:tc>
          <w:tcPr>
            <w:tcW w:type="dxa" w:w="986"/>
            <w:shd w:fill="FFFFFF" w:val="clear"/>
            <w:tcMar>
              <w:top w:type="dxa" w:w="80"/>
              <w:left w:type="dxa" w:w="100"/>
              <w:bottom w:type="dxa" w:w="80"/>
              <w:right w:type="dxa" w:w="100"/>
            </w:tcMar>
            <w:vAlign w:val="top"/>
          </w:tcPr>
          <w:p>
            <w:pPr>
              <w:jc w:val="left"/>
            </w:pPr>
            <w:r>
              <w:rPr>
                <w:b w:val="false"/>
                <w:bCs w:val="false"/>
                <w:color w:val="1A1A1A"/>
                <w:sz w:val="19"/>
                <w:szCs w:val="19"/>
              </w:rPr>
              <w:t xml:space="preserve">Fully defined for WP-0002</w:t>
            </w:r>
          </w:p>
        </w:tc>
        <w:tc>
          <w:tcPr>
            <w:tcW w:type="dxa" w:w="1409"/>
            <w:shd w:fill="FFFFFF" w:val="clear"/>
            <w:tcMar>
              <w:top w:type="dxa" w:w="80"/>
              <w:left w:type="dxa" w:w="100"/>
              <w:bottom w:type="dxa" w:w="80"/>
              <w:right w:type="dxa" w:w="100"/>
            </w:tcMar>
            <w:vAlign w:val="top"/>
          </w:tcPr>
          <w:p>
            <w:pPr>
              <w:jc w:val="left"/>
            </w:pPr>
            <w:r>
              <w:rPr>
                <w:b w:val="false"/>
                <w:bCs w:val="false"/>
                <w:color w:val="1A1A1A"/>
                <w:sz w:val="19"/>
                <w:szCs w:val="19"/>
              </w:rPr>
              <w:t xml:space="preserve">Adopted as standing template for all future verification</w:t>
            </w:r>
          </w:p>
        </w:tc>
      </w:tr>
      <w:tr>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Integration</w:t>
            </w:r>
          </w:p>
        </w:tc>
        <w:tc>
          <w:tcPr>
            <w:tcW w:type="dxa" w:w="1487"/>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6"/>
            <w:shd w:fill="EEF1F5"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6 (reserved)</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9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Applicable</w:t>
            </w:r>
          </w:p>
        </w:tc>
        <w:tc>
          <w:tcPr>
            <w:tcW w:type="dxa" w:w="1409"/>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AI</w:t>
            </w:r>
          </w:p>
        </w:tc>
        <w:tc>
          <w:tcPr>
            <w:tcW w:type="dxa" w:w="148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6"/>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3 (reserved)</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9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w:t>
            </w:r>
          </w:p>
        </w:tc>
        <w:tc>
          <w:tcPr>
            <w:tcW w:type="dxa" w:w="140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Infrastructure</w:t>
            </w:r>
          </w:p>
        </w:tc>
        <w:tc>
          <w:tcPr>
            <w:tcW w:type="dxa" w:w="1487"/>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3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861"/>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9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40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Operations / Deployment</w:t>
            </w:r>
          </w:p>
        </w:tc>
        <w:tc>
          <w:tcPr>
            <w:tcW w:type="dxa" w:w="148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6"/>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7 (reserved)</w:t>
            </w:r>
          </w:p>
        </w:tc>
        <w:tc>
          <w:tcPr>
            <w:tcW w:type="dxa" w:w="9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861"/>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9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w:t>
            </w:r>
          </w:p>
        </w:tc>
        <w:tc>
          <w:tcPr>
            <w:tcW w:type="dxa" w:w="140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r>
        <w:br w:type="page"/>
      </w:r>
    </w:p>
    <w:p>
      <w:pPr>
        <w:pStyle w:val="Heading2"/>
        <w:spacing w:after="200" w:before="360"/>
      </w:pPr>
      <w:r>
        <w:rPr>
          <w:b/>
          <w:bCs/>
          <w:color w:val="3E5C76"/>
          <w:sz w:val="26"/>
          <w:szCs w:val="26"/>
        </w:rPr>
        <w:t xml:space="preserve">10.6.3 — Repository Executive Profiles</w:t>
      </w:r>
    </w:p>
    <w:p>
      <w:pPr>
        <w:pStyle w:val="Heading3"/>
        <w:spacing w:after="160" w:before="260"/>
      </w:pPr>
      <w:r>
        <w:rPr>
          <w:b/>
          <w:bCs/>
          <w:color w:val="1F2A44"/>
          <w:sz w:val="22"/>
          <w:szCs w:val="22"/>
        </w:rPr>
        <w:t xml:space="preserve">Documentation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Maintains the architecture documentation that governs and describes the platform's data model and engineering decisions, so implementation and documentation stay synchronized.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EEP-01 Phase A architecture document (revised by WP-0001); new taxonomy pattern documentation (authored by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AR-0002 (WP-0001); AR-0003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EGD-0002 Accepted, execution = WP-0001; EGD-0003 Accepted (conditional), execution =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Current status: rich, detailed architecture documentation exists but is not synchronized with implementation — documentation maturity rated Initial (Phase A.1 §15).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1 (Enterprise Data Platform).</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2 (Platform Stabilization).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yet started. KPI-02 Documentation Accuracy % = 30/100 baseline (Phase A.3 §10).</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Complete for the active portfolio — every Work Package traces to an already-dispositioned EGD.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Table inventory diff vs. live schema, zero-discrepancy target, directly measurable (WP-0001); per-release automated denormalization check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yet accepted; execute-ready per Section 2 acceptance criteria.</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L4 pending for both WP-0001 and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 Database (WP-0001): the revised EEP-01 Phase A document must describe the Database Repository's live schema as it actually exists — dependency runs from documentation to database, not the reverse (EGD-0002). Documentation → Documentation, cross-Work-Package (WP-0004 on WP-0001): WP-0004 optionally benefits from WP-0001's naming clarity, but is not blocked by it.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Risk is rated High (confirmed, already occurring) — the current document describes a schema that was never built, actively misdirecting future work (Phase A.1 §13). This is the single top-rated confirmed risk in the enterprise baseline, and WP-0001 exists specifically to resolve it.</w:t>
            </w:r>
          </w:p>
        </w:tc>
      </w:tr>
    </w:tbl>
    <w:p>
      <w:pPr>
        <w:pStyle w:val="Heading3"/>
        <w:spacing w:after="160" w:before="260"/>
      </w:pPr>
      <w:r>
        <w:rPr>
          <w:b/>
          <w:bCs/>
          <w:color w:val="1F2A44"/>
          <w:sz w:val="22"/>
          <w:szCs w:val="22"/>
        </w:rPr>
        <w:t xml:space="preserve">Database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Holds the student-academic physical data model — the platform's core operational data — and the security policies that govern access to it.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RLS policies on student_activities, student_cognitive_responses, student_signal_vectors and related tables (WP-0002); four designated high-growth tables for conditional partitioning (WP-0003); direct-FK taxonomy references (WP-0004, no impact in baseline scope); free-text/JSON payload columns (WP-0005).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AR-0007 (WP-0002, WP-0005 extension); AR-0004 (WP-0003, conditional); AR-0003 (WP-0004, no impact in baseline scope).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EGD-0007 Accepted, in progress; EGD-0003 Accepted, conditional; EGD-0004 Deferred, trigger-gated.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 single, unscoped public-schema table set (Phase A.3 §1.1), organized as timestamp-named migrations by feature phase with corresponding rollback files (Phase A.1 §10).</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 WP-0003, WP-0004, WP-0005.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1 (Enterprise Data Platform); Portfolio 2 (Enterprise Security).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 (WP-0002); Wave 2 (WP-0004, WP-0005); Wave 3 (WP-0003, trigger-gated).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Sound independently of Phase A conformance — no integrity or engineering-quality blocker found (Phase A.1 §15).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Complete for the active portfolios — every Work Package traces to an already-dispositioned EGD.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WP-0002's query-based RLS verification with written evidence is fully defined and ready to execute immediately; adopted as the template for all future Realize-class verification.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Execute-ready (WP-0002, WP-0004, WP-0005); monitoring-ready, not accepted (WP-0003, trigger-gated).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L4 pending for WP-0002, WP-0004, WP-0005; L3 standing (L4 conditional) for WP-0003.</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 → Database, cross-Work-Package (WP-0005 on WP-0002): WP-0005's column-level review benefits from WP-0002's table-level RLS verification completing first, since both examine the same tables under the same reviewer. External data dependency (WP-0003): depends on row-count/growth data not yet gathered — an external, not-yet-available data dependency, not a repository dependency.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Verification Risk is rated High-until-verified for WP-0002 — RLS coverage on activity/cognitive/signal tables is unknown until checked (Phase A.2 §8). This is the repository's single highest-leverage open item and is startable immediately.</w:t>
            </w:r>
          </w:p>
        </w:tc>
      </w:tr>
    </w:tbl>
    <w:p>
      <w:pPr>
        <w:pStyle w:val="Heading3"/>
        <w:spacing w:after="160" w:before="260"/>
      </w:pPr>
      <w:r>
        <w:rPr>
          <w:b/>
          <w:bCs/>
          <w:color w:val="1F2A44"/>
          <w:sz w:val="22"/>
          <w:szCs w:val="22"/>
        </w:rPr>
        <w:t xml:space="preserve">Backend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Backend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Phase A.1 §9 explicitly declined to assess repository-layer code — Phase A does not itself specify it, and any inference about backend behavior was drawn from schema shape only, not from inspection of actual service code.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Section 1 §7: "No AR/EGD-level backend-service architecture is approved beyond what supports the physical data model."</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is asserted for this repository category — it carries no approved scope to assess. Asserting a rating without approved scope would fabricate an engineering claim this baseline does not support (Section 3 §6).</w:t>
            </w:r>
          </w:p>
        </w:tc>
      </w:tr>
    </w:tbl>
    <w:p>
      <w:pPr>
        <w:pStyle w:val="Heading3"/>
        <w:spacing w:after="160" w:before="260"/>
      </w:pPr>
      <w:r>
        <w:rPr>
          <w:b/>
          <w:bCs/>
          <w:color w:val="1F2A44"/>
          <w:sz w:val="22"/>
          <w:szCs w:val="22"/>
        </w:rPr>
        <w:t xml:space="preserve">Frontend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Frontend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approved document references frontend repository structure. Section 1 §7: "Not evidenced or governed by this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is asserted for this repository category, on the same evidentiary basis as the Backend Repository.</w:t>
            </w:r>
          </w:p>
        </w:tc>
      </w:tr>
    </w:tbl>
    <w:p>
      <w:pPr>
        <w:pStyle w:val="Heading3"/>
        <w:spacing w:after="160" w:before="260"/>
      </w:pPr>
      <w:r>
        <w:rPr>
          <w:b/>
          <w:bCs/>
          <w:color w:val="1F2A44"/>
          <w:sz w:val="22"/>
          <w:szCs w:val="22"/>
        </w:rPr>
        <w:t xml:space="preserve">Integration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Integration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6 (Integration Platform) carries no approved Work Package (Phase B §3); no integration realization assessment exists.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6 (reserved).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 Governance / Verification / 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 —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pPr>
        <w:pStyle w:val="Heading3"/>
        <w:spacing w:after="160" w:before="260"/>
      </w:pPr>
      <w:r>
        <w:rPr>
          <w:b/>
          <w:bCs/>
          <w:color w:val="1F2A44"/>
          <w:sz w:val="22"/>
          <w:szCs w:val="22"/>
        </w:rPr>
        <w:t xml:space="preserve">AI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AI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3 (Enterprise AI) carries no approved Work Package (Phase B §3). Phase A.1 §2 notes an unrelated, already-partitioned subsystem (chi_scores, ai_observability_logs) exists in the repository, but it sits outside the student-academic physical data model domain and is not attributed to, or impacted by, any approved Work Package in this catalog.</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3 (reserved).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 Governance / Verification / 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 —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pPr>
        <w:pStyle w:val="Heading3"/>
        <w:spacing w:after="160" w:before="260"/>
      </w:pPr>
      <w:r>
        <w:rPr>
          <w:b/>
          <w:bCs/>
          <w:color w:val="1F2A44"/>
          <w:sz w:val="22"/>
          <w:szCs w:val="22"/>
        </w:rPr>
        <w:t xml:space="preserve">Infrastructure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Infrastructure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approved document contains configuration, deployment, platform, runtime, secrets, or environment evidence. Section 1 §7: "Not evidenced or governed by this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is asserted for this repository category — it carries no approved scope to assess.</w:t>
            </w:r>
          </w:p>
        </w:tc>
      </w:tr>
    </w:tbl>
    <w:p>
      <w:pPr>
        <w:pStyle w:val="Heading3"/>
        <w:spacing w:after="160" w:before="260"/>
      </w:pPr>
      <w:r>
        <w:rPr>
          <w:b/>
          <w:bCs/>
          <w:color w:val="1F2A44"/>
          <w:sz w:val="22"/>
          <w:szCs w:val="22"/>
        </w:rPr>
        <w:t xml:space="preserve">Test Repository</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Name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Test Repository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Provides the verification methods and evidence artifacts that confirm engineering work meets its approved acceptance criteria.</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WP-0002's RLS verification method, adopted as the standing template; WP-0004's per-release automated denormalization check; WP-0005's extension of WP-0002's method to column-level review; WP-0006's KPI-08 measurement.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AR-0007 (WP-0002, WP-0005); AR-0003 (WP-0004).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Supported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Adopted, per Section 1 §7, as the template for every future Realize-class verification in this program.</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Contents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automated test suite is evidenced beyond migration idempotency checks (Section 1 §9). WP-0002's written RLS confirmation with query evidence is the only evidenced verification practice in the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Work Package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 WP-0004, WP-0005, WP-0006.</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Portfolio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2 (Enterprise Security — WP-0002, WP-0005); Portfolio 1 (Enterprise Data Platform — WP-0004); Portfolio 8 (Governance &amp; Quality — WP-0006).</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Coverage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 (WP-0002, WP-0006); Wave 2 (WP-0004, WP-0005).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WP-0002's method is fully defined and ready to execute immediately.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Complete for the three active portfolios (1, 2, 8).</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WP-0002's written, query-evidenced method is the ready, adopted template for this and all future Realize-class verification (Section 1 §7).</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Execute-ready for WP-0002, WP-0004, WP-0005; KPI-08 measurement ready for WP-0006.</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Directly supports L4 advancement for every Work Package it covers by providing the verification evidence certification depends on.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Verification template dependency (WP-0005 on WP-0002's method): WP-0005 adopts WP-0002's written, query-evidenced verification method as its own template rather than defining a new 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Verification Risk is rated Low — the written, query-evidenced method is already proven in concept and ready to execute. Security Risk is directly tied to the Database Repository's Security Risk above, with the same mitigation: WP-0002 execution.</w:t>
            </w:r>
          </w:p>
        </w:tc>
      </w:tr>
    </w:tbl>
    <w:p>
      <w:r>
        <w:br w:type="page"/>
      </w:r>
    </w:p>
    <w:p>
      <w:pPr>
        <w:pStyle w:val="Heading2"/>
        <w:spacing w:after="200" w:before="360"/>
      </w:pPr>
      <w:r>
        <w:rPr>
          <w:b/>
          <w:bCs/>
          <w:color w:val="3E5C76"/>
          <w:sz w:val="26"/>
          <w:szCs w:val="26"/>
        </w:rPr>
        <w:t xml:space="preserve">10.6.4 — Repository Dependency Dashboard</w:t>
      </w:r>
    </w:p>
    <w:p>
      <w:pPr>
        <w:spacing w:after="200" w:before="80"/>
      </w:pPr>
      <w:r>
        <w:rPr>
          <w:i/>
          <w:iCs/>
          <w:color w:val="5B6470"/>
          <w:sz w:val="19"/>
          <w:szCs w:val="19"/>
        </w:rPr>
        <w:t xml:space="preserve">Source: ERP-01 Phase C Section 3 §5 (Repository Dependency Analysis), reused unchanged.</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1034"/>
        <w:gridCol w:w="1786"/>
        <w:gridCol w:w="1598"/>
        <w:gridCol w:w="1598"/>
        <w:gridCol w:w="1560"/>
        <w:gridCol w:w="1786"/>
      </w:tblGrid>
      <w:tr>
        <w:trPr>
          <w:tblHeader/>
        </w:trPr>
        <w:tc>
          <w:tcPr>
            <w:tcW w:type="dxa" w:w="1034"/>
            <w:shd w:fill="1F2A44" w:val="clear"/>
            <w:tcMar>
              <w:top w:type="dxa" w:w="80"/>
              <w:left w:type="dxa" w:w="100"/>
              <w:bottom w:type="dxa" w:w="80"/>
              <w:right w:type="dxa" w:w="100"/>
            </w:tcMar>
            <w:vAlign w:val="top"/>
          </w:tcPr>
          <w:p>
            <w:pPr>
              <w:jc w:val="left"/>
            </w:pPr>
            <w:r>
              <w:rPr>
                <w:b/>
                <w:bCs/>
                <w:color w:val="FFFFFF"/>
                <w:sz w:val="19"/>
                <w:szCs w:val="19"/>
              </w:rPr>
              <w:t xml:space="preserve">Repository</w:t>
            </w:r>
          </w:p>
        </w:tc>
        <w:tc>
          <w:tcPr>
            <w:tcW w:type="dxa" w:w="1786"/>
            <w:shd w:fill="1F2A44" w:val="clear"/>
            <w:tcMar>
              <w:top w:type="dxa" w:w="80"/>
              <w:left w:type="dxa" w:w="100"/>
              <w:bottom w:type="dxa" w:w="80"/>
              <w:right w:type="dxa" w:w="100"/>
            </w:tcMar>
            <w:vAlign w:val="top"/>
          </w:tcPr>
          <w:p>
            <w:pPr>
              <w:jc w:val="left"/>
            </w:pPr>
            <w:r>
              <w:rPr>
                <w:b/>
                <w:bCs/>
                <w:color w:val="FFFFFF"/>
                <w:sz w:val="19"/>
                <w:szCs w:val="19"/>
              </w:rPr>
              <w:t xml:space="preserve">Depends On</w:t>
            </w:r>
          </w:p>
        </w:tc>
        <w:tc>
          <w:tcPr>
            <w:tcW w:type="dxa" w:w="1598"/>
            <w:shd w:fill="1F2A44" w:val="clear"/>
            <w:tcMar>
              <w:top w:type="dxa" w:w="80"/>
              <w:left w:type="dxa" w:w="100"/>
              <w:bottom w:type="dxa" w:w="80"/>
              <w:right w:type="dxa" w:w="100"/>
            </w:tcMar>
            <w:vAlign w:val="top"/>
          </w:tcPr>
          <w:p>
            <w:pPr>
              <w:jc w:val="left"/>
            </w:pPr>
            <w:r>
              <w:rPr>
                <w:b/>
                <w:bCs/>
                <w:color w:val="FFFFFF"/>
                <w:sz w:val="19"/>
                <w:szCs w:val="19"/>
              </w:rPr>
              <w:t xml:space="preserve">Supports</w:t>
            </w:r>
          </w:p>
        </w:tc>
        <w:tc>
          <w:tcPr>
            <w:tcW w:type="dxa" w:w="1598"/>
            <w:shd w:fill="1F2A44" w:val="clear"/>
            <w:tcMar>
              <w:top w:type="dxa" w:w="80"/>
              <w:left w:type="dxa" w:w="100"/>
              <w:bottom w:type="dxa" w:w="80"/>
              <w:right w:type="dxa" w:w="100"/>
            </w:tcMar>
            <w:vAlign w:val="top"/>
          </w:tcPr>
          <w:p>
            <w:pPr>
              <w:jc w:val="left"/>
            </w:pPr>
            <w:r>
              <w:rPr>
                <w:b/>
                <w:bCs/>
                <w:color w:val="FFFFFF"/>
                <w:sz w:val="19"/>
                <w:szCs w:val="19"/>
              </w:rPr>
              <w:t xml:space="preserve">Blocking Conditions</w:t>
            </w:r>
          </w:p>
        </w:tc>
        <w:tc>
          <w:tcPr>
            <w:tcW w:type="dxa" w:w="1560"/>
            <w:shd w:fill="1F2A44" w:val="clear"/>
            <w:tcMar>
              <w:top w:type="dxa" w:w="80"/>
              <w:left w:type="dxa" w:w="100"/>
              <w:bottom w:type="dxa" w:w="80"/>
              <w:right w:type="dxa" w:w="100"/>
            </w:tcMar>
            <w:vAlign w:val="top"/>
          </w:tcPr>
          <w:p>
            <w:pPr>
              <w:jc w:val="left"/>
            </w:pPr>
            <w:r>
              <w:rPr>
                <w:b/>
                <w:bCs/>
                <w:color w:val="FFFFFF"/>
                <w:sz w:val="19"/>
                <w:szCs w:val="19"/>
              </w:rPr>
              <w:t xml:space="preserve">Dependency Status</w:t>
            </w:r>
          </w:p>
        </w:tc>
        <w:tc>
          <w:tcPr>
            <w:tcW w:type="dxa" w:w="1786"/>
            <w:shd w:fill="1F2A44" w:val="clear"/>
            <w:tcMar>
              <w:top w:type="dxa" w:w="80"/>
              <w:left w:type="dxa" w:w="100"/>
              <w:bottom w:type="dxa" w:w="80"/>
              <w:right w:type="dxa" w:w="100"/>
            </w:tcMar>
            <w:vAlign w:val="top"/>
          </w:tcPr>
          <w:p>
            <w:pPr>
              <w:jc w:val="left"/>
            </w:pPr>
            <w:r>
              <w:rPr>
                <w:b/>
                <w:bCs/>
                <w:color w:val="FFFFFF"/>
                <w:sz w:val="19"/>
                <w:szCs w:val="19"/>
              </w:rPr>
              <w:t xml:space="preserve">Exec. Assessment</w:t>
            </w:r>
          </w:p>
        </w:tc>
      </w:tr>
      <w:tr>
        <w:tc>
          <w:tcPr>
            <w:tcW w:type="dxa" w:w="1034"/>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Live schema described by the Database Repository (WP-0001)</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 (documents it as canonical); Test (table inventory diff)</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560"/>
            <w:shd w:fill="FFFFFF" w:val="clear"/>
            <w:tcMar>
              <w:top w:type="dxa" w:w="80"/>
              <w:left w:type="dxa" w:w="100"/>
              <w:bottom w:type="dxa" w:w="80"/>
              <w:right w:type="dxa" w:w="100"/>
            </w:tcMar>
            <w:vAlign w:val="top"/>
          </w:tcPr>
          <w:p>
            <w:pPr>
              <w:jc w:val="left"/>
            </w:pPr>
            <w:r>
              <w:rPr>
                <w:b w:val="false"/>
                <w:bCs w:val="false"/>
                <w:color w:val="1A1A1A"/>
                <w:sz w:val="19"/>
                <w:szCs w:val="19"/>
              </w:rPr>
              <w:t xml:space="preserve">Ready — dependency runs documentation-to-database, not the reverse</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startable now; resolves the baseline's top-rated risk</w:t>
            </w:r>
          </w:p>
        </w:tc>
      </w:tr>
      <w:tr>
        <w:tc>
          <w:tcPr>
            <w:tcW w:type="dxa" w:w="1034"/>
            <w:shd w:fill="EEF1F5" w:val="clear"/>
            <w:tcMar>
              <w:top w:type="dxa" w:w="80"/>
              <w:left w:type="dxa" w:w="100"/>
              <w:bottom w:type="dxa" w:w="80"/>
              <w:right w:type="dxa" w:w="100"/>
            </w:tcMar>
            <w:vAlign w:val="top"/>
          </w:tcPr>
          <w:p>
            <w:pPr>
              <w:jc w:val="left"/>
            </w:pPr>
            <w:r>
              <w:rPr>
                <w:b w:val="false"/>
                <w:bCs w:val="false"/>
                <w:color w:val="1A1A1A"/>
                <w:sz w:val="19"/>
                <w:szCs w:val="19"/>
              </w:rPr>
              <w:t xml:space="preserve">Database</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None blocking; WP-0005 benefits from WP-0002 completing first (same-repository)</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Documentation (WP-0001); Test (verification evidence)</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External row-count/growth data not gathered (WP-0003 only)</w:t>
            </w:r>
          </w:p>
        </w:tc>
        <w:tc>
          <w:tcPr>
            <w:tcW w:type="dxa" w:w="1560"/>
            <w:shd w:fill="EEF1F5" w:val="clear"/>
            <w:tcMar>
              <w:top w:type="dxa" w:w="80"/>
              <w:left w:type="dxa" w:w="100"/>
              <w:bottom w:type="dxa" w:w="80"/>
              <w:right w:type="dxa" w:w="100"/>
            </w:tcMar>
            <w:vAlign w:val="top"/>
          </w:tcPr>
          <w:p>
            <w:pPr>
              <w:jc w:val="left"/>
            </w:pPr>
            <w:r>
              <w:rPr>
                <w:b w:val="false"/>
                <w:bCs w:val="false"/>
                <w:color w:val="1A1A1A"/>
                <w:sz w:val="19"/>
                <w:szCs w:val="19"/>
              </w:rPr>
              <w:t xml:space="preserve">Ready for WP-0002/WP-0004/WP-0005; Wave 3 dormant</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WP-0002 is the repository's single highest-leverage open item</w:t>
            </w:r>
          </w:p>
        </w:tc>
      </w:tr>
      <w:tr>
        <w:tc>
          <w:tcPr>
            <w:tcW w:type="dxa" w:w="1034"/>
            <w:shd w:fill="FFFFFF" w:val="clear"/>
            <w:tcMar>
              <w:top w:type="dxa" w:w="80"/>
              <w:left w:type="dxa" w:w="100"/>
              <w:bottom w:type="dxa" w:w="80"/>
              <w:right w:type="dxa" w:w="100"/>
            </w:tcMar>
            <w:vAlign w:val="top"/>
          </w:tcPr>
          <w:p>
            <w:pPr>
              <w:jc w:val="left"/>
            </w:pPr>
            <w:r>
              <w:rPr>
                <w:b w:val="false"/>
                <w:bCs w:val="false"/>
                <w:color w:val="1A1A1A"/>
                <w:sz w:val="19"/>
                <w:szCs w:val="19"/>
              </w:rPr>
              <w:t xml:space="preserve">Backend</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60"/>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1034"/>
            <w:shd w:fill="EEF1F5" w:val="clear"/>
            <w:tcMar>
              <w:top w:type="dxa" w:w="80"/>
              <w:left w:type="dxa" w:w="100"/>
              <w:bottom w:type="dxa" w:w="80"/>
              <w:right w:type="dxa" w:w="100"/>
            </w:tcMar>
            <w:vAlign w:val="top"/>
          </w:tcPr>
          <w:p>
            <w:pPr>
              <w:jc w:val="left"/>
            </w:pPr>
            <w:r>
              <w:rPr>
                <w:b w:val="false"/>
                <w:bCs w:val="false"/>
                <w:color w:val="1A1A1A"/>
                <w:sz w:val="19"/>
                <w:szCs w:val="19"/>
              </w:rPr>
              <w:t xml:space="preserve">Frontend</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60"/>
            <w:shd w:fill="EEF1F5"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1034"/>
            <w:shd w:fill="FFFFFF" w:val="clear"/>
            <w:tcMar>
              <w:top w:type="dxa" w:w="80"/>
              <w:left w:type="dxa" w:w="100"/>
              <w:bottom w:type="dxa" w:w="80"/>
              <w:right w:type="dxa" w:w="100"/>
            </w:tcMar>
            <w:vAlign w:val="top"/>
          </w:tcPr>
          <w:p>
            <w:pPr>
              <w:jc w:val="left"/>
            </w:pPr>
            <w:r>
              <w:rPr>
                <w:b w:val="false"/>
                <w:bCs w:val="false"/>
                <w:color w:val="1A1A1A"/>
                <w:sz w:val="19"/>
                <w:szCs w:val="19"/>
              </w:rPr>
              <w:t xml:space="preserve">Test</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Adopts WP-0002's verification method as template (WP-0005)</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 and Documentation (verification evidence for both)</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560"/>
            <w:shd w:fill="FFFFFF" w:val="clear"/>
            <w:tcMar>
              <w:top w:type="dxa" w:w="80"/>
              <w:left w:type="dxa" w:w="100"/>
              <w:bottom w:type="dxa" w:w="80"/>
              <w:right w:type="dxa" w:w="100"/>
            </w:tcMar>
            <w:vAlign w:val="top"/>
          </w:tcPr>
          <w:p>
            <w:pPr>
              <w:jc w:val="left"/>
            </w:pPr>
            <w:r>
              <w:rPr>
                <w:b w:val="false"/>
                <w:bCs w:val="false"/>
                <w:color w:val="1A1A1A"/>
                <w:sz w:val="19"/>
                <w:szCs w:val="19"/>
              </w:rPr>
              <w:t xml:space="preserve">Ready — method fully defined</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Adopted as standing template for all future verification</w:t>
            </w:r>
          </w:p>
        </w:tc>
      </w:tr>
      <w:tr>
        <w:tc>
          <w:tcPr>
            <w:tcW w:type="dxa" w:w="1034"/>
            <w:shd w:fill="EEF1F5" w:val="clear"/>
            <w:tcMar>
              <w:top w:type="dxa" w:w="80"/>
              <w:left w:type="dxa" w:w="100"/>
              <w:bottom w:type="dxa" w:w="80"/>
              <w:right w:type="dxa" w:w="100"/>
            </w:tcMar>
            <w:vAlign w:val="top"/>
          </w:tcPr>
          <w:p>
            <w:pPr>
              <w:jc w:val="left"/>
            </w:pPr>
            <w:r>
              <w:rPr>
                <w:b w:val="false"/>
                <w:bCs w:val="false"/>
                <w:color w:val="1A1A1A"/>
                <w:sz w:val="19"/>
                <w:szCs w:val="19"/>
              </w:rPr>
              <w:t xml:space="preserve">Integration</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60"/>
            <w:shd w:fill="EEF1F5"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034"/>
            <w:shd w:fill="FFFFFF" w:val="clear"/>
            <w:tcMar>
              <w:top w:type="dxa" w:w="80"/>
              <w:left w:type="dxa" w:w="100"/>
              <w:bottom w:type="dxa" w:w="80"/>
              <w:right w:type="dxa" w:w="100"/>
            </w:tcMar>
            <w:vAlign w:val="top"/>
          </w:tcPr>
          <w:p>
            <w:pPr>
              <w:jc w:val="left"/>
            </w:pPr>
            <w:r>
              <w:rPr>
                <w:b w:val="false"/>
                <w:bCs w:val="false"/>
                <w:color w:val="1A1A1A"/>
                <w:sz w:val="19"/>
                <w:szCs w:val="19"/>
              </w:rPr>
              <w:t xml:space="preserve">AI</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60"/>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034"/>
            <w:shd w:fill="EEF1F5" w:val="clear"/>
            <w:tcMar>
              <w:top w:type="dxa" w:w="80"/>
              <w:left w:type="dxa" w:w="100"/>
              <w:bottom w:type="dxa" w:w="80"/>
              <w:right w:type="dxa" w:w="100"/>
            </w:tcMar>
            <w:vAlign w:val="top"/>
          </w:tcPr>
          <w:p>
            <w:pPr>
              <w:jc w:val="left"/>
            </w:pPr>
            <w:r>
              <w:rPr>
                <w:b w:val="false"/>
                <w:bCs w:val="false"/>
                <w:color w:val="1A1A1A"/>
                <w:sz w:val="19"/>
                <w:szCs w:val="19"/>
              </w:rPr>
              <w:t xml:space="preserve">Infrastructure</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98"/>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60"/>
            <w:shd w:fill="EEF1F5"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7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1034"/>
            <w:shd w:fill="FFFFFF" w:val="clear"/>
            <w:tcMar>
              <w:top w:type="dxa" w:w="80"/>
              <w:left w:type="dxa" w:w="100"/>
              <w:bottom w:type="dxa" w:w="80"/>
              <w:right w:type="dxa" w:w="100"/>
            </w:tcMar>
            <w:vAlign w:val="top"/>
          </w:tcPr>
          <w:p>
            <w:pPr>
              <w:jc w:val="left"/>
            </w:pPr>
            <w:r>
              <w:rPr>
                <w:b w:val="false"/>
                <w:bCs w:val="false"/>
                <w:color w:val="1A1A1A"/>
                <w:sz w:val="19"/>
                <w:szCs w:val="19"/>
              </w:rPr>
              <w:t xml:space="preserve">Operations / Deployment</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9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560"/>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7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pPr>
        <w:spacing w:after="200" w:before="80"/>
      </w:pPr>
      <w:r>
        <w:rPr>
          <w:i/>
          <w:iCs/>
          <w:color w:val="5B6470"/>
          <w:sz w:val="19"/>
          <w:szCs w:val="19"/>
        </w:rPr>
        <w:t xml:space="preserve">Every Work Package's repository impact is only accountably owned once WP-0006 names the five roles defined in Phase B §9 — a governance dependency spanning every repository category evidenced in this document.</w:t>
      </w:r>
    </w:p>
    <w:p>
      <w:pPr>
        <w:pStyle w:val="Heading2"/>
        <w:spacing w:after="200" w:before="360"/>
      </w:pPr>
      <w:r>
        <w:rPr>
          <w:b/>
          <w:bCs/>
          <w:color w:val="3E5C76"/>
          <w:sz w:val="26"/>
          <w:szCs w:val="26"/>
        </w:rPr>
        <w:t xml:space="preserve">10.6.5 — Repository Readiness Dashboard</w:t>
      </w:r>
    </w:p>
    <w:p>
      <w:pPr>
        <w:spacing w:after="200" w:before="80"/>
      </w:pPr>
      <w:r>
        <w:rPr>
          <w:i/>
          <w:iCs/>
          <w:color w:val="5B6470"/>
          <w:sz w:val="19"/>
          <w:szCs w:val="19"/>
        </w:rPr>
        <w:t xml:space="preserve">Source: Phase C Section 3 §7 (Repository Readiness Assessment). No new scores calculated.</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1004"/>
        <w:gridCol w:w="1095"/>
        <w:gridCol w:w="1186"/>
        <w:gridCol w:w="1095"/>
        <w:gridCol w:w="1186"/>
        <w:gridCol w:w="1095"/>
        <w:gridCol w:w="1277"/>
        <w:gridCol w:w="1423"/>
      </w:tblGrid>
      <w:tr>
        <w:trPr>
          <w:tblHeader/>
        </w:trPr>
        <w:tc>
          <w:tcPr>
            <w:tcW w:type="dxa" w:w="1004"/>
            <w:shd w:fill="1F2A44" w:val="clear"/>
            <w:tcMar>
              <w:top w:type="dxa" w:w="80"/>
              <w:left w:type="dxa" w:w="100"/>
              <w:bottom w:type="dxa" w:w="80"/>
              <w:right w:type="dxa" w:w="100"/>
            </w:tcMar>
            <w:vAlign w:val="top"/>
          </w:tcPr>
          <w:p>
            <w:pPr>
              <w:jc w:val="left"/>
            </w:pPr>
            <w:r>
              <w:rPr>
                <w:b/>
                <w:bCs/>
                <w:color w:val="FFFFFF"/>
                <w:sz w:val="19"/>
                <w:szCs w:val="19"/>
              </w:rPr>
              <w:t xml:space="preserve">Repository</w:t>
            </w:r>
          </w:p>
        </w:tc>
        <w:tc>
          <w:tcPr>
            <w:tcW w:type="dxa" w:w="1095"/>
            <w:shd w:fill="1F2A44" w:val="clear"/>
            <w:tcMar>
              <w:top w:type="dxa" w:w="80"/>
              <w:left w:type="dxa" w:w="100"/>
              <w:bottom w:type="dxa" w:w="80"/>
              <w:right w:type="dxa" w:w="100"/>
            </w:tcMar>
            <w:vAlign w:val="top"/>
          </w:tcPr>
          <w:p>
            <w:pPr>
              <w:jc w:val="left"/>
            </w:pPr>
            <w:r>
              <w:rPr>
                <w:b/>
                <w:bCs/>
                <w:color w:val="FFFFFF"/>
                <w:sz w:val="19"/>
                <w:szCs w:val="19"/>
              </w:rPr>
              <w:t xml:space="preserve">Engineering</w:t>
            </w:r>
          </w:p>
        </w:tc>
        <w:tc>
          <w:tcPr>
            <w:tcW w:type="dxa" w:w="1186"/>
            <w:shd w:fill="1F2A44" w:val="clear"/>
            <w:tcMar>
              <w:top w:type="dxa" w:w="80"/>
              <w:left w:type="dxa" w:w="100"/>
              <w:bottom w:type="dxa" w:w="80"/>
              <w:right w:type="dxa" w:w="100"/>
            </w:tcMar>
            <w:vAlign w:val="top"/>
          </w:tcPr>
          <w:p>
            <w:pPr>
              <w:jc w:val="left"/>
            </w:pPr>
            <w:r>
              <w:rPr>
                <w:b/>
                <w:bCs/>
                <w:color w:val="FFFFFF"/>
                <w:sz w:val="19"/>
                <w:szCs w:val="19"/>
              </w:rPr>
              <w:t xml:space="preserve">Documentation</w:t>
            </w:r>
          </w:p>
        </w:tc>
        <w:tc>
          <w:tcPr>
            <w:tcW w:type="dxa" w:w="1095"/>
            <w:shd w:fill="1F2A44" w:val="clear"/>
            <w:tcMar>
              <w:top w:type="dxa" w:w="80"/>
              <w:left w:type="dxa" w:w="100"/>
              <w:bottom w:type="dxa" w:w="80"/>
              <w:right w:type="dxa" w:w="100"/>
            </w:tcMar>
            <w:vAlign w:val="top"/>
          </w:tcPr>
          <w:p>
            <w:pPr>
              <w:jc w:val="left"/>
            </w:pPr>
            <w:r>
              <w:rPr>
                <w:b/>
                <w:bCs/>
                <w:color w:val="FFFFFF"/>
                <w:sz w:val="19"/>
                <w:szCs w:val="19"/>
              </w:rPr>
              <w:t xml:space="preserve">Governance</w:t>
            </w:r>
          </w:p>
        </w:tc>
        <w:tc>
          <w:tcPr>
            <w:tcW w:type="dxa" w:w="1186"/>
            <w:shd w:fill="1F2A44" w:val="clear"/>
            <w:tcMar>
              <w:top w:type="dxa" w:w="80"/>
              <w:left w:type="dxa" w:w="100"/>
              <w:bottom w:type="dxa" w:w="80"/>
              <w:right w:type="dxa" w:w="100"/>
            </w:tcMar>
            <w:vAlign w:val="top"/>
          </w:tcPr>
          <w:p>
            <w:pPr>
              <w:jc w:val="left"/>
            </w:pPr>
            <w:r>
              <w:rPr>
                <w:b/>
                <w:bCs/>
                <w:color w:val="FFFFFF"/>
                <w:sz w:val="19"/>
                <w:szCs w:val="19"/>
              </w:rPr>
              <w:t xml:space="preserve">Verification</w:t>
            </w:r>
          </w:p>
        </w:tc>
        <w:tc>
          <w:tcPr>
            <w:tcW w:type="dxa" w:w="1095"/>
            <w:shd w:fill="1F2A44" w:val="clear"/>
            <w:tcMar>
              <w:top w:type="dxa" w:w="80"/>
              <w:left w:type="dxa" w:w="100"/>
              <w:bottom w:type="dxa" w:w="80"/>
              <w:right w:type="dxa" w:w="100"/>
            </w:tcMar>
            <w:vAlign w:val="top"/>
          </w:tcPr>
          <w:p>
            <w:pPr>
              <w:jc w:val="left"/>
            </w:pPr>
            <w:r>
              <w:rPr>
                <w:b/>
                <w:bCs/>
                <w:color w:val="FFFFFF"/>
                <w:sz w:val="19"/>
                <w:szCs w:val="19"/>
              </w:rPr>
              <w:t xml:space="preserve">Acceptance</w:t>
            </w:r>
          </w:p>
        </w:tc>
        <w:tc>
          <w:tcPr>
            <w:tcW w:type="dxa" w:w="1277"/>
            <w:shd w:fill="1F2A44" w:val="clear"/>
            <w:tcMar>
              <w:top w:type="dxa" w:w="80"/>
              <w:left w:type="dxa" w:w="100"/>
              <w:bottom w:type="dxa" w:w="80"/>
              <w:right w:type="dxa" w:w="100"/>
            </w:tcMar>
            <w:vAlign w:val="top"/>
          </w:tcPr>
          <w:p>
            <w:pPr>
              <w:jc w:val="left"/>
            </w:pPr>
            <w:r>
              <w:rPr>
                <w:b/>
                <w:bCs/>
                <w:color w:val="FFFFFF"/>
                <w:sz w:val="19"/>
                <w:szCs w:val="19"/>
              </w:rPr>
              <w:t xml:space="preserve">Certification</w:t>
            </w:r>
          </w:p>
        </w:tc>
        <w:tc>
          <w:tcPr>
            <w:tcW w:type="dxa" w:w="1423"/>
            <w:shd w:fill="1F2A44" w:val="clear"/>
            <w:tcMar>
              <w:top w:type="dxa" w:w="80"/>
              <w:left w:type="dxa" w:w="100"/>
              <w:bottom w:type="dxa" w:w="80"/>
              <w:right w:type="dxa" w:w="100"/>
            </w:tcMar>
            <w:vAlign w:val="top"/>
          </w:tcPr>
          <w:p>
            <w:pPr>
              <w:jc w:val="left"/>
            </w:pPr>
            <w:r>
              <w:rPr>
                <w:b/>
                <w:bCs/>
                <w:color w:val="FFFFFF"/>
                <w:sz w:val="19"/>
                <w:szCs w:val="19"/>
              </w:rPr>
              <w:t xml:space="preserve">Risk</w:t>
            </w:r>
          </w:p>
        </w:tc>
      </w:tr>
      <w:tr>
        <w:tc>
          <w:tcPr>
            <w:tcW w:type="dxa" w:w="1004"/>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yet started</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KPI-02 = 30/100 baseline</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Complete (Portfolio 1)</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Zero-discrepancy target, measurable</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yet accepted</w:t>
            </w:r>
          </w:p>
        </w:tc>
        <w:tc>
          <w:tcPr>
            <w:tcW w:type="dxa" w:w="1277"/>
            <w:shd w:fill="FFFFFF" w:val="clear"/>
            <w:tcMar>
              <w:top w:type="dxa" w:w="80"/>
              <w:left w:type="dxa" w:w="100"/>
              <w:bottom w:type="dxa" w:w="80"/>
              <w:right w:type="dxa" w:w="100"/>
            </w:tcMar>
            <w:vAlign w:val="top"/>
          </w:tcPr>
          <w:p>
            <w:pPr>
              <w:jc w:val="left"/>
            </w:pPr>
            <w:r>
              <w:rPr>
                <w:b w:val="false"/>
                <w:bCs w:val="false"/>
                <w:color w:val="1A1A1A"/>
                <w:sz w:val="19"/>
                <w:szCs w:val="19"/>
              </w:rPr>
              <w:t xml:space="preserve">L4 pending</w:t>
            </w:r>
          </w:p>
        </w:tc>
        <w:tc>
          <w:tcPr>
            <w:tcW w:type="dxa" w:w="1423"/>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Risk: High (confirmed)</w:t>
            </w:r>
          </w:p>
        </w:tc>
      </w:tr>
      <w:tr>
        <w:tc>
          <w:tcPr>
            <w:tcW w:type="dxa" w:w="1004"/>
            <w:shd w:fill="EEF1F5" w:val="clear"/>
            <w:tcMar>
              <w:top w:type="dxa" w:w="80"/>
              <w:left w:type="dxa" w:w="100"/>
              <w:bottom w:type="dxa" w:w="80"/>
              <w:right w:type="dxa" w:w="100"/>
            </w:tcMar>
            <w:vAlign w:val="top"/>
          </w:tcPr>
          <w:p>
            <w:pPr>
              <w:jc w:val="left"/>
            </w:pPr>
            <w:r>
              <w:rPr>
                <w:b w:val="false"/>
                <w:bCs w:val="false"/>
                <w:color w:val="1A1A1A"/>
                <w:sz w:val="19"/>
                <w:szCs w:val="19"/>
              </w:rPr>
              <w:t xml:space="preserve">Database</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Sound; no integrity blocker</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N/A to this repository beyond WP-0001 dependency</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Complete (Portfolios 1, 2)</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Method defined for WP-0002</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Execute-ready, not accepted</w:t>
            </w:r>
          </w:p>
        </w:tc>
        <w:tc>
          <w:tcPr>
            <w:tcW w:type="dxa" w:w="1277"/>
            <w:shd w:fill="EEF1F5" w:val="clear"/>
            <w:tcMar>
              <w:top w:type="dxa" w:w="80"/>
              <w:left w:type="dxa" w:w="100"/>
              <w:bottom w:type="dxa" w:w="80"/>
              <w:right w:type="dxa" w:w="100"/>
            </w:tcMar>
            <w:vAlign w:val="top"/>
          </w:tcPr>
          <w:p>
            <w:pPr>
              <w:jc w:val="left"/>
            </w:pPr>
            <w:r>
              <w:rPr>
                <w:b w:val="false"/>
                <w:bCs w:val="false"/>
                <w:color w:val="1A1A1A"/>
                <w:sz w:val="19"/>
                <w:szCs w:val="19"/>
              </w:rPr>
              <w:t xml:space="preserve">L4 pending / L3 standing (WP-0003)</w:t>
            </w:r>
          </w:p>
        </w:tc>
        <w:tc>
          <w:tcPr>
            <w:tcW w:type="dxa" w:w="1423"/>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Risk: High-until-verified</w:t>
            </w:r>
          </w:p>
        </w:tc>
      </w:tr>
      <w:tr>
        <w:tc>
          <w:tcPr>
            <w:tcW w:type="dxa" w:w="1004"/>
            <w:shd w:fill="FFFFFF" w:val="clear"/>
            <w:tcMar>
              <w:top w:type="dxa" w:w="80"/>
              <w:left w:type="dxa" w:w="100"/>
              <w:bottom w:type="dxa" w:w="80"/>
              <w:right w:type="dxa" w:w="100"/>
            </w:tcMar>
            <w:vAlign w:val="top"/>
          </w:tcPr>
          <w:p>
            <w:pPr>
              <w:jc w:val="left"/>
            </w:pPr>
            <w:r>
              <w:rPr>
                <w:b w:val="false"/>
                <w:bCs w:val="false"/>
                <w:color w:val="1A1A1A"/>
                <w:sz w:val="19"/>
                <w:szCs w:val="19"/>
              </w:rPr>
              <w:t xml:space="preserve">Backend</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277"/>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423"/>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r>
      <w:tr>
        <w:tc>
          <w:tcPr>
            <w:tcW w:type="dxa" w:w="1004"/>
            <w:shd w:fill="EEF1F5" w:val="clear"/>
            <w:tcMar>
              <w:top w:type="dxa" w:w="80"/>
              <w:left w:type="dxa" w:w="100"/>
              <w:bottom w:type="dxa" w:w="80"/>
              <w:right w:type="dxa" w:w="100"/>
            </w:tcMar>
            <w:vAlign w:val="top"/>
          </w:tcPr>
          <w:p>
            <w:pPr>
              <w:jc w:val="left"/>
            </w:pPr>
            <w:r>
              <w:rPr>
                <w:b w:val="false"/>
                <w:bCs w:val="false"/>
                <w:color w:val="1A1A1A"/>
                <w:sz w:val="19"/>
                <w:szCs w:val="19"/>
              </w:rPr>
              <w:t xml:space="preserve">Frontend</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277"/>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423"/>
            <w:shd w:fill="EEF1F5"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r>
      <w:tr>
        <w:tc>
          <w:tcPr>
            <w:tcW w:type="dxa" w:w="1004"/>
            <w:shd w:fill="FFFFFF" w:val="clear"/>
            <w:tcMar>
              <w:top w:type="dxa" w:w="80"/>
              <w:left w:type="dxa" w:w="100"/>
              <w:bottom w:type="dxa" w:w="80"/>
              <w:right w:type="dxa" w:w="100"/>
            </w:tcMar>
            <w:vAlign w:val="top"/>
          </w:tcPr>
          <w:p>
            <w:pPr>
              <w:jc w:val="left"/>
            </w:pPr>
            <w:r>
              <w:rPr>
                <w:b w:val="false"/>
                <w:bCs w:val="false"/>
                <w:color w:val="1A1A1A"/>
                <w:sz w:val="19"/>
                <w:szCs w:val="19"/>
              </w:rPr>
              <w:t xml:space="preserve">Test</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Ready to execute (WP-0002)</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N/A to this repository category</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Complete (Portfolios 1, 2, 8)</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Adopted template</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Execute-ready</w:t>
            </w:r>
          </w:p>
        </w:tc>
        <w:tc>
          <w:tcPr>
            <w:tcW w:type="dxa" w:w="1277"/>
            <w:shd w:fill="FFFFFF" w:val="clear"/>
            <w:tcMar>
              <w:top w:type="dxa" w:w="80"/>
              <w:left w:type="dxa" w:w="100"/>
              <w:bottom w:type="dxa" w:w="80"/>
              <w:right w:type="dxa" w:w="100"/>
            </w:tcMar>
            <w:vAlign w:val="top"/>
          </w:tcPr>
          <w:p>
            <w:pPr>
              <w:jc w:val="left"/>
            </w:pPr>
            <w:r>
              <w:rPr>
                <w:b w:val="false"/>
                <w:bCs w:val="false"/>
                <w:color w:val="1A1A1A"/>
                <w:sz w:val="19"/>
                <w:szCs w:val="19"/>
              </w:rPr>
              <w:t xml:space="preserve">Supports L4 across covered WPs</w:t>
            </w:r>
          </w:p>
        </w:tc>
        <w:tc>
          <w:tcPr>
            <w:tcW w:type="dxa" w:w="1423"/>
            <w:shd w:fill="FFFFFF" w:val="clear"/>
            <w:tcMar>
              <w:top w:type="dxa" w:w="80"/>
              <w:left w:type="dxa" w:w="100"/>
              <w:bottom w:type="dxa" w:w="80"/>
              <w:right w:type="dxa" w:w="100"/>
            </w:tcMar>
            <w:vAlign w:val="top"/>
          </w:tcPr>
          <w:p>
            <w:pPr>
              <w:jc w:val="left"/>
            </w:pPr>
            <w:r>
              <w:rPr>
                <w:b w:val="false"/>
                <w:bCs w:val="false"/>
                <w:color w:val="1A1A1A"/>
                <w:sz w:val="19"/>
                <w:szCs w:val="19"/>
              </w:rPr>
              <w:t xml:space="preserve">Verification Risk: Low</w:t>
            </w:r>
          </w:p>
        </w:tc>
      </w:tr>
      <w:tr>
        <w:tc>
          <w:tcPr>
            <w:tcW w:type="dxa" w:w="1004"/>
            <w:shd w:fill="EEF1F5" w:val="clear"/>
            <w:tcMar>
              <w:top w:type="dxa" w:w="80"/>
              <w:left w:type="dxa" w:w="100"/>
              <w:bottom w:type="dxa" w:w="80"/>
              <w:right w:type="dxa" w:w="100"/>
            </w:tcMar>
            <w:vAlign w:val="top"/>
          </w:tcPr>
          <w:p>
            <w:pPr>
              <w:jc w:val="left"/>
            </w:pPr>
            <w:r>
              <w:rPr>
                <w:b w:val="false"/>
                <w:bCs w:val="false"/>
                <w:color w:val="1A1A1A"/>
                <w:sz w:val="19"/>
                <w:szCs w:val="19"/>
              </w:rPr>
              <w:t xml:space="preserve">Integration</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77"/>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423"/>
            <w:shd w:fill="EEF1F5"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r>
      <w:tr>
        <w:tc>
          <w:tcPr>
            <w:tcW w:type="dxa" w:w="1004"/>
            <w:shd w:fill="FFFFFF" w:val="clear"/>
            <w:tcMar>
              <w:top w:type="dxa" w:w="80"/>
              <w:left w:type="dxa" w:w="100"/>
              <w:bottom w:type="dxa" w:w="80"/>
              <w:right w:type="dxa" w:w="100"/>
            </w:tcMar>
            <w:vAlign w:val="top"/>
          </w:tcPr>
          <w:p>
            <w:pPr>
              <w:jc w:val="left"/>
            </w:pPr>
            <w:r>
              <w:rPr>
                <w:b w:val="false"/>
                <w:bCs w:val="false"/>
                <w:color w:val="1A1A1A"/>
                <w:sz w:val="19"/>
                <w:szCs w:val="19"/>
              </w:rPr>
              <w:t xml:space="preserve">AI</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7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423"/>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r>
      <w:tr>
        <w:tc>
          <w:tcPr>
            <w:tcW w:type="dxa" w:w="1004"/>
            <w:shd w:fill="EEF1F5" w:val="clear"/>
            <w:tcMar>
              <w:top w:type="dxa" w:w="80"/>
              <w:left w:type="dxa" w:w="100"/>
              <w:bottom w:type="dxa" w:w="80"/>
              <w:right w:type="dxa" w:w="100"/>
            </w:tcMar>
            <w:vAlign w:val="top"/>
          </w:tcPr>
          <w:p>
            <w:pPr>
              <w:jc w:val="left"/>
            </w:pPr>
            <w:r>
              <w:rPr>
                <w:b w:val="false"/>
                <w:bCs w:val="false"/>
                <w:color w:val="1A1A1A"/>
                <w:sz w:val="19"/>
                <w:szCs w:val="19"/>
              </w:rPr>
              <w:t xml:space="preserve">Infrastructure</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18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095"/>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277"/>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423"/>
            <w:shd w:fill="EEF1F5"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r>
      <w:tr>
        <w:tc>
          <w:tcPr>
            <w:tcW w:type="dxa" w:w="1004"/>
            <w:shd w:fill="FFFFFF" w:val="clear"/>
            <w:tcMar>
              <w:top w:type="dxa" w:w="80"/>
              <w:left w:type="dxa" w:w="100"/>
              <w:bottom w:type="dxa" w:w="80"/>
              <w:right w:type="dxa" w:w="100"/>
            </w:tcMar>
            <w:vAlign w:val="top"/>
          </w:tcPr>
          <w:p>
            <w:pPr>
              <w:jc w:val="left"/>
            </w:pPr>
            <w:r>
              <w:rPr>
                <w:b w:val="false"/>
                <w:bCs w:val="false"/>
                <w:color w:val="1A1A1A"/>
                <w:sz w:val="19"/>
                <w:szCs w:val="19"/>
              </w:rPr>
              <w:t xml:space="preserve">Operations / Deployment</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8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9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7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423"/>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r>
    </w:tbl>
    <w:p>
      <w:r>
        <w:br w:type="page"/>
      </w:r>
    </w:p>
    <w:p>
      <w:pPr>
        <w:pStyle w:val="Heading2"/>
        <w:spacing w:after="200" w:before="360"/>
      </w:pPr>
      <w:r>
        <w:rPr>
          <w:b/>
          <w:bCs/>
          <w:color w:val="3E5C76"/>
          <w:sz w:val="26"/>
          <w:szCs w:val="26"/>
        </w:rPr>
        <w:t xml:space="preserve">10.6.6 — Repository Governance Dashboard</w:t>
      </w:r>
    </w:p>
    <w:p>
      <w:pPr>
        <w:pStyle w:val="Heading3"/>
        <w:spacing w:after="160" w:before="260"/>
      </w:pPr>
      <w:r>
        <w:rPr>
          <w:b/>
          <w:bCs/>
          <w:color w:val="1F2A44"/>
          <w:sz w:val="22"/>
          <w:szCs w:val="22"/>
        </w:rPr>
        <w:t xml:space="preserve">Repository Ownership</w:t>
      </w:r>
    </w:p>
    <w:p>
      <w:pPr>
        <w:spacing w:after="160" w:before="0"/>
      </w:pPr>
      <w:r>
        <w:rPr>
          <w:sz w:val="22"/>
          <w:szCs w:val="22"/>
        </w:rPr>
        <w:t xml:space="preserve">No repository currently has a named, accountable owner. WP-0006 (Wave 1) exists specifically to close this gap by assigning named owners to every unassigned role across all nine Enterprise Governance Decisions (KPI-08, currently 0%). Until WP-0006 executes, repository-level accountability is unassigned across every evidenced repository category, not just Documentation and Database.</w:t>
      </w:r>
    </w:p>
    <w:p>
      <w:pPr>
        <w:pStyle w:val="Heading3"/>
        <w:spacing w:after="160" w:before="260"/>
      </w:pPr>
      <w:r>
        <w:rPr>
          <w:b/>
          <w:bCs/>
          <w:color w:val="1F2A44"/>
          <w:sz w:val="22"/>
          <w:szCs w:val="22"/>
        </w:rPr>
        <w:t xml:space="preserve">Governance Accountability</w:t>
      </w:r>
    </w:p>
    <w:p>
      <w:pPr>
        <w:spacing w:after="160" w:before="0"/>
      </w:pPr>
      <w:r>
        <w:rPr>
          <w:sz w:val="22"/>
          <w:szCs w:val="22"/>
        </w:rPr>
        <w:t xml:space="preserve">Target-state accountability, per the roles defined in Phase B §9: the Enterprise Architecture Owner is accountable for the Documentation Repository (WP-0001); the Security/Platform Engineer role is accountable for the Database and Test Repositories' security-verification scope (WP-0002, WP-0005); the Data Governance Owner role is accountable for the Documentation Repository's taxonomy scope (WP-0004). All three roles are themselves assigned by WP-0006 — no role is currently filled.</w:t>
      </w:r>
    </w:p>
    <w:p>
      <w:pPr>
        <w:pStyle w:val="Heading3"/>
        <w:spacing w:after="160" w:before="260"/>
      </w:pPr>
      <w:r>
        <w:rPr>
          <w:b/>
          <w:bCs/>
          <w:color w:val="1F2A44"/>
          <w:sz w:val="22"/>
          <w:szCs w:val="22"/>
        </w:rPr>
        <w:t xml:space="preserve">Traceability Maturity</w:t>
      </w:r>
    </w:p>
    <w:p>
      <w:pPr>
        <w:spacing w:after="160" w:before="0"/>
      </w:pPr>
      <w:r>
        <w:rPr>
          <w:sz w:val="22"/>
          <w:szCs w:val="22"/>
        </w:rPr>
        <w:t xml:space="preserve">Repository Traceability Matrix (Section 3 §8) extends the chain established in Phase A.3 §7 and carried through Phase B §8 and Section 1 §11 to a concrete Repository and Repository Artifact for each of the six Work Packages. Traceability is complete for all six — every Work Package resolves to a named repository, artifact, verification method, and certification target — even though execution has not yet begun for any of them.</w:t>
      </w:r>
    </w:p>
    <w:p>
      <w:pPr>
        <w:pStyle w:val="Heading3"/>
        <w:spacing w:after="160" w:before="260"/>
      </w:pPr>
      <w:r>
        <w:rPr>
          <w:b/>
          <w:bCs/>
          <w:color w:val="1F2A44"/>
          <w:sz w:val="22"/>
          <w:szCs w:val="22"/>
        </w:rPr>
        <w:t xml:space="preserve">Documentation Completeness</w:t>
      </w:r>
    </w:p>
    <w:p>
      <w:pPr>
        <w:spacing w:after="160" w:before="0"/>
      </w:pPr>
      <w:r>
        <w:rPr>
          <w:sz w:val="22"/>
          <w:szCs w:val="22"/>
        </w:rPr>
        <w:t xml:space="preserve">Documentation Repository completeness is rated Initial (Phase A.1 §15) — rich, detailed architecture documentation exists but is not synchronized with implementation. KPI-02 Documentation Accuracy % stands at its 30/100 baseline, unchanged pending WP-0001 and WP-0004.</w:t>
      </w:r>
    </w:p>
    <w:p>
      <w:pPr>
        <w:pStyle w:val="Heading3"/>
        <w:spacing w:after="160" w:before="260"/>
      </w:pPr>
      <w:r>
        <w:rPr>
          <w:b/>
          <w:bCs/>
          <w:color w:val="1F2A44"/>
          <w:sz w:val="22"/>
          <w:szCs w:val="22"/>
        </w:rPr>
        <w:t xml:space="preserve">Outstanding Governance Conditions</w:t>
      </w:r>
    </w:p>
    <w:p>
      <w:pPr>
        <w:pStyle w:val="ListParagraph"/>
        <w:numPr>
          <w:ilvl w:val="0"/>
          <w:numId w:val="1"/>
        </w:numPr>
        <w:spacing w:after="100"/>
      </w:pPr>
      <w:r>
        <w:rPr>
          <w:sz w:val="21"/>
          <w:szCs w:val="21"/>
        </w:rPr>
        <w:t xml:space="preserve">Named, accountable ownership (KPI-08 = 0%) — the single condition blocking formal repository-level accountability across Documentation, Database, and Test.</w:t>
      </w:r>
    </w:p>
    <w:p>
      <w:pPr>
        <w:pStyle w:val="ListParagraph"/>
        <w:numPr>
          <w:ilvl w:val="0"/>
          <w:numId w:val="1"/>
        </w:numPr>
        <w:spacing w:after="100"/>
      </w:pPr>
      <w:r>
        <w:rPr>
          <w:sz w:val="21"/>
          <w:szCs w:val="21"/>
        </w:rPr>
        <w:t xml:space="preserve">Documentation-to-implementation drift on the Documentation Repository, rated the baseline's single top-rated confirmed risk, pending WP-0001.</w:t>
      </w:r>
    </w:p>
    <w:p>
      <w:pPr>
        <w:pStyle w:val="ListParagraph"/>
        <w:numPr>
          <w:ilvl w:val="0"/>
          <w:numId w:val="1"/>
        </w:numPr>
        <w:spacing w:after="100"/>
      </w:pPr>
      <w:r>
        <w:rPr>
          <w:sz w:val="21"/>
          <w:szCs w:val="21"/>
        </w:rPr>
        <w:t xml:space="preserve">No governance condition currently blocks WP-0002, WP-0004, or WP-0005 from starting; the ownership gap affects accountability, not startability.</w:t>
      </w:r>
    </w:p>
    <w:p>
      <w:pPr>
        <w:pStyle w:val="Heading2"/>
        <w:spacing w:after="200" w:before="360"/>
      </w:pPr>
      <w:r>
        <w:rPr>
          <w:b/>
          <w:bCs/>
          <w:color w:val="3E5C76"/>
          <w:sz w:val="26"/>
          <w:szCs w:val="26"/>
        </w:rPr>
        <w:t xml:space="preserve">10.6.7 — Repository Risk Dashboard</w:t>
      </w:r>
    </w:p>
    <w:p>
      <w:pPr>
        <w:spacing w:after="200" w:before="80"/>
      </w:pPr>
      <w:r>
        <w:rPr>
          <w:i/>
          <w:iCs/>
          <w:color w:val="5B6470"/>
          <w:sz w:val="19"/>
          <w:szCs w:val="19"/>
        </w:rPr>
        <w:t xml:space="preserve">Source: Phase C Section 3 §6 (Repository Risk Assessment), reused unchanged.</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1483"/>
        <w:gridCol w:w="2039"/>
        <w:gridCol w:w="1297"/>
        <w:gridCol w:w="1575"/>
        <w:gridCol w:w="1205"/>
        <w:gridCol w:w="1761"/>
      </w:tblGrid>
      <w:tr>
        <w:trPr>
          <w:tblHeader/>
        </w:trPr>
        <w:tc>
          <w:tcPr>
            <w:tcW w:type="dxa" w:w="1483"/>
            <w:shd w:fill="1F2A44" w:val="clear"/>
            <w:tcMar>
              <w:top w:type="dxa" w:w="80"/>
              <w:left w:type="dxa" w:w="100"/>
              <w:bottom w:type="dxa" w:w="80"/>
              <w:right w:type="dxa" w:w="100"/>
            </w:tcMar>
            <w:vAlign w:val="top"/>
          </w:tcPr>
          <w:p>
            <w:pPr>
              <w:jc w:val="left"/>
            </w:pPr>
            <w:r>
              <w:rPr>
                <w:b/>
                <w:bCs/>
                <w:color w:val="FFFFFF"/>
                <w:sz w:val="19"/>
                <w:szCs w:val="19"/>
              </w:rPr>
              <w:t xml:space="preserve">Repository</w:t>
            </w:r>
          </w:p>
        </w:tc>
        <w:tc>
          <w:tcPr>
            <w:tcW w:type="dxa" w:w="2039"/>
            <w:shd w:fill="1F2A44" w:val="clear"/>
            <w:tcMar>
              <w:top w:type="dxa" w:w="80"/>
              <w:left w:type="dxa" w:w="100"/>
              <w:bottom w:type="dxa" w:w="80"/>
              <w:right w:type="dxa" w:w="100"/>
            </w:tcMar>
            <w:vAlign w:val="top"/>
          </w:tcPr>
          <w:p>
            <w:pPr>
              <w:jc w:val="left"/>
            </w:pPr>
            <w:r>
              <w:rPr>
                <w:b/>
                <w:bCs/>
                <w:color w:val="FFFFFF"/>
                <w:sz w:val="19"/>
                <w:szCs w:val="19"/>
              </w:rPr>
              <w:t xml:space="preserve">Risk</w:t>
            </w:r>
          </w:p>
        </w:tc>
        <w:tc>
          <w:tcPr>
            <w:tcW w:type="dxa" w:w="1297"/>
            <w:shd w:fill="1F2A44" w:val="clear"/>
            <w:tcMar>
              <w:top w:type="dxa" w:w="80"/>
              <w:left w:type="dxa" w:w="100"/>
              <w:bottom w:type="dxa" w:w="80"/>
              <w:right w:type="dxa" w:w="100"/>
            </w:tcMar>
            <w:vAlign w:val="top"/>
          </w:tcPr>
          <w:p>
            <w:pPr>
              <w:jc w:val="left"/>
            </w:pPr>
            <w:r>
              <w:rPr>
                <w:b/>
                <w:bCs/>
                <w:color w:val="FFFFFF"/>
                <w:sz w:val="19"/>
                <w:szCs w:val="19"/>
              </w:rPr>
              <w:t xml:space="preserve">Severity</w:t>
            </w:r>
          </w:p>
        </w:tc>
        <w:tc>
          <w:tcPr>
            <w:tcW w:type="dxa" w:w="1575"/>
            <w:shd w:fill="1F2A44" w:val="clear"/>
            <w:tcMar>
              <w:top w:type="dxa" w:w="80"/>
              <w:left w:type="dxa" w:w="100"/>
              <w:bottom w:type="dxa" w:w="80"/>
              <w:right w:type="dxa" w:w="100"/>
            </w:tcMar>
            <w:vAlign w:val="top"/>
          </w:tcPr>
          <w:p>
            <w:pPr>
              <w:jc w:val="left"/>
            </w:pPr>
            <w:r>
              <w:rPr>
                <w:b/>
                <w:bCs/>
                <w:color w:val="FFFFFF"/>
                <w:sz w:val="19"/>
                <w:szCs w:val="19"/>
              </w:rPr>
              <w:t xml:space="preserve">Existing Mitigation</w:t>
            </w:r>
          </w:p>
        </w:tc>
        <w:tc>
          <w:tcPr>
            <w:tcW w:type="dxa" w:w="1205"/>
            <w:shd w:fill="1F2A44" w:val="clear"/>
            <w:tcMar>
              <w:top w:type="dxa" w:w="80"/>
              <w:left w:type="dxa" w:w="100"/>
              <w:bottom w:type="dxa" w:w="80"/>
              <w:right w:type="dxa" w:w="100"/>
            </w:tcMar>
            <w:vAlign w:val="top"/>
          </w:tcPr>
          <w:p>
            <w:pPr>
              <w:jc w:val="left"/>
            </w:pPr>
            <w:r>
              <w:rPr>
                <w:b/>
                <w:bCs/>
                <w:color w:val="FFFFFF"/>
                <w:sz w:val="19"/>
                <w:szCs w:val="19"/>
              </w:rPr>
              <w:t xml:space="preserve">Remaining Condition</w:t>
            </w:r>
          </w:p>
        </w:tc>
        <w:tc>
          <w:tcPr>
            <w:tcW w:type="dxa" w:w="1761"/>
            <w:shd w:fill="1F2A44" w:val="clear"/>
            <w:tcMar>
              <w:top w:type="dxa" w:w="80"/>
              <w:left w:type="dxa" w:w="100"/>
              <w:bottom w:type="dxa" w:w="80"/>
              <w:right w:type="dxa" w:w="100"/>
            </w:tcMar>
            <w:vAlign w:val="top"/>
          </w:tcPr>
          <w:p>
            <w:pPr>
              <w:jc w:val="left"/>
            </w:pPr>
            <w:r>
              <w:rPr>
                <w:b/>
                <w:bCs/>
                <w:color w:val="FFFFFF"/>
                <w:sz w:val="19"/>
                <w:szCs w:val="19"/>
              </w:rPr>
              <w:t xml:space="preserve">Exec. Assessment</w:t>
            </w:r>
          </w:p>
        </w:tc>
      </w:tr>
      <w:tr>
        <w:tc>
          <w:tcPr>
            <w:tcW w:type="dxa" w:w="1483"/>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w:t>
            </w:r>
          </w:p>
        </w:tc>
        <w:tc>
          <w:tcPr>
            <w:tcW w:type="dxa" w:w="2039"/>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Risk — current document describes a schema never built, misdirecting future work</w:t>
            </w:r>
          </w:p>
        </w:tc>
        <w:tc>
          <w:tcPr>
            <w:tcW w:type="dxa" w:w="1297"/>
            <w:shd w:fill="FFFFFF" w:val="clear"/>
            <w:tcMar>
              <w:top w:type="dxa" w:w="80"/>
              <w:left w:type="dxa" w:w="100"/>
              <w:bottom w:type="dxa" w:w="80"/>
              <w:right w:type="dxa" w:w="100"/>
            </w:tcMar>
            <w:vAlign w:val="top"/>
          </w:tcPr>
          <w:p>
            <w:pPr>
              <w:jc w:val="left"/>
            </w:pPr>
            <w:r>
              <w:rPr>
                <w:b w:val="false"/>
                <w:bCs w:val="false"/>
                <w:color w:val="1A1A1A"/>
                <w:sz w:val="19"/>
                <w:szCs w:val="19"/>
              </w:rPr>
              <w:t xml:space="preserve">High (confirmed, already occurring)</w:t>
            </w:r>
          </w:p>
        </w:tc>
        <w:tc>
          <w:tcPr>
            <w:tcW w:type="dxa" w:w="1575"/>
            <w:shd w:fill="FFFFFF" w:val="clear"/>
            <w:tcMar>
              <w:top w:type="dxa" w:w="80"/>
              <w:left w:type="dxa" w:w="100"/>
              <w:bottom w:type="dxa" w:w="80"/>
              <w:right w:type="dxa" w:w="100"/>
            </w:tcMar>
            <w:vAlign w:val="top"/>
          </w:tcPr>
          <w:p>
            <w:pPr>
              <w:jc w:val="left"/>
            </w:pPr>
            <w:r>
              <w:rPr>
                <w:b w:val="false"/>
                <w:bCs w:val="false"/>
                <w:color w:val="1A1A1A"/>
                <w:sz w:val="19"/>
                <w:szCs w:val="19"/>
              </w:rPr>
              <w:t xml:space="preserve">Phase A.1/A.3 treated as authoritative interim reference</w:t>
            </w:r>
          </w:p>
        </w:tc>
        <w:tc>
          <w:tcPr>
            <w:tcW w:type="dxa" w:w="1205"/>
            <w:shd w:fill="FFFFFF" w:val="clear"/>
            <w:tcMar>
              <w:top w:type="dxa" w:w="80"/>
              <w:left w:type="dxa" w:w="100"/>
              <w:bottom w:type="dxa" w:w="80"/>
              <w:right w:type="dxa" w:w="100"/>
            </w:tcMar>
            <w:vAlign w:val="top"/>
          </w:tcPr>
          <w:p>
            <w:pPr>
              <w:jc w:val="left"/>
            </w:pPr>
            <w:r>
              <w:rPr>
                <w:b w:val="false"/>
                <w:bCs w:val="false"/>
                <w:color w:val="1A1A1A"/>
                <w:sz w:val="19"/>
                <w:szCs w:val="19"/>
              </w:rPr>
              <w:t xml:space="preserve">Pending WP-0001 publication</w:t>
            </w:r>
          </w:p>
        </w:tc>
        <w:tc>
          <w:tcPr>
            <w:tcW w:type="dxa" w:w="1761"/>
            <w:shd w:fill="FFFFFF" w:val="clear"/>
            <w:tcMar>
              <w:top w:type="dxa" w:w="80"/>
              <w:left w:type="dxa" w:w="100"/>
              <w:bottom w:type="dxa" w:w="80"/>
              <w:right w:type="dxa" w:w="100"/>
            </w:tcMar>
            <w:vAlign w:val="top"/>
          </w:tcPr>
          <w:p>
            <w:pPr>
              <w:jc w:val="left"/>
            </w:pPr>
            <w:r>
              <w:rPr>
                <w:b w:val="false"/>
                <w:bCs w:val="false"/>
                <w:color w:val="1A1A1A"/>
                <w:sz w:val="19"/>
                <w:szCs w:val="19"/>
              </w:rPr>
              <w:t xml:space="preserve">Single top-rated confirmed risk in the baseline</w:t>
            </w:r>
          </w:p>
        </w:tc>
      </w:tr>
      <w:tr>
        <w:tc>
          <w:tcPr>
            <w:tcW w:type="dxa" w:w="1483"/>
            <w:shd w:fill="EEF1F5" w:val="clear"/>
            <w:tcMar>
              <w:top w:type="dxa" w:w="80"/>
              <w:left w:type="dxa" w:w="100"/>
              <w:bottom w:type="dxa" w:w="80"/>
              <w:right w:type="dxa" w:w="100"/>
            </w:tcMar>
            <w:vAlign w:val="top"/>
          </w:tcPr>
          <w:p>
            <w:pPr>
              <w:jc w:val="left"/>
            </w:pPr>
            <w:r>
              <w:rPr>
                <w:b w:val="false"/>
                <w:bCs w:val="false"/>
                <w:color w:val="1A1A1A"/>
                <w:sz w:val="19"/>
                <w:szCs w:val="19"/>
              </w:rPr>
              <w:t xml:space="preserve">Database</w:t>
            </w:r>
          </w:p>
        </w:tc>
        <w:tc>
          <w:tcPr>
            <w:tcW w:type="dxa" w:w="2039"/>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Risk — RLS coverage on activity/cognitive/signal tables unknown until checked</w:t>
            </w:r>
          </w:p>
        </w:tc>
        <w:tc>
          <w:tcPr>
            <w:tcW w:type="dxa" w:w="1297"/>
            <w:shd w:fill="EEF1F5" w:val="clear"/>
            <w:tcMar>
              <w:top w:type="dxa" w:w="80"/>
              <w:left w:type="dxa" w:w="100"/>
              <w:bottom w:type="dxa" w:w="80"/>
              <w:right w:type="dxa" w:w="100"/>
            </w:tcMar>
            <w:vAlign w:val="top"/>
          </w:tcPr>
          <w:p>
            <w:pPr>
              <w:jc w:val="left"/>
            </w:pPr>
            <w:r>
              <w:rPr>
                <w:b w:val="false"/>
                <w:bCs w:val="false"/>
                <w:color w:val="1A1A1A"/>
                <w:sz w:val="19"/>
                <w:szCs w:val="19"/>
              </w:rPr>
              <w:t xml:space="preserve">High-until-verified</w:t>
            </w:r>
          </w:p>
        </w:tc>
        <w:tc>
          <w:tcPr>
            <w:tcW w:type="dxa" w:w="1575"/>
            <w:shd w:fill="EEF1F5" w:val="clear"/>
            <w:tcMar>
              <w:top w:type="dxa" w:w="80"/>
              <w:left w:type="dxa" w:w="100"/>
              <w:bottom w:type="dxa" w:w="80"/>
              <w:right w:type="dxa" w:w="100"/>
            </w:tcMar>
            <w:vAlign w:val="top"/>
          </w:tcPr>
          <w:p>
            <w:pPr>
              <w:jc w:val="left"/>
            </w:pPr>
            <w:r>
              <w:rPr>
                <w:b w:val="false"/>
                <w:bCs w:val="false"/>
                <w:color w:val="1A1A1A"/>
                <w:sz w:val="19"/>
                <w:szCs w:val="19"/>
              </w:rPr>
              <w:t xml:space="preserve">Proven RLS pattern already confirmed on two tables</w:t>
            </w:r>
          </w:p>
        </w:tc>
        <w:tc>
          <w:tcPr>
            <w:tcW w:type="dxa" w:w="1205"/>
            <w:shd w:fill="EEF1F5" w:val="clear"/>
            <w:tcMar>
              <w:top w:type="dxa" w:w="80"/>
              <w:left w:type="dxa" w:w="100"/>
              <w:bottom w:type="dxa" w:w="80"/>
              <w:right w:type="dxa" w:w="100"/>
            </w:tcMar>
            <w:vAlign w:val="top"/>
          </w:tcPr>
          <w:p>
            <w:pPr>
              <w:jc w:val="left"/>
            </w:pPr>
            <w:r>
              <w:rPr>
                <w:b w:val="false"/>
                <w:bCs w:val="false"/>
                <w:color w:val="1A1A1A"/>
                <w:sz w:val="19"/>
                <w:szCs w:val="19"/>
              </w:rPr>
              <w:t xml:space="preserve">Pending WP-0002 execution</w:t>
            </w:r>
          </w:p>
        </w:tc>
        <w:tc>
          <w:tcPr>
            <w:tcW w:type="dxa" w:w="1761"/>
            <w:shd w:fill="EEF1F5" w:val="clear"/>
            <w:tcMar>
              <w:top w:type="dxa" w:w="80"/>
              <w:left w:type="dxa" w:w="100"/>
              <w:bottom w:type="dxa" w:w="80"/>
              <w:right w:type="dxa" w:w="100"/>
            </w:tcMar>
            <w:vAlign w:val="top"/>
          </w:tcPr>
          <w:p>
            <w:pPr>
              <w:jc w:val="left"/>
            </w:pPr>
            <w:r>
              <w:rPr>
                <w:b w:val="false"/>
                <w:bCs w:val="false"/>
                <w:color w:val="1A1A1A"/>
                <w:sz w:val="19"/>
                <w:szCs w:val="19"/>
              </w:rPr>
              <w:t xml:space="preserve">Highest-leverage open item; startable immediately</w:t>
            </w:r>
          </w:p>
        </w:tc>
      </w:tr>
      <w:tr>
        <w:tc>
          <w:tcPr>
            <w:tcW w:type="dxa" w:w="1483"/>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w:t>
            </w:r>
          </w:p>
        </w:tc>
        <w:tc>
          <w:tcPr>
            <w:tcW w:type="dxa" w:w="2039"/>
            <w:shd w:fill="FFFFFF" w:val="clear"/>
            <w:tcMar>
              <w:top w:type="dxa" w:w="80"/>
              <w:left w:type="dxa" w:w="100"/>
              <w:bottom w:type="dxa" w:w="80"/>
              <w:right w:type="dxa" w:w="100"/>
            </w:tcMar>
            <w:vAlign w:val="top"/>
          </w:tcPr>
          <w:p>
            <w:pPr>
              <w:jc w:val="left"/>
            </w:pPr>
            <w:r>
              <w:rPr>
                <w:b w:val="false"/>
                <w:bCs w:val="false"/>
                <w:color w:val="1A1A1A"/>
                <w:sz w:val="19"/>
                <w:szCs w:val="19"/>
              </w:rPr>
              <w:t xml:space="preserve">Migration Risk — unpartitioned high-growth tables</w:t>
            </w:r>
          </w:p>
        </w:tc>
        <w:tc>
          <w:tcPr>
            <w:tcW w:type="dxa" w:w="1297"/>
            <w:shd w:fill="FFFFFF" w:val="clear"/>
            <w:tcMar>
              <w:top w:type="dxa" w:w="80"/>
              <w:left w:type="dxa" w:w="100"/>
              <w:bottom w:type="dxa" w:w="80"/>
              <w:right w:type="dxa" w:w="100"/>
            </w:tcMar>
            <w:vAlign w:val="top"/>
          </w:tcPr>
          <w:p>
            <w:pPr>
              <w:jc w:val="left"/>
            </w:pPr>
            <w:r>
              <w:rPr>
                <w:b w:val="false"/>
                <w:bCs w:val="false"/>
                <w:color w:val="1A1A1A"/>
                <w:sz w:val="19"/>
                <w:szCs w:val="19"/>
              </w:rPr>
              <w:t xml:space="preserve">Medium, growing over time</w:t>
            </w:r>
          </w:p>
        </w:tc>
        <w:tc>
          <w:tcPr>
            <w:tcW w:type="dxa" w:w="1575"/>
            <w:shd w:fill="FFFFFF" w:val="clear"/>
            <w:tcMar>
              <w:top w:type="dxa" w:w="80"/>
              <w:left w:type="dxa" w:w="100"/>
              <w:bottom w:type="dxa" w:w="80"/>
              <w:right w:type="dxa" w:w="100"/>
            </w:tcMar>
            <w:vAlign w:val="top"/>
          </w:tcPr>
          <w:p>
            <w:pPr>
              <w:jc w:val="left"/>
            </w:pPr>
            <w:r>
              <w:rPr>
                <w:b w:val="false"/>
                <w:bCs w:val="false"/>
                <w:color w:val="1A1A1A"/>
                <w:sz w:val="19"/>
                <w:szCs w:val="19"/>
              </w:rPr>
              <w:t xml:space="preserve">Quarterly monitoring against EGD-0004 trigger</w:t>
            </w:r>
          </w:p>
        </w:tc>
        <w:tc>
          <w:tcPr>
            <w:tcW w:type="dxa" w:w="1205"/>
            <w:shd w:fill="FFFFFF" w:val="clear"/>
            <w:tcMar>
              <w:top w:type="dxa" w:w="80"/>
              <w:left w:type="dxa" w:w="100"/>
              <w:bottom w:type="dxa" w:w="80"/>
              <w:right w:type="dxa" w:w="100"/>
            </w:tcMar>
            <w:vAlign w:val="top"/>
          </w:tcPr>
          <w:p>
            <w:pPr>
              <w:jc w:val="left"/>
            </w:pPr>
            <w:r>
              <w:rPr>
                <w:b w:val="false"/>
                <w:bCs w:val="false"/>
                <w:color w:val="1A1A1A"/>
                <w:sz w:val="19"/>
                <w:szCs w:val="19"/>
              </w:rPr>
              <w:t xml:space="preserve">Trigger not yet fired</w:t>
            </w:r>
          </w:p>
        </w:tc>
        <w:tc>
          <w:tcPr>
            <w:tcW w:type="dxa" w:w="1761"/>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on the critical path; monitoring-only</w:t>
            </w:r>
          </w:p>
        </w:tc>
      </w:tr>
      <w:tr>
        <w:tc>
          <w:tcPr>
            <w:tcW w:type="dxa" w:w="1483"/>
            <w:shd w:fill="EEF1F5" w:val="clear"/>
            <w:tcMar>
              <w:top w:type="dxa" w:w="80"/>
              <w:left w:type="dxa" w:w="100"/>
              <w:bottom w:type="dxa" w:w="80"/>
              <w:right w:type="dxa" w:w="100"/>
            </w:tcMar>
            <w:vAlign w:val="top"/>
          </w:tcPr>
          <w:p>
            <w:pPr>
              <w:jc w:val="left"/>
            </w:pPr>
            <w:r>
              <w:rPr>
                <w:b w:val="false"/>
                <w:bCs w:val="false"/>
                <w:color w:val="1A1A1A"/>
                <w:sz w:val="19"/>
                <w:szCs w:val="19"/>
              </w:rPr>
              <w:t xml:space="preserve">Test</w:t>
            </w:r>
          </w:p>
        </w:tc>
        <w:tc>
          <w:tcPr>
            <w:tcW w:type="dxa" w:w="2039"/>
            <w:shd w:fill="EEF1F5" w:val="clear"/>
            <w:tcMar>
              <w:top w:type="dxa" w:w="80"/>
              <w:left w:type="dxa" w:w="100"/>
              <w:bottom w:type="dxa" w:w="80"/>
              <w:right w:type="dxa" w:w="100"/>
            </w:tcMar>
            <w:vAlign w:val="top"/>
          </w:tcPr>
          <w:p>
            <w:pPr>
              <w:jc w:val="left"/>
            </w:pPr>
            <w:r>
              <w:rPr>
                <w:b w:val="false"/>
                <w:bCs w:val="false"/>
                <w:color w:val="1A1A1A"/>
                <w:sz w:val="19"/>
                <w:szCs w:val="19"/>
              </w:rPr>
              <w:t xml:space="preserve">Security Risk — tied directly to Database Repository's Security Risk</w:t>
            </w:r>
          </w:p>
        </w:tc>
        <w:tc>
          <w:tcPr>
            <w:tcW w:type="dxa" w:w="1297"/>
            <w:shd w:fill="EEF1F5" w:val="clear"/>
            <w:tcMar>
              <w:top w:type="dxa" w:w="80"/>
              <w:left w:type="dxa" w:w="100"/>
              <w:bottom w:type="dxa" w:w="80"/>
              <w:right w:type="dxa" w:w="100"/>
            </w:tcMar>
            <w:vAlign w:val="top"/>
          </w:tcPr>
          <w:p>
            <w:pPr>
              <w:jc w:val="left"/>
            </w:pPr>
            <w:r>
              <w:rPr>
                <w:b w:val="false"/>
                <w:bCs w:val="false"/>
                <w:color w:val="1A1A1A"/>
                <w:sz w:val="19"/>
                <w:szCs w:val="19"/>
              </w:rPr>
              <w:t xml:space="preserve">Same as Database Security Risk</w:t>
            </w:r>
          </w:p>
        </w:tc>
        <w:tc>
          <w:tcPr>
            <w:tcW w:type="dxa" w:w="1575"/>
            <w:shd w:fill="EEF1F5" w:val="clear"/>
            <w:tcMar>
              <w:top w:type="dxa" w:w="80"/>
              <w:left w:type="dxa" w:w="100"/>
              <w:bottom w:type="dxa" w:w="80"/>
              <w:right w:type="dxa" w:w="100"/>
            </w:tcMar>
            <w:vAlign w:val="top"/>
          </w:tcPr>
          <w:p>
            <w:pPr>
              <w:jc w:val="left"/>
            </w:pPr>
            <w:r>
              <w:rPr>
                <w:b w:val="false"/>
                <w:bCs w:val="false"/>
                <w:color w:val="1A1A1A"/>
                <w:sz w:val="19"/>
                <w:szCs w:val="19"/>
              </w:rPr>
              <w:t xml:space="preserve">Same mitigation — WP-0002 execution</w:t>
            </w:r>
          </w:p>
        </w:tc>
        <w:tc>
          <w:tcPr>
            <w:tcW w:type="dxa" w:w="1205"/>
            <w:shd w:fill="EEF1F5" w:val="clear"/>
            <w:tcMar>
              <w:top w:type="dxa" w:w="80"/>
              <w:left w:type="dxa" w:w="100"/>
              <w:bottom w:type="dxa" w:w="80"/>
              <w:right w:type="dxa" w:w="100"/>
            </w:tcMar>
            <w:vAlign w:val="top"/>
          </w:tcPr>
          <w:p>
            <w:pPr>
              <w:jc w:val="left"/>
            </w:pPr>
            <w:r>
              <w:rPr>
                <w:b w:val="false"/>
                <w:bCs w:val="false"/>
                <w:color w:val="1A1A1A"/>
                <w:sz w:val="19"/>
                <w:szCs w:val="19"/>
              </w:rPr>
              <w:t xml:space="preserve">Pending WP-0002 execution</w:t>
            </w:r>
          </w:p>
        </w:tc>
        <w:tc>
          <w:tcPr>
            <w:tcW w:type="dxa" w:w="1761"/>
            <w:shd w:fill="EEF1F5" w:val="clear"/>
            <w:tcMar>
              <w:top w:type="dxa" w:w="80"/>
              <w:left w:type="dxa" w:w="100"/>
              <w:bottom w:type="dxa" w:w="80"/>
              <w:right w:type="dxa" w:w="100"/>
            </w:tcMar>
            <w:vAlign w:val="top"/>
          </w:tcPr>
          <w:p>
            <w:pPr>
              <w:jc w:val="left"/>
            </w:pPr>
            <w:r>
              <w:rPr>
                <w:b w:val="false"/>
                <w:bCs w:val="false"/>
                <w:color w:val="1A1A1A"/>
                <w:sz w:val="19"/>
                <w:szCs w:val="19"/>
              </w:rPr>
              <w:t xml:space="preserve">No independent Test-repository risk beyond Database linkage</w:t>
            </w:r>
          </w:p>
        </w:tc>
      </w:tr>
      <w:tr>
        <w:tc>
          <w:tcPr>
            <w:tcW w:type="dxa" w:w="1483"/>
            <w:shd w:fill="FFFFFF" w:val="clear"/>
            <w:tcMar>
              <w:top w:type="dxa" w:w="80"/>
              <w:left w:type="dxa" w:w="100"/>
              <w:bottom w:type="dxa" w:w="80"/>
              <w:right w:type="dxa" w:w="100"/>
            </w:tcMar>
            <w:vAlign w:val="top"/>
          </w:tcPr>
          <w:p>
            <w:pPr>
              <w:jc w:val="left"/>
            </w:pPr>
            <w:r>
              <w:rPr>
                <w:b w:val="false"/>
                <w:bCs w:val="false"/>
                <w:color w:val="1A1A1A"/>
                <w:sz w:val="19"/>
                <w:szCs w:val="19"/>
              </w:rPr>
              <w:t xml:space="preserve">Backend / Frontend / Integration / AI / Infrastructure</w:t>
            </w:r>
          </w:p>
        </w:tc>
        <w:tc>
          <w:tcPr>
            <w:tcW w:type="dxa" w:w="20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risk assessment asserted</w:t>
            </w:r>
          </w:p>
        </w:tc>
        <w:tc>
          <w:tcPr>
            <w:tcW w:type="dxa" w:w="1297"/>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7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205"/>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761"/>
            <w:shd w:fill="FFFFFF" w:val="clear"/>
            <w:tcMar>
              <w:top w:type="dxa" w:w="80"/>
              <w:left w:type="dxa" w:w="100"/>
              <w:bottom w:type="dxa" w:w="80"/>
              <w:right w:type="dxa" w:w="100"/>
            </w:tcMar>
            <w:vAlign w:val="top"/>
          </w:tcPr>
          <w:p>
            <w:pPr>
              <w:jc w:val="left"/>
            </w:pPr>
            <w:r>
              <w:rPr>
                <w:b w:val="false"/>
                <w:bCs w:val="false"/>
                <w:color w:val="1A1A1A"/>
                <w:sz w:val="19"/>
                <w:szCs w:val="19"/>
              </w:rPr>
              <w:t xml:space="preserve">Asserting a rating without approved scope would fabricate a claim the baseline does not support</w:t>
            </w:r>
          </w:p>
        </w:tc>
      </w:tr>
    </w:tbl>
    <w:p>
      <w:r>
        <w:br w:type="page"/>
      </w:r>
    </w:p>
    <w:p>
      <w:pPr>
        <w:pStyle w:val="Heading2"/>
        <w:spacing w:after="200" w:before="360"/>
      </w:pPr>
      <w:r>
        <w:rPr>
          <w:b/>
          <w:bCs/>
          <w:color w:val="3E5C76"/>
          <w:sz w:val="26"/>
          <w:szCs w:val="26"/>
        </w:rPr>
        <w:t xml:space="preserve">10.6.8 — Repository Executive Decision Matrix</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1163"/>
        <w:gridCol w:w="1521"/>
        <w:gridCol w:w="1700"/>
        <w:gridCol w:w="1521"/>
        <w:gridCol w:w="1790"/>
        <w:gridCol w:w="1664"/>
      </w:tblGrid>
      <w:tr>
        <w:trPr>
          <w:tblHeader/>
        </w:trPr>
        <w:tc>
          <w:tcPr>
            <w:tcW w:type="dxa" w:w="1163"/>
            <w:shd w:fill="1F2A44" w:val="clear"/>
            <w:tcMar>
              <w:top w:type="dxa" w:w="80"/>
              <w:left w:type="dxa" w:w="100"/>
              <w:bottom w:type="dxa" w:w="80"/>
              <w:right w:type="dxa" w:w="100"/>
            </w:tcMar>
            <w:vAlign w:val="top"/>
          </w:tcPr>
          <w:p>
            <w:pPr>
              <w:jc w:val="left"/>
            </w:pPr>
            <w:r>
              <w:rPr>
                <w:b/>
                <w:bCs/>
                <w:color w:val="FFFFFF"/>
                <w:sz w:val="19"/>
                <w:szCs w:val="19"/>
              </w:rPr>
              <w:t xml:space="preserve">Repository</w:t>
            </w:r>
          </w:p>
        </w:tc>
        <w:tc>
          <w:tcPr>
            <w:tcW w:type="dxa" w:w="1521"/>
            <w:shd w:fill="1F2A44" w:val="clear"/>
            <w:tcMar>
              <w:top w:type="dxa" w:w="80"/>
              <w:left w:type="dxa" w:w="100"/>
              <w:bottom w:type="dxa" w:w="80"/>
              <w:right w:type="dxa" w:w="100"/>
            </w:tcMar>
            <w:vAlign w:val="top"/>
          </w:tcPr>
          <w:p>
            <w:pPr>
              <w:jc w:val="left"/>
            </w:pPr>
            <w:r>
              <w:rPr>
                <w:b/>
                <w:bCs/>
                <w:color w:val="FFFFFF"/>
                <w:sz w:val="19"/>
                <w:szCs w:val="19"/>
              </w:rPr>
              <w:t xml:space="preserve">Executive Decision</w:t>
            </w:r>
          </w:p>
        </w:tc>
        <w:tc>
          <w:tcPr>
            <w:tcW w:type="dxa" w:w="1700"/>
            <w:shd w:fill="1F2A44" w:val="clear"/>
            <w:tcMar>
              <w:top w:type="dxa" w:w="80"/>
              <w:left w:type="dxa" w:w="100"/>
              <w:bottom w:type="dxa" w:w="80"/>
              <w:right w:type="dxa" w:w="100"/>
            </w:tcMar>
            <w:vAlign w:val="top"/>
          </w:tcPr>
          <w:p>
            <w:pPr>
              <w:jc w:val="left"/>
            </w:pPr>
            <w:r>
              <w:rPr>
                <w:b/>
                <w:bCs/>
                <w:color w:val="FFFFFF"/>
                <w:sz w:val="19"/>
                <w:szCs w:val="19"/>
              </w:rPr>
              <w:t xml:space="preserve">Supporting Evidence</w:t>
            </w:r>
          </w:p>
        </w:tc>
        <w:tc>
          <w:tcPr>
            <w:tcW w:type="dxa" w:w="1521"/>
            <w:shd w:fill="1F2A44" w:val="clear"/>
            <w:tcMar>
              <w:top w:type="dxa" w:w="80"/>
              <w:left w:type="dxa" w:w="100"/>
              <w:bottom w:type="dxa" w:w="80"/>
              <w:right w:type="dxa" w:w="100"/>
            </w:tcMar>
            <w:vAlign w:val="top"/>
          </w:tcPr>
          <w:p>
            <w:pPr>
              <w:jc w:val="left"/>
            </w:pPr>
            <w:r>
              <w:rPr>
                <w:b/>
                <w:bCs/>
                <w:color w:val="FFFFFF"/>
                <w:sz w:val="19"/>
                <w:szCs w:val="19"/>
              </w:rPr>
              <w:t xml:space="preserve">Blocking Conditions</w:t>
            </w:r>
          </w:p>
        </w:tc>
        <w:tc>
          <w:tcPr>
            <w:tcW w:type="dxa" w:w="1790"/>
            <w:shd w:fill="1F2A44" w:val="clear"/>
            <w:tcMar>
              <w:top w:type="dxa" w:w="80"/>
              <w:left w:type="dxa" w:w="100"/>
              <w:bottom w:type="dxa" w:w="80"/>
              <w:right w:type="dxa" w:w="100"/>
            </w:tcMar>
            <w:vAlign w:val="top"/>
          </w:tcPr>
          <w:p>
            <w:pPr>
              <w:jc w:val="left"/>
            </w:pPr>
            <w:r>
              <w:rPr>
                <w:b/>
                <w:bCs/>
                <w:color w:val="FFFFFF"/>
                <w:sz w:val="19"/>
                <w:szCs w:val="19"/>
              </w:rPr>
              <w:t xml:space="preserve">Immediate Next Approved Action</w:t>
            </w:r>
          </w:p>
        </w:tc>
        <w:tc>
          <w:tcPr>
            <w:tcW w:type="dxa" w:w="1664"/>
            <w:shd w:fill="1F2A44" w:val="clear"/>
            <w:tcMar>
              <w:top w:type="dxa" w:w="80"/>
              <w:left w:type="dxa" w:w="100"/>
              <w:bottom w:type="dxa" w:w="80"/>
              <w:right w:type="dxa" w:w="100"/>
            </w:tcMar>
            <w:vAlign w:val="top"/>
          </w:tcPr>
          <w:p>
            <w:pPr>
              <w:jc w:val="left"/>
            </w:pPr>
            <w:r>
              <w:rPr>
                <w:b/>
                <w:bCs/>
                <w:color w:val="FFFFFF"/>
                <w:sz w:val="19"/>
                <w:szCs w:val="19"/>
              </w:rPr>
              <w:t xml:space="preserve">Exec. Recommendation</w:t>
            </w:r>
          </w:p>
        </w:tc>
      </w:tr>
      <w:tr>
        <w:tc>
          <w:tcPr>
            <w:tcW w:type="dxa" w:w="1163"/>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Proceed</w:t>
            </w:r>
          </w:p>
        </w:tc>
        <w:tc>
          <w:tcPr>
            <w:tcW w:type="dxa" w:w="1700"/>
            <w:shd w:fill="FFFFFF" w:val="clear"/>
            <w:tcMar>
              <w:top w:type="dxa" w:w="80"/>
              <w:left w:type="dxa" w:w="100"/>
              <w:bottom w:type="dxa" w:w="80"/>
              <w:right w:type="dxa" w:w="100"/>
            </w:tcMar>
            <w:vAlign w:val="top"/>
          </w:tcPr>
          <w:p>
            <w:pPr>
              <w:jc w:val="left"/>
            </w:pPr>
            <w:r>
              <w:rPr>
                <w:b w:val="false"/>
                <w:bCs w:val="false"/>
                <w:color w:val="1A1A1A"/>
                <w:sz w:val="19"/>
                <w:szCs w:val="19"/>
              </w:rPr>
              <w:t xml:space="preserve">Section 3 Documentation Repository profile; Phase A.1 §13</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790"/>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 WP-0001 (revision) and WP-0004 (taxonomy documentation)</w:t>
            </w:r>
          </w:p>
        </w:tc>
        <w:tc>
          <w:tcPr>
            <w:tcW w:type="dxa" w:w="1664"/>
            <w:shd w:fill="FFFFFF" w:val="clear"/>
            <w:tcMar>
              <w:top w:type="dxa" w:w="80"/>
              <w:left w:type="dxa" w:w="100"/>
              <w:bottom w:type="dxa" w:w="80"/>
              <w:right w:type="dxa" w:w="100"/>
            </w:tcMar>
            <w:vAlign w:val="top"/>
          </w:tcPr>
          <w:p>
            <w:pPr>
              <w:jc w:val="left"/>
            </w:pPr>
            <w:r>
              <w:rPr>
                <w:b w:val="false"/>
                <w:bCs w:val="false"/>
                <w:color w:val="1A1A1A"/>
                <w:sz w:val="19"/>
                <w:szCs w:val="19"/>
              </w:rPr>
              <w:t xml:space="preserve">Resolves the baseline's top-rated confirmed risk; execute without delay</w:t>
            </w:r>
          </w:p>
        </w:tc>
      </w:tr>
      <w:tr>
        <w:tc>
          <w:tcPr>
            <w:tcW w:type="dxa" w:w="1163"/>
            <w:shd w:fill="EEF1F5" w:val="clear"/>
            <w:tcMar>
              <w:top w:type="dxa" w:w="80"/>
              <w:left w:type="dxa" w:w="100"/>
              <w:bottom w:type="dxa" w:w="80"/>
              <w:right w:type="dxa" w:w="100"/>
            </w:tcMar>
            <w:vAlign w:val="top"/>
          </w:tcPr>
          <w:p>
            <w:pPr>
              <w:jc w:val="left"/>
            </w:pPr>
            <w:r>
              <w:rPr>
                <w:b w:val="false"/>
                <w:bCs w:val="false"/>
                <w:color w:val="1A1A1A"/>
                <w:sz w:val="19"/>
                <w:szCs w:val="19"/>
              </w:rPr>
              <w:t xml:space="preserve">Database</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Proceed</w:t>
            </w:r>
          </w:p>
        </w:tc>
        <w:tc>
          <w:tcPr>
            <w:tcW w:type="dxa" w:w="1700"/>
            <w:shd w:fill="EEF1F5" w:val="clear"/>
            <w:tcMar>
              <w:top w:type="dxa" w:w="80"/>
              <w:left w:type="dxa" w:w="100"/>
              <w:bottom w:type="dxa" w:w="80"/>
              <w:right w:type="dxa" w:w="100"/>
            </w:tcMar>
            <w:vAlign w:val="top"/>
          </w:tcPr>
          <w:p>
            <w:pPr>
              <w:jc w:val="left"/>
            </w:pPr>
            <w:r>
              <w:rPr>
                <w:b w:val="false"/>
                <w:bCs w:val="false"/>
                <w:color w:val="1A1A1A"/>
                <w:sz w:val="19"/>
                <w:szCs w:val="19"/>
              </w:rPr>
              <w:t xml:space="preserve">Section 3 Database Repository profile; Phase A.2 §8</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None for WP-0002/0004/0005; external data for WP-0003</w:t>
            </w:r>
          </w:p>
        </w:tc>
        <w:tc>
          <w:tcPr>
            <w:tcW w:type="dxa" w:w="1790"/>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Execute WP-0002 (RLS verification) immediately</w:t>
            </w:r>
          </w:p>
        </w:tc>
        <w:tc>
          <w:tcPr>
            <w:tcW w:type="dxa" w:w="1664"/>
            <w:shd w:fill="EEF1F5" w:val="clear"/>
            <w:tcMar>
              <w:top w:type="dxa" w:w="80"/>
              <w:left w:type="dxa" w:w="100"/>
              <w:bottom w:type="dxa" w:w="80"/>
              <w:right w:type="dxa" w:w="100"/>
            </w:tcMar>
            <w:vAlign w:val="top"/>
          </w:tcPr>
          <w:p>
            <w:pPr>
              <w:jc w:val="left"/>
            </w:pPr>
            <w:r>
              <w:rPr>
                <w:b w:val="false"/>
                <w:bCs w:val="false"/>
                <w:color w:val="1A1A1A"/>
                <w:sz w:val="19"/>
                <w:szCs w:val="19"/>
              </w:rPr>
              <w:t xml:space="preserve">Highest-leverage open item across the entire repository landscape</w:t>
            </w:r>
          </w:p>
        </w:tc>
      </w:tr>
      <w:tr>
        <w:tc>
          <w:tcPr>
            <w:tcW w:type="dxa" w:w="1163"/>
            <w:shd w:fill="FFFFFF" w:val="clear"/>
            <w:tcMar>
              <w:top w:type="dxa" w:w="80"/>
              <w:left w:type="dxa" w:w="100"/>
              <w:bottom w:type="dxa" w:w="80"/>
              <w:right w:type="dxa" w:w="100"/>
            </w:tcMar>
            <w:vAlign w:val="top"/>
          </w:tcPr>
          <w:p>
            <w:pPr>
              <w:jc w:val="left"/>
            </w:pPr>
            <w:r>
              <w:rPr>
                <w:b w:val="false"/>
                <w:bCs w:val="false"/>
                <w:color w:val="1A1A1A"/>
                <w:sz w:val="19"/>
                <w:szCs w:val="19"/>
              </w:rPr>
              <w:t xml:space="preserve">Backend</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00"/>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90"/>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664"/>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163"/>
            <w:shd w:fill="EEF1F5" w:val="clear"/>
            <w:tcMar>
              <w:top w:type="dxa" w:w="80"/>
              <w:left w:type="dxa" w:w="100"/>
              <w:bottom w:type="dxa" w:w="80"/>
              <w:right w:type="dxa" w:w="100"/>
            </w:tcMar>
            <w:vAlign w:val="top"/>
          </w:tcPr>
          <w:p>
            <w:pPr>
              <w:jc w:val="left"/>
            </w:pPr>
            <w:r>
              <w:rPr>
                <w:b w:val="false"/>
                <w:bCs w:val="false"/>
                <w:color w:val="1A1A1A"/>
                <w:sz w:val="19"/>
                <w:szCs w:val="19"/>
              </w:rPr>
              <w:t xml:space="preserve">Frontend</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00"/>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90"/>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664"/>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163"/>
            <w:shd w:fill="FFFFFF" w:val="clear"/>
            <w:tcMar>
              <w:top w:type="dxa" w:w="80"/>
              <w:left w:type="dxa" w:w="100"/>
              <w:bottom w:type="dxa" w:w="80"/>
              <w:right w:type="dxa" w:w="100"/>
            </w:tcMar>
            <w:vAlign w:val="top"/>
          </w:tcPr>
          <w:p>
            <w:pPr>
              <w:jc w:val="left"/>
            </w:pPr>
            <w:r>
              <w:rPr>
                <w:b w:val="false"/>
                <w:bCs w:val="false"/>
                <w:color w:val="1A1A1A"/>
                <w:sz w:val="19"/>
                <w:szCs w:val="19"/>
              </w:rPr>
              <w:t xml:space="preserve">Test</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Proceed, alongside Database</w:t>
            </w:r>
          </w:p>
        </w:tc>
        <w:tc>
          <w:tcPr>
            <w:tcW w:type="dxa" w:w="1700"/>
            <w:shd w:fill="FFFFFF" w:val="clear"/>
            <w:tcMar>
              <w:top w:type="dxa" w:w="80"/>
              <w:left w:type="dxa" w:w="100"/>
              <w:bottom w:type="dxa" w:w="80"/>
              <w:right w:type="dxa" w:w="100"/>
            </w:tcMar>
            <w:vAlign w:val="top"/>
          </w:tcPr>
          <w:p>
            <w:pPr>
              <w:jc w:val="left"/>
            </w:pPr>
            <w:r>
              <w:rPr>
                <w:b w:val="false"/>
                <w:bCs w:val="false"/>
                <w:color w:val="1A1A1A"/>
                <w:sz w:val="19"/>
                <w:szCs w:val="19"/>
              </w:rPr>
              <w:t xml:space="preserve">Section 3 Test Repository profile; Section 1 §7</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790"/>
            <w:shd w:fill="FFFFFF" w:val="clear"/>
            <w:tcMar>
              <w:top w:type="dxa" w:w="80"/>
              <w:left w:type="dxa" w:w="100"/>
              <w:bottom w:type="dxa" w:w="80"/>
              <w:right w:type="dxa" w:w="100"/>
            </w:tcMar>
            <w:vAlign w:val="top"/>
          </w:tcPr>
          <w:p>
            <w:pPr>
              <w:jc w:val="left"/>
            </w:pPr>
            <w:r>
              <w:rPr>
                <w:b w:val="false"/>
                <w:bCs w:val="false"/>
                <w:color w:val="1A1A1A"/>
                <w:sz w:val="19"/>
                <w:szCs w:val="19"/>
              </w:rPr>
              <w:t xml:space="preserve">Adopt WP-0002's method as standing verification template</w:t>
            </w:r>
          </w:p>
        </w:tc>
        <w:tc>
          <w:tcPr>
            <w:tcW w:type="dxa" w:w="1664"/>
            <w:shd w:fill="FFFFFF" w:val="clear"/>
            <w:tcMar>
              <w:top w:type="dxa" w:w="80"/>
              <w:left w:type="dxa" w:w="100"/>
              <w:bottom w:type="dxa" w:w="80"/>
              <w:right w:type="dxa" w:w="100"/>
            </w:tcMar>
            <w:vAlign w:val="top"/>
          </w:tcPr>
          <w:p>
            <w:pPr>
              <w:jc w:val="left"/>
            </w:pPr>
            <w:r>
              <w:rPr>
                <w:b w:val="false"/>
                <w:bCs w:val="false"/>
                <w:color w:val="1A1A1A"/>
                <w:sz w:val="19"/>
                <w:szCs w:val="19"/>
              </w:rPr>
              <w:t xml:space="preserve">Ready to execute; supports certification across every covered Work Package</w:t>
            </w:r>
          </w:p>
        </w:tc>
      </w:tr>
      <w:tr>
        <w:tc>
          <w:tcPr>
            <w:tcW w:type="dxa" w:w="1163"/>
            <w:shd w:fill="EEF1F5" w:val="clear"/>
            <w:tcMar>
              <w:top w:type="dxa" w:w="80"/>
              <w:left w:type="dxa" w:w="100"/>
              <w:bottom w:type="dxa" w:w="80"/>
              <w:right w:type="dxa" w:w="100"/>
            </w:tcMar>
            <w:vAlign w:val="top"/>
          </w:tcPr>
          <w:p>
            <w:pPr>
              <w:jc w:val="left"/>
            </w:pPr>
            <w:r>
              <w:rPr>
                <w:b w:val="false"/>
                <w:bCs w:val="false"/>
                <w:color w:val="1A1A1A"/>
                <w:sz w:val="19"/>
                <w:szCs w:val="19"/>
              </w:rPr>
              <w:t xml:space="preserve">Integration</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00"/>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90"/>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664"/>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163"/>
            <w:shd w:fill="FFFFFF" w:val="clear"/>
            <w:tcMar>
              <w:top w:type="dxa" w:w="80"/>
              <w:left w:type="dxa" w:w="100"/>
              <w:bottom w:type="dxa" w:w="80"/>
              <w:right w:type="dxa" w:w="100"/>
            </w:tcMar>
            <w:vAlign w:val="top"/>
          </w:tcPr>
          <w:p>
            <w:pPr>
              <w:jc w:val="left"/>
            </w:pPr>
            <w:r>
              <w:rPr>
                <w:b w:val="false"/>
                <w:bCs w:val="false"/>
                <w:color w:val="1A1A1A"/>
                <w:sz w:val="19"/>
                <w:szCs w:val="19"/>
              </w:rPr>
              <w:t xml:space="preserve">AI</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00"/>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90"/>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664"/>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163"/>
            <w:shd w:fill="EEF1F5" w:val="clear"/>
            <w:tcMar>
              <w:top w:type="dxa" w:w="80"/>
              <w:left w:type="dxa" w:w="100"/>
              <w:bottom w:type="dxa" w:w="80"/>
              <w:right w:type="dxa" w:w="100"/>
            </w:tcMar>
            <w:vAlign w:val="top"/>
          </w:tcPr>
          <w:p>
            <w:pPr>
              <w:jc w:val="left"/>
            </w:pPr>
            <w:r>
              <w:rPr>
                <w:b w:val="false"/>
                <w:bCs w:val="false"/>
                <w:color w:val="1A1A1A"/>
                <w:sz w:val="19"/>
                <w:szCs w:val="19"/>
              </w:rPr>
              <w:t xml:space="preserve">Infrastructure</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00"/>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90"/>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664"/>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1163"/>
            <w:shd w:fill="FFFFFF" w:val="clear"/>
            <w:tcMar>
              <w:top w:type="dxa" w:w="80"/>
              <w:left w:type="dxa" w:w="100"/>
              <w:bottom w:type="dxa" w:w="80"/>
              <w:right w:type="dxa" w:w="100"/>
            </w:tcMar>
            <w:vAlign w:val="top"/>
          </w:tcPr>
          <w:p>
            <w:pPr>
              <w:jc w:val="left"/>
            </w:pPr>
            <w:r>
              <w:rPr>
                <w:b w:val="false"/>
                <w:bCs w:val="false"/>
                <w:color w:val="1A1A1A"/>
                <w:sz w:val="19"/>
                <w:szCs w:val="19"/>
              </w:rPr>
              <w:t xml:space="preserve">Operations / Deployment</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00"/>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21"/>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90"/>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664"/>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r>
        <w:br w:type="page"/>
      </w:r>
    </w:p>
    <w:p>
      <w:pPr>
        <w:pStyle w:val="Heading2"/>
        <w:spacing w:after="200" w:before="360"/>
      </w:pPr>
      <w:r>
        <w:rPr>
          <w:b/>
          <w:bCs/>
          <w:color w:val="3E5C76"/>
          <w:sz w:val="26"/>
          <w:szCs w:val="26"/>
        </w:rPr>
        <w:t xml:space="preserve">10.6.9 — Executive Summary</w:t>
      </w:r>
    </w:p>
    <w:p>
      <w:pPr>
        <w:pStyle w:val="Heading3"/>
        <w:spacing w:after="160" w:before="260"/>
      </w:pPr>
      <w:r>
        <w:rPr>
          <w:b/>
          <w:bCs/>
          <w:color w:val="1F2A44"/>
          <w:sz w:val="22"/>
          <w:szCs w:val="22"/>
        </w:rPr>
        <w:t xml:space="preserve">Overall Repository Maturity</w:t>
      </w:r>
    </w:p>
    <w:p>
      <w:pPr>
        <w:spacing w:after="160" w:before="0"/>
      </w:pPr>
      <w:r>
        <w:rPr>
          <w:sz w:val="22"/>
          <w:szCs w:val="22"/>
        </w:rPr>
        <w:t xml:space="preserve">Three of eight evidenced repository categories — Documentation, Database, and Test — carry approved, actionable scope. Five categories — Backend, Frontend, Infrastructure (not evidenced) and Integration, AI (reserved) — carry no approved scope in the current baseline. A ninth category, Operations / Deployment, is likewise reserved, since Portfolio 7 carries no approved Work Package.</w:t>
      </w:r>
    </w:p>
    <w:p>
      <w:pPr>
        <w:pStyle w:val="Heading3"/>
        <w:spacing w:after="160" w:before="260"/>
      </w:pPr>
      <w:r>
        <w:rPr>
          <w:b/>
          <w:bCs/>
          <w:color w:val="1F2A44"/>
          <w:sz w:val="22"/>
          <w:szCs w:val="22"/>
        </w:rPr>
        <w:t xml:space="preserve">Repository Engineering Readiness</w:t>
      </w:r>
    </w:p>
    <w:p>
      <w:pPr>
        <w:spacing w:after="160" w:before="0"/>
      </w:pPr>
      <w:r>
        <w:rPr>
          <w:sz w:val="22"/>
          <w:szCs w:val="22"/>
        </w:rPr>
        <w:t xml:space="preserve">Database Repository engineering readiness is sound independently of Phase A conformance, with no integrity or engineering-quality blocker found. Documentation Repository readiness remains at its Initial baseline (KPI-02 = 30/100), pending WP-0001 and WP-0004. Test Repository readiness is fully defined and ready to execute for WP-0002.</w:t>
      </w:r>
    </w:p>
    <w:p>
      <w:pPr>
        <w:pStyle w:val="Heading3"/>
        <w:spacing w:after="160" w:before="260"/>
      </w:pPr>
      <w:r>
        <w:rPr>
          <w:b/>
          <w:bCs/>
          <w:color w:val="1F2A44"/>
          <w:sz w:val="22"/>
          <w:szCs w:val="22"/>
        </w:rPr>
        <w:t xml:space="preserve">Repository Governance Readiness</w:t>
      </w:r>
    </w:p>
    <w:p>
      <w:pPr>
        <w:spacing w:after="160" w:before="0"/>
      </w:pPr>
      <w:r>
        <w:rPr>
          <w:sz w:val="22"/>
          <w:szCs w:val="22"/>
        </w:rPr>
        <w:t xml:space="preserve">Governance readiness is complete for the three active portfolios (1, 2, 8) — every Work Package traces to an already-dispositioned Enterprise Governance Decision. No repository has a named, accountable owner pending WP-0006, consistent with the KPI-08 = 0% condition reported in Section 10.5.</w:t>
      </w:r>
    </w:p>
    <w:p>
      <w:pPr>
        <w:pStyle w:val="Heading3"/>
        <w:spacing w:after="160" w:before="260"/>
      </w:pPr>
      <w:r>
        <w:rPr>
          <w:b/>
          <w:bCs/>
          <w:color w:val="1F2A44"/>
          <w:sz w:val="22"/>
          <w:szCs w:val="22"/>
        </w:rPr>
        <w:t xml:space="preserve">Repository Verification Posture</w:t>
      </w:r>
    </w:p>
    <w:p>
      <w:pPr>
        <w:spacing w:after="160" w:before="0"/>
      </w:pPr>
      <w:r>
        <w:rPr>
          <w:sz w:val="22"/>
          <w:szCs w:val="22"/>
        </w:rPr>
        <w:t xml:space="preserve">WP-0002's written, query-evidenced RLS verification method is the ready, adopted template for all future Realize-class verification across every repository category (Section 1 §7). No automated test suite is evidenced beyond migration idempotency checks.</w:t>
      </w:r>
    </w:p>
    <w:p>
      <w:pPr>
        <w:pStyle w:val="Heading3"/>
        <w:spacing w:after="160" w:before="260"/>
      </w:pPr>
      <w:r>
        <w:rPr>
          <w:b/>
          <w:bCs/>
          <w:color w:val="1F2A44"/>
          <w:sz w:val="22"/>
          <w:szCs w:val="22"/>
        </w:rPr>
        <w:t xml:space="preserve">Outstanding Repository Conditions</w:t>
      </w:r>
    </w:p>
    <w:p>
      <w:pPr>
        <w:pStyle w:val="ListParagraph"/>
        <w:numPr>
          <w:ilvl w:val="0"/>
          <w:numId w:val="1"/>
        </w:numPr>
        <w:spacing w:after="100"/>
      </w:pPr>
      <w:r>
        <w:rPr>
          <w:sz w:val="21"/>
          <w:szCs w:val="21"/>
        </w:rPr>
        <w:t xml:space="preserve">Documentation-to-implementation drift on the Documentation Repository — the baseline's single top-rated confirmed risk, pending WP-0001.</w:t>
      </w:r>
    </w:p>
    <w:p>
      <w:pPr>
        <w:pStyle w:val="ListParagraph"/>
        <w:numPr>
          <w:ilvl w:val="0"/>
          <w:numId w:val="1"/>
        </w:numPr>
        <w:spacing w:after="100"/>
      </w:pPr>
      <w:r>
        <w:rPr>
          <w:sz w:val="21"/>
          <w:szCs w:val="21"/>
        </w:rPr>
        <w:t xml:space="preserve">RLS coverage on activity/cognitive/signal tables in the Database Repository — unverified pending WP-0002.</w:t>
      </w:r>
    </w:p>
    <w:p>
      <w:pPr>
        <w:pStyle w:val="ListParagraph"/>
        <w:numPr>
          <w:ilvl w:val="0"/>
          <w:numId w:val="1"/>
        </w:numPr>
        <w:spacing w:after="100"/>
      </w:pPr>
      <w:r>
        <w:rPr>
          <w:sz w:val="21"/>
          <w:szCs w:val="21"/>
        </w:rPr>
        <w:t xml:space="preserve">Named, accountable ownership (KPI-08 = 0%) — the single condition blocking formal accountability across every active repository.</w:t>
      </w:r>
    </w:p>
    <w:p>
      <w:pPr>
        <w:pStyle w:val="ListParagraph"/>
        <w:numPr>
          <w:ilvl w:val="0"/>
          <w:numId w:val="1"/>
        </w:numPr>
        <w:spacing w:after="100"/>
      </w:pPr>
      <w:r>
        <w:rPr>
          <w:sz w:val="21"/>
          <w:szCs w:val="21"/>
        </w:rPr>
        <w:t xml:space="preserve">Backend, Frontend, and Infrastructure repository categories remain entirely outside the evidenced baseline; Integration and AI remain reserved pending future realization assessments.</w:t>
      </w:r>
    </w:p>
    <w:p>
      <w:pPr>
        <w:pStyle w:val="Heading3"/>
        <w:spacing w:after="160" w:before="260"/>
      </w:pPr>
      <w:r>
        <w:rPr>
          <w:b/>
          <w:bCs/>
          <w:color w:val="1F2A44"/>
          <w:sz w:val="22"/>
          <w:szCs w:val="22"/>
        </w:rPr>
        <w:t xml:space="preserve">Repository Contribution to Implementation Readiness</w:t>
      </w:r>
    </w:p>
    <w:p>
      <w:pPr>
        <w:spacing w:after="160" w:before="0"/>
      </w:pPr>
      <w:r>
        <w:rPr>
          <w:sz w:val="22"/>
          <w:szCs w:val="22"/>
        </w:rPr>
        <w:t xml:space="preserve">The Documentation, Database, and Test Repositories collectively support all six approved Work Packages and both active Wave 1 and Wave 2 sequences reported in Section 10.5. No repository-level condition blocks Wave 1 (WP-0002, WP-0006) from proceeding immediately; the sole cross-cutting condition is governance ownership, not repository engineering readiness.</w:t>
      </w:r>
    </w:p>
    <w:p>
      <w:pPr>
        <w:spacing w:after="160" w:before="200"/>
      </w:pPr>
      <w:r>
        <w:rPr>
          <w:sz w:val="22"/>
          <w:szCs w:val="22"/>
        </w:rPr>
        <w:t xml:space="preserve"/>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Overall Repository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Not yet started, high-priority. Database: Sound, two open items. Test: Ready to execute. Backend/Frontend/Infrastructure: Not Evidenced. Integration/AI/Operations: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Repository Assessment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The three evidenced repositories (Documentation, Database, Test) are collectively ready to support the full Wave 1–2 execution sequence; the only open condition of consequence is unassigned governance ownership (KPI-08), consistent with Section 10.5.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Transition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2026-07-09T19:49:52.230Z</dcterms:created>
  <dcterms:modified xsi:type="dcterms:W3CDTF">2026-07-09T19:49:52.243Z</dcterms:modified>
</cp:coreProperties>
</file>

<file path=docProps/custom.xml><?xml version="1.0" encoding="utf-8"?>
<Properties xmlns="http://schemas.openxmlformats.org/officeDocument/2006/custom-properties" xmlns:vt="http://schemas.openxmlformats.org/officeDocument/2006/docPropsVTypes"/>
</file>