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ERP-01 — Phase C</w:t>
      </w:r>
    </w:p>
    <w:p>
      <w:pPr>
        <w:spacing w:after="60"/>
        <w:jc w:val="center"/>
      </w:pPr>
      <w:r>
        <w:rPr>
          <w:b/>
          <w:bCs/>
          <w:sz w:val="32"/>
          <w:szCs w:val="32"/>
        </w:rPr>
        <w:t xml:space="preserve">Section 10.7 — Architecture Conformance Dashboard</w:t>
      </w:r>
    </w:p>
    <w:p>
      <w:pPr>
        <w:spacing w:after="60"/>
        <w:jc w:val="center"/>
      </w:pPr>
      <w:r>
        <w:rPr>
          <w:i/>
          <w:iCs/>
          <w:sz w:val="22"/>
          <w:szCs w:val="22"/>
        </w:rPr>
        <w:t xml:space="preserve">HireRise Career Intelligence Platform</w:t>
      </w:r>
    </w:p>
    <w:p>
      <w:pPr>
        <w:spacing w:after="60"/>
        <w:jc w:val="center"/>
      </w:pPr>
      <w:r>
        <w:rPr>
          <w:sz w:val="20"/>
          <w:szCs w:val="20"/>
        </w:rPr>
        <w:t xml:space="preserve">Executive Architecture Conformance View Across the Approved ERP-01 Engineering Baseline</w:t>
      </w:r>
    </w:p>
    <w:p>
      <w:pPr>
        <w:spacing w:after="200"/>
        <w:jc w:val="center"/>
      </w:pPr>
      <w:r>
        <w:rPr>
          <w:sz w:val="18"/>
          <w:szCs w:val="18"/>
        </w:rPr>
        <w:t xml:space="preserve">Version 1.0 | Status: DRAFT FOR REVIEW</w:t>
      </w:r>
    </w:p>
    <w:p>
      <w:pPr>
        <w:spacing w:after="200"/>
        <w:jc w:val="center"/>
      </w:pPr>
      <w:r>
        <w:rPr>
          <w:b/>
          <w:bCs/>
          <w:sz w:val="18"/>
          <w:szCs w:val="18"/>
        </w:rPr>
        <w:t xml:space="preserve">Target-State Architecture &amp; Engineering Planning Artifact — Not Evidence of an Operating Governance Body</w:t>
      </w:r>
    </w:p>
    <w:p>
      <w:pPr>
        <w:pStyle w:val="Heading3"/>
        <w:spacing w:after="100" w:before="200"/>
      </w:pPr>
      <w:r>
        <w:t xml:space="preserve">A Note on Governance Framing</w:t>
      </w:r>
    </w:p>
    <w:p>
      <w:pPr>
        <w:shd w:fill="F2F2F2" w:val="clear"/>
        <w:spacing w:after="200"/>
      </w:pPr>
      <w:r>
        <w:rPr>
          <w:i/>
          <w:iCs/>
        </w:rPr>
        <w:t xml:space="preserve">This document is an architecture and engineering planning artifact. The Enterprise Architecture Board, Executive Steering Committee, Portfolio Governance Board, CIO, CTO, and PMO referenced below describe target-state governance roles for the HireRise platform — a structure this program is designed to grow into — not evidence that any of these bodies currently exists or has conducted operational governance. Every governance role referenced is a defined future responsibility, consistent with ERP-01 Phase A.3's permanent-identifier and evidence-first principles. Every element in this dashboard is reused, unchanged, from ERP-01 Phase A.1 through Section 10.6. This document introduces no new Architecture Requirement, Governance Decision, Variance, conformance score, or maturity rating. Where evidence does not exist, this document states "Not Evidenced in Current Baseline." Where content depends on a future realization phase, this document states "Reserved for Future Realization Phases."</w:t>
      </w:r>
    </w:p>
    <w:p>
      <w:pPr>
        <w:pStyle w:val="Heading1"/>
        <w:spacing w:after="150" w:before="300"/>
      </w:pPr>
      <w:r>
        <w:t xml:space="preserve">10.7 Architecture Conformance Dashboard</w:t>
      </w:r>
    </w:p>
    <w:p>
      <w:pPr>
        <w:pStyle w:val="Heading2"/>
        <w:spacing w:after="120" w:before="240"/>
      </w:pPr>
      <w:r>
        <w:t xml:space="preserve">10.7.1 — Executive Conformance Overview</w:t>
      </w:r>
    </w:p>
    <w:p>
      <w:pPr>
        <w:pStyle w:val="Heading3"/>
        <w:spacing w:after="100" w:before="200"/>
      </w:pPr>
      <w:r>
        <w:t xml:space="preserve">Purpose of Architecture Conformance</w:t>
      </w:r>
    </w:p>
    <w:p>
      <w:pPr>
        <w:spacing w:after="160"/>
      </w:pPr>
      <w:r>
        <w:rPr>
          <w:b w:val="false"/>
          <w:bCs w:val="false"/>
          <w:i w:val="false"/>
          <w:iCs w:val="false"/>
        </w:rPr>
        <w:t xml:space="preserve">Architecture conformance measures whether approved engineering activity under ERP-01 continues to align with the Architecture Requirements (AR), Enterprise Governance Decisions (EGD), and Enterprise Resolutions (ER) established in Phase A.3 §§2–7 and carried forward through Phase C Sections 1–9. It answers a narrower question than implementation progress: not "how much work is complete," but "does completed and in-flight work remain inside the boundary the architecture baseline defined for it."</w:t>
      </w:r>
    </w:p>
    <w:p>
      <w:pPr>
        <w:pStyle w:val="Heading3"/>
        <w:spacing w:after="100" w:before="200"/>
      </w:pPr>
      <w:r>
        <w:t xml:space="preserve">Relationship with Section 10.6</w:t>
      </w:r>
    </w:p>
    <w:p>
      <w:pPr>
        <w:spacing w:after="160"/>
      </w:pPr>
      <w:r>
        <w:rPr>
          <w:b w:val="false"/>
          <w:bCs w:val="false"/>
          <w:i w:val="false"/>
          <w:iCs w:val="false"/>
        </w:rPr>
        <w:t xml:space="preserve">Section 10.6 (Repository Readiness Dashboard) reported operational readiness by repository category — which engineering artifacts are ready to support execution. Section 10.7 reports a different axis of the same underlying evidence: whether the architectural boundary each repository operates within — its AR/EGD/VAR coverage — remains intact. Where 10.6 answers "is the repository ready to execute," 10.7 answers "does what has been executed, or is approved to be executed, still conform to the architecture this baseline defined."</w:t>
      </w:r>
    </w:p>
    <w:p>
      <w:pPr>
        <w:pStyle w:val="Heading3"/>
        <w:spacing w:after="100" w:before="200"/>
      </w:pPr>
      <w:r>
        <w:t xml:space="preserve">Enterprise Architecture Integrity</w:t>
      </w:r>
    </w:p>
    <w:p>
      <w:pPr>
        <w:spacing w:after="160"/>
      </w:pPr>
      <w:r>
        <w:rPr>
          <w:b w:val="false"/>
          <w:bCs w:val="false"/>
          <w:i w:val="false"/>
          <w:iCs w:val="false"/>
        </w:rPr>
        <w:t xml:space="preserve">Architecture integrity, per Phase A.3 §11 (Certification Framework), rests on an unbroken traceability chain: Architecture Requirement → Governance Decision → Repository Evidence → Implementation Status → Work Package → Verification Method → Certification Level. This section consolidates conformance status against that chain across every AR, EGD, ER, and VAR carried in the current baseline, without recalculating or reinterpreting any link in it.</w:t>
      </w:r>
    </w:p>
    <w:p>
      <w:pPr>
        <w:pStyle w:val="Heading3"/>
        <w:spacing w:after="100" w:before="200"/>
      </w:pPr>
      <w:r>
        <w:t xml:space="preserve">Conformance Philosophy</w:t>
      </w:r>
    </w:p>
    <w:p>
      <w:pPr>
        <w:spacing w:after="160"/>
      </w:pPr>
      <w:r>
        <w:rPr>
          <w:b w:val="false"/>
          <w:bCs w:val="false"/>
          <w:i w:val="false"/>
          <w:iCs w:val="false"/>
        </w:rPr>
        <w:t xml:space="preserve">Consistent with Section 3's Repository Traceability Philosophy (AP-002 — repository evidence governs implementation, not the reverse) and Section 8's risk-first sequencing principle, this section treats conformance as evidenced only where an AR has a corresponding EGD disposition and, where implementation has occurred, a traceable verification method. An AR without implementation is not scored as non-conformant by default; deferral under an accepted EGD (e.g., AR-0001, AR-0004, AR-0005, AR-0006) is itself a conformant governance outcome, distinct from an AR with no disposition at all — a condition that does not currently exist in this baseline (Phase A.3 §11, Certification Level L2: MET).</w:t>
      </w:r>
    </w:p>
    <w:p>
      <w:pPr>
        <w:pStyle w:val="Heading3"/>
        <w:spacing w:after="100" w:before="200"/>
      </w:pPr>
      <w:r>
        <w:t xml:space="preserve">Evidence-First Reporting Principles</w:t>
      </w:r>
    </w:p>
    <w:p>
      <w:pPr>
        <w:spacing w:after="160"/>
      </w:pPr>
      <w:r>
        <w:rPr>
          <w:b w:val="false"/>
          <w:bCs w:val="false"/>
          <w:i w:val="false"/>
          <w:iCs w:val="false"/>
        </w:rPr>
        <w:t xml:space="preserve">This section performs no new analysis, assigns no new conformance score, and certifies no new maturity or certification level. Every statement below traces to Phase A.1 through Section 10.6. Where the ERP-01 template calls for a conformance element this baseline does not evidence, this section states "Not Evidenced in Current Baseline." Where the element depends on a future realization phase, this section states "Reserved for Future Realization Phases."</w:t>
      </w:r>
    </w:p>
    <w:p>
      <w:pPr>
        <w:pStyle w:val="Heading2"/>
        <w:spacing w:after="120" w:before="240"/>
      </w:pPr>
      <w:r>
        <w:t xml:space="preserve">10.7.2 — Enterprise Conformance Summary Dashboard</w:t>
      </w:r>
    </w:p>
    <w:p>
      <w:pPr>
        <w:spacing w:after="160"/>
      </w:pPr>
      <w:r>
        <w:rPr>
          <w:b w:val="false"/>
          <w:bCs w:val="false"/>
          <w:i/>
          <w:iCs/>
        </w:rPr>
        <w:t xml:space="preserve">Source: ERP-01 Phase A.1–A.3, Phase B, Phase C Sections 1–9, and Sections 10.1–10.6.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2560"/>
        <w:gridCol w:w="1600"/>
      </w:tblGrid>
      <w:tr>
        <w:trPr>
          <w:tblHeader/>
        </w:trPr>
        <w:tc>
          <w:tcPr>
            <w:tcW w:type="dxa" w:w="1900"/>
            <w:shd w:fill="1F3864" w:val="clear"/>
            <w:vAlign w:val="center"/>
          </w:tcPr>
          <w:p>
            <w:r>
              <w:rPr>
                <w:b/>
                <w:bCs/>
                <w:color w:val="FFFFFF"/>
                <w:sz w:val="18"/>
                <w:szCs w:val="18"/>
              </w:rPr>
              <w:t xml:space="preserve">Architecture Domain</w:t>
            </w:r>
          </w:p>
        </w:tc>
        <w:tc>
          <w:tcPr>
            <w:tcW w:type="dxa" w:w="1600"/>
            <w:shd w:fill="1F3864" w:val="clear"/>
            <w:vAlign w:val="center"/>
          </w:tcPr>
          <w:p>
            <w:r>
              <w:rPr>
                <w:b/>
                <w:bCs/>
                <w:color w:val="FFFFFF"/>
                <w:sz w:val="18"/>
                <w:szCs w:val="18"/>
              </w:rPr>
              <w:t xml:space="preserve">Governing Documents</w:t>
            </w:r>
          </w:p>
        </w:tc>
        <w:tc>
          <w:tcPr>
            <w:tcW w:type="dxa" w:w="1700"/>
            <w:shd w:fill="1F3864" w:val="clear"/>
            <w:vAlign w:val="center"/>
          </w:tcPr>
          <w:p>
            <w:r>
              <w:rPr>
                <w:b/>
                <w:bCs/>
                <w:color w:val="FFFFFF"/>
                <w:sz w:val="18"/>
                <w:szCs w:val="18"/>
              </w:rPr>
              <w:t xml:space="preserve">AR / EGD</w:t>
            </w:r>
          </w:p>
        </w:tc>
        <w:tc>
          <w:tcPr>
            <w:tcW w:type="dxa" w:w="2560"/>
            <w:shd w:fill="1F3864" w:val="clear"/>
            <w:vAlign w:val="center"/>
          </w:tcPr>
          <w:p>
            <w:r>
              <w:rPr>
                <w:b/>
                <w:bCs/>
                <w:color w:val="FFFFFF"/>
                <w:sz w:val="18"/>
                <w:szCs w:val="18"/>
              </w:rPr>
              <w:t xml:space="preserve">Current Conformance Status</w:t>
            </w:r>
          </w:p>
        </w:tc>
        <w:tc>
          <w:tcPr>
            <w:tcW w:type="dxa" w:w="1600"/>
            <w:shd w:fill="1F3864" w:val="clear"/>
            <w:vAlign w:val="center"/>
          </w:tcPr>
          <w:p>
            <w:r>
              <w:rPr>
                <w:b/>
                <w:bCs/>
                <w:color w:val="FFFFFF"/>
                <w:sz w:val="18"/>
                <w:szCs w:val="18"/>
              </w:rPr>
              <w:t xml:space="preserve">Executive Assessment</w:t>
            </w:r>
          </w:p>
        </w:tc>
      </w:tr>
      <w:tr>
        <w:tc>
          <w:tcPr>
            <w:tcW w:type="dxa" w:w="1900"/>
            <w:vAlign w:val="center"/>
          </w:tcPr>
          <w:p>
            <w:r>
              <w:rPr>
                <w:b w:val="false"/>
                <w:bCs w:val="false"/>
                <w:sz w:val="18"/>
                <w:szCs w:val="18"/>
              </w:rPr>
              <w:t xml:space="preserve">Physical Data Architecture</w:t>
            </w:r>
          </w:p>
        </w:tc>
        <w:tc>
          <w:tcPr>
            <w:tcW w:type="dxa" w:w="1600"/>
            <w:vAlign w:val="center"/>
          </w:tcPr>
          <w:p>
            <w:r>
              <w:rPr>
                <w:b w:val="false"/>
                <w:bCs w:val="false"/>
                <w:sz w:val="18"/>
                <w:szCs w:val="18"/>
              </w:rPr>
              <w:t xml:space="preserve">Phase A.1; Phase A.3 §§2–7</w:t>
            </w:r>
          </w:p>
        </w:tc>
        <w:tc>
          <w:tcPr>
            <w:tcW w:type="dxa" w:w="1700"/>
            <w:vAlign w:val="center"/>
          </w:tcPr>
          <w:p>
            <w:r>
              <w:rPr>
                <w:b w:val="false"/>
                <w:bCs w:val="false"/>
                <w:sz w:val="18"/>
                <w:szCs w:val="18"/>
              </w:rPr>
              <w:t xml:space="preserve">AR-0001–0006, AR-0008–0010</w:t>
            </w:r>
          </w:p>
        </w:tc>
        <w:tc>
          <w:tcPr>
            <w:tcW w:type="dxa" w:w="2560"/>
            <w:vAlign w:val="center"/>
          </w:tcPr>
          <w:p>
            <w:r>
              <w:rPr>
                <w:b w:val="false"/>
                <w:bCs w:val="false"/>
                <w:sz w:val="18"/>
                <w:szCs w:val="18"/>
              </w:rPr>
              <w:t xml:space="preserve">3 of 10 ARs conformant (AR-0008–0010); 4 deferred, conformant-by-disposition (AR-0001, 0004–0006); 2 non-conformant, EGD-executed (AR-0002, 0003)</w:t>
            </w:r>
          </w:p>
        </w:tc>
        <w:tc>
          <w:tcPr>
            <w:tcW w:type="dxa" w:w="1600"/>
            <w:vAlign w:val="center"/>
          </w:tcPr>
          <w:p>
            <w:r>
              <w:rPr>
                <w:b w:val="false"/>
                <w:bCs w:val="false"/>
                <w:sz w:val="18"/>
                <w:szCs w:val="18"/>
              </w:rPr>
              <w:t xml:space="preserve">Stable — every gap already has a named disposition; no undispositioned AR exists</w:t>
            </w:r>
          </w:p>
        </w:tc>
      </w:tr>
      <w:tr>
        <w:tc>
          <w:tcPr>
            <w:tcW w:type="dxa" w:w="1900"/>
            <w:shd w:fill="F2F2F2" w:val="clear"/>
            <w:vAlign w:val="center"/>
          </w:tcPr>
          <w:p>
            <w:r>
              <w:rPr>
                <w:b w:val="false"/>
                <w:bCs w:val="false"/>
                <w:sz w:val="18"/>
                <w:szCs w:val="18"/>
              </w:rPr>
              <w:t xml:space="preserve">Governance Architecture</w:t>
            </w:r>
          </w:p>
        </w:tc>
        <w:tc>
          <w:tcPr>
            <w:tcW w:type="dxa" w:w="1600"/>
            <w:shd w:fill="F2F2F2" w:val="clear"/>
            <w:vAlign w:val="center"/>
          </w:tcPr>
          <w:p>
            <w:r>
              <w:rPr>
                <w:b w:val="false"/>
                <w:bCs w:val="false"/>
                <w:sz w:val="18"/>
                <w:szCs w:val="18"/>
              </w:rPr>
              <w:t xml:space="preserve">Phase A.2; Phase A.3 §4</w:t>
            </w:r>
          </w:p>
        </w:tc>
        <w:tc>
          <w:tcPr>
            <w:tcW w:type="dxa" w:w="1700"/>
            <w:shd w:fill="F2F2F2" w:val="clear"/>
            <w:vAlign w:val="center"/>
          </w:tcPr>
          <w:p>
            <w:r>
              <w:rPr>
                <w:b w:val="false"/>
                <w:bCs w:val="false"/>
                <w:sz w:val="18"/>
                <w:szCs w:val="18"/>
              </w:rPr>
              <w:t xml:space="preserve">EGD-0001–0009</w:t>
            </w:r>
          </w:p>
        </w:tc>
        <w:tc>
          <w:tcPr>
            <w:tcW w:type="dxa" w:w="2560"/>
            <w:shd w:fill="F2F2F2" w:val="clear"/>
            <w:vAlign w:val="center"/>
          </w:tcPr>
          <w:p>
            <w:r>
              <w:rPr>
                <w:b w:val="false"/>
                <w:bCs w:val="false"/>
                <w:sz w:val="18"/>
                <w:szCs w:val="18"/>
              </w:rPr>
              <w:t xml:space="preserve">All 9 EGDs dispositioned (7 Accepted/Accepted-conditional, 2 standing-standard); 0 open</w:t>
            </w:r>
          </w:p>
        </w:tc>
        <w:tc>
          <w:tcPr>
            <w:tcW w:type="dxa" w:w="1600"/>
            <w:shd w:fill="F2F2F2" w:val="clear"/>
            <w:vAlign w:val="center"/>
          </w:tcPr>
          <w:p>
            <w:r>
              <w:rPr>
                <w:b w:val="false"/>
                <w:bCs w:val="false"/>
                <w:sz w:val="18"/>
                <w:szCs w:val="18"/>
              </w:rPr>
              <w:t xml:space="preserve">Complete — Certification Level L2 (Governance Complete) MET per Phase A.3 §11</w:t>
            </w:r>
          </w:p>
        </w:tc>
      </w:tr>
      <w:tr>
        <w:tc>
          <w:tcPr>
            <w:tcW w:type="dxa" w:w="1900"/>
            <w:vAlign w:val="center"/>
          </w:tcPr>
          <w:p>
            <w:r>
              <w:rPr>
                <w:b w:val="false"/>
                <w:bCs w:val="false"/>
                <w:sz w:val="18"/>
                <w:szCs w:val="18"/>
              </w:rPr>
              <w:t xml:space="preserve">Repository Architecture</w:t>
            </w:r>
          </w:p>
        </w:tc>
        <w:tc>
          <w:tcPr>
            <w:tcW w:type="dxa" w:w="1600"/>
            <w:vAlign w:val="center"/>
          </w:tcPr>
          <w:p>
            <w:r>
              <w:rPr>
                <w:b w:val="false"/>
                <w:bCs w:val="false"/>
                <w:sz w:val="18"/>
                <w:szCs w:val="18"/>
              </w:rPr>
              <w:t xml:space="preserve">Section 3; Section 10.6</w:t>
            </w:r>
          </w:p>
        </w:tc>
        <w:tc>
          <w:tcPr>
            <w:tcW w:type="dxa" w:w="1700"/>
            <w:vAlign w:val="center"/>
          </w:tcPr>
          <w:p>
            <w:r>
              <w:rPr>
                <w:b w:val="false"/>
                <w:bCs w:val="false"/>
                <w:sz w:val="18"/>
                <w:szCs w:val="18"/>
              </w:rPr>
              <w:t xml:space="preserve">AR-0002, 0003, 0007 (repository-bound)</w:t>
            </w:r>
          </w:p>
        </w:tc>
        <w:tc>
          <w:tcPr>
            <w:tcW w:type="dxa" w:w="2560"/>
            <w:vAlign w:val="center"/>
          </w:tcPr>
          <w:p>
            <w:r>
              <w:rPr>
                <w:b w:val="false"/>
                <w:bCs w:val="false"/>
                <w:sz w:val="18"/>
                <w:szCs w:val="18"/>
              </w:rPr>
              <w:t xml:space="preserve">3 of 8 repository categories carry approved scope (Documentation, Database, Test); 5 Not Evidenced or Reserved</w:t>
            </w:r>
          </w:p>
        </w:tc>
        <w:tc>
          <w:tcPr>
            <w:tcW w:type="dxa" w:w="1600"/>
            <w:vAlign w:val="center"/>
          </w:tcPr>
          <w:p>
            <w:r>
              <w:rPr>
                <w:b w:val="false"/>
                <w:bCs w:val="false"/>
                <w:sz w:val="18"/>
                <w:szCs w:val="18"/>
              </w:rPr>
              <w:t xml:space="preserve">Conformant within evidenced scope; no repository operates outside its AR/EGD boundary</w:t>
            </w:r>
          </w:p>
        </w:tc>
      </w:tr>
      <w:tr>
        <w:tc>
          <w:tcPr>
            <w:tcW w:type="dxa" w:w="1900"/>
            <w:shd w:fill="F2F2F2" w:val="clear"/>
            <w:vAlign w:val="center"/>
          </w:tcPr>
          <w:p>
            <w:r>
              <w:rPr>
                <w:b w:val="false"/>
                <w:bCs w:val="false"/>
                <w:sz w:val="18"/>
                <w:szCs w:val="18"/>
              </w:rPr>
              <w:t xml:space="preserve">Engineering Architecture</w:t>
            </w:r>
          </w:p>
        </w:tc>
        <w:tc>
          <w:tcPr>
            <w:tcW w:type="dxa" w:w="1600"/>
            <w:shd w:fill="F2F2F2" w:val="clear"/>
            <w:vAlign w:val="center"/>
          </w:tcPr>
          <w:p>
            <w:r>
              <w:rPr>
                <w:b w:val="false"/>
                <w:bCs w:val="false"/>
                <w:sz w:val="18"/>
                <w:szCs w:val="18"/>
              </w:rPr>
              <w:t xml:space="preserve">Sections 4–5</w:t>
            </w:r>
          </w:p>
        </w:tc>
        <w:tc>
          <w:tcPr>
            <w:tcW w:type="dxa" w:w="1700"/>
            <w:shd w:fill="F2F2F2" w:val="clear"/>
            <w:vAlign w:val="center"/>
          </w:tcPr>
          <w:p>
            <w:r>
              <w:rPr>
                <w:b w:val="false"/>
                <w:bCs w:val="false"/>
                <w:sz w:val="18"/>
                <w:szCs w:val="18"/>
              </w:rPr>
              <w:t xml:space="preserve">AR-0002, 0003, 0007</w:t>
            </w:r>
          </w:p>
        </w:tc>
        <w:tc>
          <w:tcPr>
            <w:tcW w:type="dxa" w:w="2560"/>
            <w:shd w:fill="F2F2F2" w:val="clear"/>
            <w:vAlign w:val="center"/>
          </w:tcPr>
          <w:p>
            <w:r>
              <w:rPr>
                <w:b w:val="false"/>
                <w:bCs w:val="false"/>
                <w:sz w:val="18"/>
                <w:szCs w:val="18"/>
              </w:rPr>
              <w:t xml:space="preserve">Engineering Design Specification and Implementation Blueprint scoped to WP-0001–WP-0006 only; no engineering activity evidenced outside this boundary</w:t>
            </w:r>
          </w:p>
        </w:tc>
        <w:tc>
          <w:tcPr>
            <w:tcW w:type="dxa" w:w="1600"/>
            <w:shd w:fill="F2F2F2" w:val="clear"/>
            <w:vAlign w:val="center"/>
          </w:tcPr>
          <w:p>
            <w:r>
              <w:rPr>
                <w:b w:val="false"/>
                <w:bCs w:val="false"/>
                <w:sz w:val="18"/>
                <w:szCs w:val="18"/>
              </w:rPr>
              <w:t xml:space="preserve">Conformant — no scope drift identified</w:t>
            </w:r>
          </w:p>
        </w:tc>
      </w:tr>
      <w:tr>
        <w:tc>
          <w:tcPr>
            <w:tcW w:type="dxa" w:w="1900"/>
            <w:vAlign w:val="center"/>
          </w:tcPr>
          <w:p>
            <w:r>
              <w:rPr>
                <w:b w:val="false"/>
                <w:bCs w:val="false"/>
                <w:sz w:val="18"/>
                <w:szCs w:val="18"/>
              </w:rPr>
              <w:t xml:space="preserve">Verification Architecture</w:t>
            </w:r>
          </w:p>
        </w:tc>
        <w:tc>
          <w:tcPr>
            <w:tcW w:type="dxa" w:w="1600"/>
            <w:vAlign w:val="center"/>
          </w:tcPr>
          <w:p>
            <w:r>
              <w:rPr>
                <w:b w:val="false"/>
                <w:bCs w:val="false"/>
                <w:sz w:val="18"/>
                <w:szCs w:val="18"/>
              </w:rPr>
              <w:t xml:space="preserve">Section 7</w:t>
            </w:r>
          </w:p>
        </w:tc>
        <w:tc>
          <w:tcPr>
            <w:tcW w:type="dxa" w:w="1700"/>
            <w:vAlign w:val="center"/>
          </w:tcPr>
          <w:p>
            <w:r>
              <w:rPr>
                <w:b w:val="false"/>
                <w:bCs w:val="false"/>
                <w:sz w:val="18"/>
                <w:szCs w:val="18"/>
              </w:rPr>
              <w:t xml:space="preserve">AR-0007 (WP-0002); AR-0003 (WP-0004); AR-0004 (WP-0003)</w:t>
            </w:r>
          </w:p>
        </w:tc>
        <w:tc>
          <w:tcPr>
            <w:tcW w:type="dxa" w:w="2560"/>
            <w:vAlign w:val="center"/>
          </w:tcPr>
          <w:p>
            <w:r>
              <w:rPr>
                <w:b w:val="false"/>
                <w:bCs w:val="false"/>
                <w:sz w:val="18"/>
                <w:szCs w:val="18"/>
              </w:rPr>
              <w:t xml:space="preserve">One verification method fully defined and ready to execute (WP-0002, RLS); remainder trigger- or release-gated per accepted EGDs</w:t>
            </w:r>
          </w:p>
        </w:tc>
        <w:tc>
          <w:tcPr>
            <w:tcW w:type="dxa" w:w="1600"/>
            <w:vAlign w:val="center"/>
          </w:tcPr>
          <w:p>
            <w:r>
              <w:rPr>
                <w:b w:val="false"/>
                <w:bCs w:val="false"/>
                <w:sz w:val="18"/>
                <w:szCs w:val="18"/>
              </w:rPr>
              <w:t xml:space="preserve">Conformant — verification scope matches governance disposition; no verification gap outside accepted deferrals</w:t>
            </w:r>
          </w:p>
        </w:tc>
      </w:tr>
      <w:tr>
        <w:tc>
          <w:tcPr>
            <w:tcW w:type="dxa" w:w="1900"/>
            <w:shd w:fill="F2F2F2" w:val="clear"/>
            <w:vAlign w:val="center"/>
          </w:tcPr>
          <w:p>
            <w:r>
              <w:rPr>
                <w:b w:val="false"/>
                <w:bCs w:val="false"/>
                <w:sz w:val="18"/>
                <w:szCs w:val="18"/>
              </w:rPr>
              <w:t xml:space="preserve">Acceptance Architecture</w:t>
            </w:r>
          </w:p>
        </w:tc>
        <w:tc>
          <w:tcPr>
            <w:tcW w:type="dxa" w:w="1600"/>
            <w:shd w:fill="F2F2F2" w:val="clear"/>
            <w:vAlign w:val="center"/>
          </w:tcPr>
          <w:p>
            <w:r>
              <w:rPr>
                <w:b w:val="false"/>
                <w:bCs w:val="false"/>
                <w:sz w:val="18"/>
                <w:szCs w:val="18"/>
              </w:rPr>
              <w:t xml:space="preserve">Section 9</w:t>
            </w:r>
          </w:p>
        </w:tc>
        <w:tc>
          <w:tcPr>
            <w:tcW w:type="dxa" w:w="1700"/>
            <w:shd w:fill="F2F2F2" w:val="clear"/>
            <w:vAlign w:val="center"/>
          </w:tcPr>
          <w:p>
            <w:r>
              <w:rPr>
                <w:b w:val="false"/>
                <w:bCs w:val="false"/>
                <w:sz w:val="18"/>
                <w:szCs w:val="18"/>
              </w:rPr>
              <w:t xml:space="preserve">WP-0001–WP-0006</w:t>
            </w:r>
          </w:p>
        </w:tc>
        <w:tc>
          <w:tcPr>
            <w:tcW w:type="dxa" w:w="2560"/>
            <w:shd w:fill="F2F2F2" w:val="clear"/>
            <w:vAlign w:val="center"/>
          </w:tcPr>
          <w:p>
            <w:r>
              <w:rPr>
                <w:b w:val="false"/>
                <w:bCs w:val="false"/>
                <w:sz w:val="18"/>
                <w:szCs w:val="18"/>
              </w:rPr>
              <w:t xml:space="preserve">Acceptance criteria authored for all six Work Packages; overall Section 9 status READY WITH CONDITIONS</w:t>
            </w:r>
          </w:p>
        </w:tc>
        <w:tc>
          <w:tcPr>
            <w:tcW w:type="dxa" w:w="1600"/>
            <w:shd w:fill="F2F2F2" w:val="clear"/>
            <w:vAlign w:val="center"/>
          </w:tcPr>
          <w:p>
            <w:r>
              <w:rPr>
                <w:b w:val="false"/>
                <w:bCs w:val="false"/>
                <w:sz w:val="18"/>
                <w:szCs w:val="18"/>
              </w:rPr>
              <w:t xml:space="preserve">Conformant with conditions — conditions trace to KPI-08 (ownership), not architecture drift</w:t>
            </w:r>
          </w:p>
        </w:tc>
      </w:tr>
      <w:tr>
        <w:tc>
          <w:tcPr>
            <w:tcW w:type="dxa" w:w="1900"/>
            <w:vAlign w:val="center"/>
          </w:tcPr>
          <w:p>
            <w:r>
              <w:rPr>
                <w:b w:val="false"/>
                <w:bCs w:val="false"/>
                <w:sz w:val="18"/>
                <w:szCs w:val="18"/>
              </w:rPr>
              <w:t xml:space="preserve">Portfolio Architecture</w:t>
            </w:r>
          </w:p>
        </w:tc>
        <w:tc>
          <w:tcPr>
            <w:tcW w:type="dxa" w:w="1600"/>
            <w:vAlign w:val="center"/>
          </w:tcPr>
          <w:p>
            <w:r>
              <w:rPr>
                <w:b w:val="false"/>
                <w:bCs w:val="false"/>
                <w:sz w:val="18"/>
                <w:szCs w:val="18"/>
              </w:rPr>
              <w:t xml:space="preserve">Section 10.4</w:t>
            </w:r>
          </w:p>
        </w:tc>
        <w:tc>
          <w:tcPr>
            <w:tcW w:type="dxa" w:w="1700"/>
            <w:vAlign w:val="center"/>
          </w:tcPr>
          <w:p>
            <w:r>
              <w:rPr>
                <w:b w:val="false"/>
                <w:bCs w:val="false"/>
                <w:sz w:val="18"/>
                <w:szCs w:val="18"/>
              </w:rPr>
              <w:t xml:space="preserve">Portfolios 1, 2, 8 (in scope); 3–7 (reserved)</w:t>
            </w:r>
          </w:p>
        </w:tc>
        <w:tc>
          <w:tcPr>
            <w:tcW w:type="dxa" w:w="2560"/>
            <w:vAlign w:val="center"/>
          </w:tcPr>
          <w:p>
            <w:r>
              <w:rPr>
                <w:b w:val="false"/>
                <w:bCs w:val="false"/>
                <w:sz w:val="18"/>
                <w:szCs w:val="18"/>
              </w:rPr>
              <w:t xml:space="preserve">3 of 8 portfolios carry approved, evidenced scope; 5 Reserved for Future Realization Phases</w:t>
            </w:r>
          </w:p>
        </w:tc>
        <w:tc>
          <w:tcPr>
            <w:tcW w:type="dxa" w:w="1600"/>
            <w:vAlign w:val="center"/>
          </w:tcPr>
          <w:p>
            <w:r>
              <w:rPr>
                <w:b w:val="false"/>
                <w:bCs w:val="false"/>
                <w:sz w:val="18"/>
                <w:szCs w:val="18"/>
              </w:rPr>
              <w:t xml:space="preserve">Conformant — active portfolios remain inside the AR/EGD boundary defined for them</w:t>
            </w:r>
          </w:p>
        </w:tc>
      </w:tr>
      <w:tr>
        <w:tc>
          <w:tcPr>
            <w:tcW w:type="dxa" w:w="1900"/>
            <w:shd w:fill="F2F2F2" w:val="clear"/>
            <w:vAlign w:val="center"/>
          </w:tcPr>
          <w:p>
            <w:r>
              <w:rPr>
                <w:b w:val="false"/>
                <w:bCs w:val="false"/>
                <w:sz w:val="18"/>
                <w:szCs w:val="18"/>
              </w:rPr>
              <w:t xml:space="preserve">Wave Architecture</w:t>
            </w:r>
          </w:p>
        </w:tc>
        <w:tc>
          <w:tcPr>
            <w:tcW w:type="dxa" w:w="1600"/>
            <w:shd w:fill="F2F2F2" w:val="clear"/>
            <w:vAlign w:val="center"/>
          </w:tcPr>
          <w:p>
            <w:r>
              <w:rPr>
                <w:b w:val="false"/>
                <w:bCs w:val="false"/>
                <w:sz w:val="18"/>
                <w:szCs w:val="18"/>
              </w:rPr>
              <w:t xml:space="preserve">Section 10.5</w:t>
            </w:r>
          </w:p>
        </w:tc>
        <w:tc>
          <w:tcPr>
            <w:tcW w:type="dxa" w:w="1700"/>
            <w:shd w:fill="F2F2F2" w:val="clear"/>
            <w:vAlign w:val="center"/>
          </w:tcPr>
          <w:p>
            <w:r>
              <w:rPr>
                <w:b w:val="false"/>
                <w:bCs w:val="false"/>
                <w:sz w:val="18"/>
                <w:szCs w:val="18"/>
              </w:rPr>
              <w:t xml:space="preserve">Wave 1 (WP-0002, WP-0006); Wave 2 (WP-0001, WP-0004, WP-0005); Wave 3 (WP-0003, trigger-gated)</w:t>
            </w:r>
          </w:p>
        </w:tc>
        <w:tc>
          <w:tcPr>
            <w:tcW w:type="dxa" w:w="2560"/>
            <w:shd w:fill="F2F2F2" w:val="clear"/>
            <w:vAlign w:val="center"/>
          </w:tcPr>
          <w:p>
            <w:r>
              <w:rPr>
                <w:b w:val="false"/>
                <w:bCs w:val="false"/>
                <w:sz w:val="18"/>
                <w:szCs w:val="18"/>
              </w:rPr>
              <w:t xml:space="preserve">Waves 1–3 conformant to sequencing rules; Waves 4–5 Reserved for Future Realization Phases</w:t>
            </w:r>
          </w:p>
        </w:tc>
        <w:tc>
          <w:tcPr>
            <w:tcW w:type="dxa" w:w="1600"/>
            <w:shd w:fill="F2F2F2" w:val="clear"/>
            <w:vAlign w:val="center"/>
          </w:tcPr>
          <w:p>
            <w:r>
              <w:rPr>
                <w:b w:val="false"/>
                <w:bCs w:val="false"/>
                <w:sz w:val="18"/>
                <w:szCs w:val="18"/>
              </w:rPr>
              <w:t xml:space="preserve">Conformant — no Work Package has been sequenced ahead of its governance disposition</w:t>
            </w:r>
          </w:p>
        </w:tc>
      </w:tr>
    </w:tbl>
    <w:p>
      <w:pPr>
        <w:pStyle w:val="Heading2"/>
        <w:spacing w:after="120" w:before="240"/>
      </w:pPr>
      <w:r>
        <w:t xml:space="preserve">10.7.3 — Architecture Requirement Conformance Dashboard</w:t>
      </w:r>
    </w:p>
    <w:p>
      <w:pPr>
        <w:spacing w:after="160"/>
      </w:pPr>
      <w:r>
        <w:rPr>
          <w:b w:val="false"/>
          <w:bCs w:val="false"/>
          <w:i/>
          <w:iCs/>
        </w:rPr>
        <w:t xml:space="preserve">Source: Phase A.3 §§3, 7 (Architecture Requirements Catalog; Traceability Matrix). Reused verbatim; no AR is recalculated.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700"/>
        <w:gridCol w:w="1900"/>
        <w:gridCol w:w="1500"/>
        <w:gridCol w:w="1560"/>
        <w:gridCol w:w="900"/>
      </w:tblGrid>
      <w:tr>
        <w:trPr>
          <w:tblHeader/>
        </w:trPr>
        <w:tc>
          <w:tcPr>
            <w:tcW w:type="dxa" w:w="700"/>
            <w:shd w:fill="1F3864" w:val="clear"/>
            <w:vAlign w:val="center"/>
          </w:tcPr>
          <w:p>
            <w:r>
              <w:rPr>
                <w:b/>
                <w:bCs/>
                <w:color w:val="FFFFFF"/>
                <w:sz w:val="18"/>
                <w:szCs w:val="18"/>
              </w:rPr>
              <w:t xml:space="preserve">AR</w:t>
            </w:r>
          </w:p>
        </w:tc>
        <w:tc>
          <w:tcPr>
            <w:tcW w:type="dxa" w:w="2100"/>
            <w:shd w:fill="1F3864" w:val="clear"/>
            <w:vAlign w:val="center"/>
          </w:tcPr>
          <w:p>
            <w:r>
              <w:rPr>
                <w:b/>
                <w:bCs/>
                <w:color w:val="FFFFFF"/>
                <w:sz w:val="18"/>
                <w:szCs w:val="18"/>
              </w:rPr>
              <w:t xml:space="preserve">Description</w:t>
            </w:r>
          </w:p>
        </w:tc>
        <w:tc>
          <w:tcPr>
            <w:tcW w:type="dxa" w:w="700"/>
            <w:shd w:fill="1F3864" w:val="clear"/>
            <w:vAlign w:val="center"/>
          </w:tcPr>
          <w:p>
            <w:r>
              <w:rPr>
                <w:b/>
                <w:bCs/>
                <w:color w:val="FFFFFF"/>
                <w:sz w:val="18"/>
                <w:szCs w:val="18"/>
              </w:rPr>
              <w:t xml:space="preserve">WP(s)</w:t>
            </w:r>
          </w:p>
        </w:tc>
        <w:tc>
          <w:tcPr>
            <w:tcW w:type="dxa" w:w="1900"/>
            <w:shd w:fill="1F3864" w:val="clear"/>
            <w:vAlign w:val="center"/>
          </w:tcPr>
          <w:p>
            <w:r>
              <w:rPr>
                <w:b/>
                <w:bCs/>
                <w:color w:val="FFFFFF"/>
                <w:sz w:val="18"/>
                <w:szCs w:val="18"/>
              </w:rPr>
              <w:t xml:space="preserve">Verification Method</w:t>
            </w:r>
          </w:p>
        </w:tc>
        <w:tc>
          <w:tcPr>
            <w:tcW w:type="dxa" w:w="1500"/>
            <w:shd w:fill="1F3864" w:val="clear"/>
            <w:vAlign w:val="center"/>
          </w:tcPr>
          <w:p>
            <w:r>
              <w:rPr>
                <w:b/>
                <w:bCs/>
                <w:color w:val="FFFFFF"/>
                <w:sz w:val="18"/>
                <w:szCs w:val="18"/>
              </w:rPr>
              <w:t xml:space="preserve">Acceptance Ref.</w:t>
            </w:r>
          </w:p>
        </w:tc>
        <w:tc>
          <w:tcPr>
            <w:tcW w:type="dxa" w:w="1560"/>
            <w:shd w:fill="1F3864" w:val="clear"/>
            <w:vAlign w:val="center"/>
          </w:tcPr>
          <w:p>
            <w:r>
              <w:rPr>
                <w:b/>
                <w:bCs/>
                <w:color w:val="FFFFFF"/>
                <w:sz w:val="18"/>
                <w:szCs w:val="18"/>
              </w:rPr>
              <w:t xml:space="preserve">Conformance Status</w:t>
            </w:r>
          </w:p>
        </w:tc>
        <w:tc>
          <w:tcPr>
            <w:tcW w:type="dxa" w:w="900"/>
            <w:shd w:fill="1F3864" w:val="clear"/>
            <w:vAlign w:val="center"/>
          </w:tcPr>
          <w:p>
            <w:r>
              <w:rPr>
                <w:b/>
                <w:bCs/>
                <w:color w:val="FFFFFF"/>
                <w:sz w:val="18"/>
                <w:szCs w:val="18"/>
              </w:rPr>
              <w:t xml:space="preserve">Executive Assessment</w:t>
            </w:r>
          </w:p>
        </w:tc>
      </w:tr>
      <w:tr>
        <w:tc>
          <w:tcPr>
            <w:tcW w:type="dxa" w:w="700"/>
            <w:vAlign w:val="center"/>
          </w:tcPr>
          <w:p>
            <w:r>
              <w:rPr>
                <w:b w:val="false"/>
                <w:bCs w:val="false"/>
                <w:sz w:val="18"/>
                <w:szCs w:val="18"/>
              </w:rPr>
              <w:t xml:space="preserve">AR-0001</w:t>
            </w:r>
          </w:p>
        </w:tc>
        <w:tc>
          <w:tcPr>
            <w:tcW w:type="dxa" w:w="2100"/>
            <w:vAlign w:val="center"/>
          </w:tcPr>
          <w:p>
            <w:r>
              <w:rPr>
                <w:b w:val="false"/>
                <w:bCs w:val="false"/>
                <w:sz w:val="18"/>
                <w:szCs w:val="18"/>
              </w:rPr>
              <w:t xml:space="preserve">Dedicated academic_domain schema, isolated from public</w:t>
            </w:r>
          </w:p>
        </w:tc>
        <w:tc>
          <w:tcPr>
            <w:tcW w:type="dxa" w:w="700"/>
            <w:vAlign w:val="center"/>
          </w:tcPr>
          <w:p>
            <w:r>
              <w:rPr>
                <w:b w:val="false"/>
                <w:bCs w:val="false"/>
                <w:sz w:val="18"/>
                <w:szCs w:val="18"/>
              </w:rPr>
              <w:t xml:space="preserve">— (deferred)</w:t>
            </w:r>
          </w:p>
        </w:tc>
        <w:tc>
          <w:tcPr>
            <w:tcW w:type="dxa" w:w="1900"/>
            <w:vAlign w:val="center"/>
          </w:tcPr>
          <w:p>
            <w:r>
              <w:rPr>
                <w:b w:val="false"/>
                <w:bCs w:val="false"/>
                <w:sz w:val="18"/>
                <w:szCs w:val="18"/>
              </w:rPr>
              <w:t xml:space="preserve">Quarterly trigger check (public table count)</w:t>
            </w:r>
          </w:p>
        </w:tc>
        <w:tc>
          <w:tcPr>
            <w:tcW w:type="dxa" w:w="1500"/>
            <w:vAlign w:val="center"/>
          </w:tcPr>
          <w:p>
            <w:r>
              <w:rPr>
                <w:b w:val="false"/>
                <w:bCs w:val="false"/>
                <w:sz w:val="18"/>
                <w:szCs w:val="18"/>
              </w:rPr>
              <w:t xml:space="preserve">Section 9 — Not Applicable (no active WP)</w:t>
            </w:r>
          </w:p>
        </w:tc>
        <w:tc>
          <w:tcPr>
            <w:tcW w:type="dxa" w:w="1560"/>
            <w:vAlign w:val="center"/>
          </w:tcPr>
          <w:p>
            <w:r>
              <w:rPr>
                <w:b w:val="false"/>
                <w:bCs w:val="false"/>
                <w:sz w:val="18"/>
                <w:szCs w:val="18"/>
              </w:rPr>
              <w:t xml:space="preserve">Deferred, conformant (EGD-0001)</w:t>
            </w:r>
          </w:p>
        </w:tc>
        <w:tc>
          <w:tcPr>
            <w:tcW w:type="dxa" w:w="900"/>
            <w:vAlign w:val="center"/>
          </w:tcPr>
          <w:p>
            <w:r>
              <w:rPr>
                <w:b w:val="false"/>
                <w:bCs w:val="false"/>
                <w:sz w:val="18"/>
                <w:szCs w:val="18"/>
              </w:rPr>
              <w:t xml:space="preserve">Low risk, monitored (VAR-01); no action required until trigger fires</w:t>
            </w:r>
          </w:p>
        </w:tc>
      </w:tr>
      <w:tr>
        <w:tc>
          <w:tcPr>
            <w:tcW w:type="dxa" w:w="700"/>
            <w:shd w:fill="F2F2F2" w:val="clear"/>
            <w:vAlign w:val="center"/>
          </w:tcPr>
          <w:p>
            <w:r>
              <w:rPr>
                <w:b w:val="false"/>
                <w:bCs w:val="false"/>
                <w:sz w:val="18"/>
                <w:szCs w:val="18"/>
              </w:rPr>
              <w:t xml:space="preserve">AR-0002</w:t>
            </w:r>
          </w:p>
        </w:tc>
        <w:tc>
          <w:tcPr>
            <w:tcW w:type="dxa" w:w="2100"/>
            <w:shd w:fill="F2F2F2" w:val="clear"/>
            <w:vAlign w:val="center"/>
          </w:tcPr>
          <w:p>
            <w:r>
              <w:rPr>
                <w:b w:val="false"/>
                <w:bCs w:val="false"/>
                <w:sz w:val="18"/>
                <w:szCs w:val="18"/>
              </w:rPr>
              <w:t xml:space="preserve">26 canonically-named tables, ref_ prefix convention</w:t>
            </w:r>
          </w:p>
        </w:tc>
        <w:tc>
          <w:tcPr>
            <w:tcW w:type="dxa" w:w="700"/>
            <w:shd w:fill="F2F2F2" w:val="clear"/>
            <w:vAlign w:val="center"/>
          </w:tcPr>
          <w:p>
            <w:r>
              <w:rPr>
                <w:b w:val="false"/>
                <w:bCs w:val="false"/>
                <w:sz w:val="18"/>
                <w:szCs w:val="18"/>
              </w:rPr>
              <w:t xml:space="preserve">WP-0001</w:t>
            </w:r>
          </w:p>
        </w:tc>
        <w:tc>
          <w:tcPr>
            <w:tcW w:type="dxa" w:w="1900"/>
            <w:shd w:fill="F2F2F2" w:val="clear"/>
            <w:vAlign w:val="center"/>
          </w:tcPr>
          <w:p>
            <w:r>
              <w:rPr>
                <w:b w:val="false"/>
                <w:bCs w:val="false"/>
                <w:sz w:val="18"/>
                <w:szCs w:val="18"/>
              </w:rPr>
              <w:t xml:space="preserve">Table inventory diff vs. \dt public.*, zero discrepancies</w:t>
            </w:r>
          </w:p>
        </w:tc>
        <w:tc>
          <w:tcPr>
            <w:tcW w:type="dxa" w:w="1500"/>
            <w:shd w:fill="F2F2F2" w:val="clear"/>
            <w:vAlign w:val="center"/>
          </w:tcPr>
          <w:p>
            <w:r>
              <w:rPr>
                <w:b w:val="false"/>
                <w:bCs w:val="false"/>
                <w:sz w:val="18"/>
                <w:szCs w:val="18"/>
              </w:rPr>
              <w:t xml:space="preserve">Section 9 — WP-0001 criteria</w:t>
            </w:r>
          </w:p>
        </w:tc>
        <w:tc>
          <w:tcPr>
            <w:tcW w:type="dxa" w:w="1560"/>
            <w:shd w:fill="F2F2F2" w:val="clear"/>
            <w:vAlign w:val="center"/>
          </w:tcPr>
          <w:p>
            <w:r>
              <w:rPr>
                <w:b w:val="false"/>
                <w:bCs w:val="false"/>
                <w:sz w:val="18"/>
                <w:szCs w:val="18"/>
              </w:rPr>
              <w:t xml:space="preserve">Non-conformant, EGD-executed, L4 pending</w:t>
            </w:r>
          </w:p>
        </w:tc>
        <w:tc>
          <w:tcPr>
            <w:tcW w:type="dxa" w:w="900"/>
            <w:shd w:fill="F2F2F2" w:val="clear"/>
            <w:vAlign w:val="center"/>
          </w:tcPr>
          <w:p>
            <w:r>
              <w:rPr>
                <w:b w:val="false"/>
                <w:bCs w:val="false"/>
                <w:sz w:val="18"/>
                <w:szCs w:val="18"/>
              </w:rPr>
              <w:t xml:space="preserve">Top-rated confirmed risk in baseline; WP-0001 is the highest-priority open item</w:t>
            </w:r>
          </w:p>
        </w:tc>
      </w:tr>
      <w:tr>
        <w:tc>
          <w:tcPr>
            <w:tcW w:type="dxa" w:w="700"/>
            <w:vAlign w:val="center"/>
          </w:tcPr>
          <w:p>
            <w:r>
              <w:rPr>
                <w:b w:val="false"/>
                <w:bCs w:val="false"/>
                <w:sz w:val="18"/>
                <w:szCs w:val="18"/>
              </w:rPr>
              <w:t xml:space="preserve">AR-0003</w:t>
            </w:r>
          </w:p>
        </w:tc>
        <w:tc>
          <w:tcPr>
            <w:tcW w:type="dxa" w:w="2100"/>
            <w:vAlign w:val="center"/>
          </w:tcPr>
          <w:p>
            <w:r>
              <w:rPr>
                <w:b w:val="false"/>
                <w:bCs w:val="false"/>
                <w:sz w:val="18"/>
                <w:szCs w:val="18"/>
              </w:rPr>
              <w:t xml:space="preserve">_code + taxonomy_version_id reference pattern</w:t>
            </w:r>
          </w:p>
        </w:tc>
        <w:tc>
          <w:tcPr>
            <w:tcW w:type="dxa" w:w="700"/>
            <w:vAlign w:val="center"/>
          </w:tcPr>
          <w:p>
            <w:r>
              <w:rPr>
                <w:b w:val="false"/>
                <w:bCs w:val="false"/>
                <w:sz w:val="18"/>
                <w:szCs w:val="18"/>
              </w:rPr>
              <w:t xml:space="preserve">WP-0004</w:t>
            </w:r>
          </w:p>
        </w:tc>
        <w:tc>
          <w:tcPr>
            <w:tcW w:type="dxa" w:w="1900"/>
            <w:vAlign w:val="center"/>
          </w:tcPr>
          <w:p>
            <w:r>
              <w:rPr>
                <w:b w:val="false"/>
                <w:bCs w:val="false"/>
                <w:sz w:val="18"/>
                <w:szCs w:val="18"/>
              </w:rPr>
              <w:t xml:space="preserve">Per-release automated denormalization check</w:t>
            </w:r>
          </w:p>
        </w:tc>
        <w:tc>
          <w:tcPr>
            <w:tcW w:type="dxa" w:w="1500"/>
            <w:vAlign w:val="center"/>
          </w:tcPr>
          <w:p>
            <w:r>
              <w:rPr>
                <w:b w:val="false"/>
                <w:bCs w:val="false"/>
                <w:sz w:val="18"/>
                <w:szCs w:val="18"/>
              </w:rPr>
              <w:t xml:space="preserve">Section 9 — WP-0004 criteria</w:t>
            </w:r>
          </w:p>
        </w:tc>
        <w:tc>
          <w:tcPr>
            <w:tcW w:type="dxa" w:w="1560"/>
            <w:vAlign w:val="center"/>
          </w:tcPr>
          <w:p>
            <w:r>
              <w:rPr>
                <w:b w:val="false"/>
                <w:bCs w:val="false"/>
                <w:sz w:val="18"/>
                <w:szCs w:val="18"/>
              </w:rPr>
              <w:t xml:space="preserve">Non-conformant, conditionally accepted (EGD-0003), L4 pending</w:t>
            </w:r>
          </w:p>
        </w:tc>
        <w:tc>
          <w:tcPr>
            <w:tcW w:type="dxa" w:w="900"/>
            <w:vAlign w:val="center"/>
          </w:tcPr>
          <w:p>
            <w:r>
              <w:rPr>
                <w:b w:val="false"/>
                <w:bCs w:val="false"/>
                <w:sz w:val="18"/>
                <w:szCs w:val="18"/>
              </w:rPr>
              <w:t xml:space="preserve">Medium latent risk, conditionally monitored (VAR-03)</w:t>
            </w:r>
          </w:p>
        </w:tc>
      </w:tr>
      <w:tr>
        <w:tc>
          <w:tcPr>
            <w:tcW w:type="dxa" w:w="700"/>
            <w:shd w:fill="F2F2F2" w:val="clear"/>
            <w:vAlign w:val="center"/>
          </w:tcPr>
          <w:p>
            <w:r>
              <w:rPr>
                <w:b w:val="false"/>
                <w:bCs w:val="false"/>
                <w:sz w:val="18"/>
                <w:szCs w:val="18"/>
              </w:rPr>
              <w:t xml:space="preserve">AR-0004</w:t>
            </w:r>
          </w:p>
        </w:tc>
        <w:tc>
          <w:tcPr>
            <w:tcW w:type="dxa" w:w="2100"/>
            <w:shd w:fill="F2F2F2" w:val="clear"/>
            <w:vAlign w:val="center"/>
          </w:tcPr>
          <w:p>
            <w:r>
              <w:rPr>
                <w:b w:val="false"/>
                <w:bCs w:val="false"/>
                <w:sz w:val="18"/>
                <w:szCs w:val="18"/>
              </w:rPr>
              <w:t xml:space="preserve">Native range partitioning on 4 high-growth tables</w:t>
            </w:r>
          </w:p>
        </w:tc>
        <w:tc>
          <w:tcPr>
            <w:tcW w:type="dxa" w:w="700"/>
            <w:shd w:fill="F2F2F2" w:val="clear"/>
            <w:vAlign w:val="center"/>
          </w:tcPr>
          <w:p>
            <w:r>
              <w:rPr>
                <w:b w:val="false"/>
                <w:bCs w:val="false"/>
                <w:sz w:val="18"/>
                <w:szCs w:val="18"/>
              </w:rPr>
              <w:t xml:space="preserve">WP-0003</w:t>
            </w:r>
          </w:p>
        </w:tc>
        <w:tc>
          <w:tcPr>
            <w:tcW w:type="dxa" w:w="1900"/>
            <w:shd w:fill="F2F2F2" w:val="clear"/>
            <w:vAlign w:val="center"/>
          </w:tcPr>
          <w:p>
            <w:r>
              <w:rPr>
                <w:b w:val="false"/>
                <w:bCs w:val="false"/>
                <w:sz w:val="18"/>
                <w:szCs w:val="18"/>
              </w:rPr>
              <w:t xml:space="preserve">Quarterly row-count/latency check against trigger</w:t>
            </w:r>
          </w:p>
        </w:tc>
        <w:tc>
          <w:tcPr>
            <w:tcW w:type="dxa" w:w="1500"/>
            <w:shd w:fill="F2F2F2" w:val="clear"/>
            <w:vAlign w:val="center"/>
          </w:tcPr>
          <w:p>
            <w:r>
              <w:rPr>
                <w:b w:val="false"/>
                <w:bCs w:val="false"/>
                <w:sz w:val="18"/>
                <w:szCs w:val="18"/>
              </w:rPr>
              <w:t xml:space="preserve">Section 9 — WP-0003 criteria (trigger-gated)</w:t>
            </w:r>
          </w:p>
        </w:tc>
        <w:tc>
          <w:tcPr>
            <w:tcW w:type="dxa" w:w="1560"/>
            <w:shd w:fill="F2F2F2" w:val="clear"/>
            <w:vAlign w:val="center"/>
          </w:tcPr>
          <w:p>
            <w:r>
              <w:rPr>
                <w:b w:val="false"/>
                <w:bCs w:val="false"/>
                <w:sz w:val="18"/>
                <w:szCs w:val="18"/>
              </w:rPr>
              <w:t xml:space="preserve">Deferred, conformant (EGD-0004)</w:t>
            </w:r>
          </w:p>
        </w:tc>
        <w:tc>
          <w:tcPr>
            <w:tcW w:type="dxa" w:w="900"/>
            <w:shd w:fill="F2F2F2" w:val="clear"/>
            <w:vAlign w:val="center"/>
          </w:tcPr>
          <w:p>
            <w:r>
              <w:rPr>
                <w:b w:val="false"/>
                <w:bCs w:val="false"/>
                <w:sz w:val="18"/>
                <w:szCs w:val="18"/>
              </w:rPr>
              <w:t xml:space="preserve">Medium, growing risk (VAR-04); trigger-gated, not work-gated</w:t>
            </w:r>
          </w:p>
        </w:tc>
      </w:tr>
      <w:tr>
        <w:tc>
          <w:tcPr>
            <w:tcW w:type="dxa" w:w="700"/>
            <w:vAlign w:val="center"/>
          </w:tcPr>
          <w:p>
            <w:r>
              <w:rPr>
                <w:b w:val="false"/>
                <w:bCs w:val="false"/>
                <w:sz w:val="18"/>
                <w:szCs w:val="18"/>
              </w:rPr>
              <w:t xml:space="preserve">AR-0005</w:t>
            </w:r>
          </w:p>
        </w:tc>
        <w:tc>
          <w:tcPr>
            <w:tcW w:type="dxa" w:w="2100"/>
            <w:vAlign w:val="center"/>
          </w:tcPr>
          <w:p>
            <w:r>
              <w:rPr>
                <w:b w:val="false"/>
                <w:bCs w:val="false"/>
                <w:sz w:val="18"/>
                <w:szCs w:val="18"/>
              </w:rPr>
              <w:t xml:space="preserve">Separate qualification/selection from record/performance entities</w:t>
            </w:r>
          </w:p>
        </w:tc>
        <w:tc>
          <w:tcPr>
            <w:tcW w:type="dxa" w:w="700"/>
            <w:vAlign w:val="center"/>
          </w:tcPr>
          <w:p>
            <w:r>
              <w:rPr>
                <w:b w:val="false"/>
                <w:bCs w:val="false"/>
                <w:sz w:val="18"/>
                <w:szCs w:val="18"/>
              </w:rPr>
              <w:t xml:space="preserve">— (deferred)</w:t>
            </w:r>
          </w:p>
        </w:tc>
        <w:tc>
          <w:tcPr>
            <w:tcW w:type="dxa" w:w="1900"/>
            <w:vAlign w:val="center"/>
          </w:tcPr>
          <w:p>
            <w:r>
              <w:rPr>
                <w:b w:val="false"/>
                <w:bCs w:val="false"/>
                <w:sz w:val="18"/>
                <w:szCs w:val="18"/>
              </w:rPr>
              <w:t xml:space="preserve">Product roadmap review</w:t>
            </w:r>
          </w:p>
        </w:tc>
        <w:tc>
          <w:tcPr>
            <w:tcW w:type="dxa" w:w="1500"/>
            <w:vAlign w:val="center"/>
          </w:tcPr>
          <w:p>
            <w:r>
              <w:rPr>
                <w:b w:val="false"/>
                <w:bCs w:val="false"/>
                <w:sz w:val="18"/>
                <w:szCs w:val="18"/>
              </w:rPr>
              <w:t xml:space="preserve">Not Evidenced in Current Baseline</w:t>
            </w:r>
          </w:p>
        </w:tc>
        <w:tc>
          <w:tcPr>
            <w:tcW w:type="dxa" w:w="1560"/>
            <w:vAlign w:val="center"/>
          </w:tcPr>
          <w:p>
            <w:r>
              <w:rPr>
                <w:b w:val="false"/>
                <w:bCs w:val="false"/>
                <w:sz w:val="18"/>
                <w:szCs w:val="18"/>
              </w:rPr>
              <w:t xml:space="preserve">Deferred, conformant (EGD-0005)</w:t>
            </w:r>
          </w:p>
        </w:tc>
        <w:tc>
          <w:tcPr>
            <w:tcW w:type="dxa" w:w="900"/>
            <w:vAlign w:val="center"/>
          </w:tcPr>
          <w:p>
            <w:r>
              <w:rPr>
                <w:b w:val="false"/>
                <w:bCs w:val="false"/>
                <w:sz w:val="18"/>
                <w:szCs w:val="18"/>
              </w:rPr>
              <w:t xml:space="preserve">Low risk; folded into current 2-table model pending real product need</w:t>
            </w:r>
          </w:p>
        </w:tc>
      </w:tr>
      <w:tr>
        <w:tc>
          <w:tcPr>
            <w:tcW w:type="dxa" w:w="700"/>
            <w:shd w:fill="F2F2F2" w:val="clear"/>
            <w:vAlign w:val="center"/>
          </w:tcPr>
          <w:p>
            <w:r>
              <w:rPr>
                <w:b w:val="false"/>
                <w:bCs w:val="false"/>
                <w:sz w:val="18"/>
                <w:szCs w:val="18"/>
              </w:rPr>
              <w:t xml:space="preserve">AR-0006</w:t>
            </w:r>
          </w:p>
        </w:tc>
        <w:tc>
          <w:tcPr>
            <w:tcW w:type="dxa" w:w="2100"/>
            <w:shd w:fill="F2F2F2" w:val="clear"/>
            <w:vAlign w:val="center"/>
          </w:tcPr>
          <w:p>
            <w:r>
              <w:rPr>
                <w:b w:val="false"/>
                <w:bCs w:val="false"/>
                <w:sz w:val="18"/>
                <w:szCs w:val="18"/>
              </w:rPr>
              <w:t xml:space="preserve">Self-referencing supersession columns for corrected records</w:t>
            </w:r>
          </w:p>
        </w:tc>
        <w:tc>
          <w:tcPr>
            <w:tcW w:type="dxa" w:w="700"/>
            <w:shd w:fill="F2F2F2" w:val="clear"/>
            <w:vAlign w:val="center"/>
          </w:tcPr>
          <w:p>
            <w:r>
              <w:rPr>
                <w:b w:val="false"/>
                <w:bCs w:val="false"/>
                <w:sz w:val="18"/>
                <w:szCs w:val="18"/>
              </w:rPr>
              <w:t xml:space="preserve">— (deferred)</w:t>
            </w:r>
          </w:p>
        </w:tc>
        <w:tc>
          <w:tcPr>
            <w:tcW w:type="dxa" w:w="1900"/>
            <w:shd w:fill="F2F2F2" w:val="clear"/>
            <w:vAlign w:val="center"/>
          </w:tcPr>
          <w:p>
            <w:r>
              <w:rPr>
                <w:b w:val="false"/>
                <w:bCs w:val="false"/>
                <w:sz w:val="18"/>
                <w:szCs w:val="18"/>
              </w:rPr>
              <w:t xml:space="preserve">Compliance/audit scope review</w:t>
            </w:r>
          </w:p>
        </w:tc>
        <w:tc>
          <w:tcPr>
            <w:tcW w:type="dxa" w:w="1500"/>
            <w:shd w:fill="F2F2F2" w:val="clear"/>
            <w:vAlign w:val="center"/>
          </w:tcPr>
          <w:p>
            <w:r>
              <w:rPr>
                <w:b w:val="false"/>
                <w:bCs w:val="false"/>
                <w:sz w:val="18"/>
                <w:szCs w:val="18"/>
              </w:rPr>
              <w:t xml:space="preserve">Not Evidenced in Current Baseline</w:t>
            </w:r>
          </w:p>
        </w:tc>
        <w:tc>
          <w:tcPr>
            <w:tcW w:type="dxa" w:w="1560"/>
            <w:shd w:fill="F2F2F2" w:val="clear"/>
            <w:vAlign w:val="center"/>
          </w:tcPr>
          <w:p>
            <w:r>
              <w:rPr>
                <w:b w:val="false"/>
                <w:bCs w:val="false"/>
                <w:sz w:val="18"/>
                <w:szCs w:val="18"/>
              </w:rPr>
              <w:t xml:space="preserve">Deferred, conformant (EGD-0006)</w:t>
            </w:r>
          </w:p>
        </w:tc>
        <w:tc>
          <w:tcPr>
            <w:tcW w:type="dxa" w:w="900"/>
            <w:shd w:fill="F2F2F2" w:val="clear"/>
            <w:vAlign w:val="center"/>
          </w:tcPr>
          <w:p>
            <w:r>
              <w:rPr>
                <w:b w:val="false"/>
                <w:bCs w:val="false"/>
                <w:sz w:val="18"/>
                <w:szCs w:val="18"/>
              </w:rPr>
              <w:t xml:space="preserve">Low currently, high if triggered late; not work-package-bound</w:t>
            </w:r>
          </w:p>
        </w:tc>
      </w:tr>
      <w:tr>
        <w:tc>
          <w:tcPr>
            <w:tcW w:type="dxa" w:w="700"/>
            <w:vAlign w:val="center"/>
          </w:tcPr>
          <w:p>
            <w:r>
              <w:rPr>
                <w:b w:val="false"/>
                <w:bCs w:val="false"/>
                <w:sz w:val="18"/>
                <w:szCs w:val="18"/>
              </w:rPr>
              <w:t xml:space="preserve">AR-0007</w:t>
            </w:r>
          </w:p>
        </w:tc>
        <w:tc>
          <w:tcPr>
            <w:tcW w:type="dxa" w:w="2100"/>
            <w:vAlign w:val="center"/>
          </w:tcPr>
          <w:p>
            <w:r>
              <w:rPr>
                <w:b w:val="false"/>
                <w:bCs w:val="false"/>
                <w:sz w:val="18"/>
                <w:szCs w:val="18"/>
              </w:rPr>
              <w:t xml:space="preserve">Uniform RLS ownership-check coverage on student-owned tables</w:t>
            </w:r>
          </w:p>
        </w:tc>
        <w:tc>
          <w:tcPr>
            <w:tcW w:type="dxa" w:w="700"/>
            <w:vAlign w:val="center"/>
          </w:tcPr>
          <w:p>
            <w:r>
              <w:rPr>
                <w:b w:val="false"/>
                <w:bCs w:val="false"/>
                <w:sz w:val="18"/>
                <w:szCs w:val="18"/>
              </w:rPr>
              <w:t xml:space="preserve">WP-0002, WP-0005</w:t>
            </w:r>
          </w:p>
        </w:tc>
        <w:tc>
          <w:tcPr>
            <w:tcW w:type="dxa" w:w="1900"/>
            <w:vAlign w:val="center"/>
          </w:tcPr>
          <w:p>
            <w:r>
              <w:rPr>
                <w:b w:val="false"/>
                <w:bCs w:val="false"/>
                <w:sz w:val="18"/>
                <w:szCs w:val="18"/>
              </w:rPr>
              <w:t xml:space="preserve">Written RLS status + policy list per student-owned table</w:t>
            </w:r>
          </w:p>
        </w:tc>
        <w:tc>
          <w:tcPr>
            <w:tcW w:type="dxa" w:w="1500"/>
            <w:vAlign w:val="center"/>
          </w:tcPr>
          <w:p>
            <w:r>
              <w:rPr>
                <w:b w:val="false"/>
                <w:bCs w:val="false"/>
                <w:sz w:val="18"/>
                <w:szCs w:val="18"/>
              </w:rPr>
              <w:t xml:space="preserve">Section 9 — WP-0002 criteria</w:t>
            </w:r>
          </w:p>
        </w:tc>
        <w:tc>
          <w:tcPr>
            <w:tcW w:type="dxa" w:w="1560"/>
            <w:vAlign w:val="center"/>
          </w:tcPr>
          <w:p>
            <w:r>
              <w:rPr>
                <w:b w:val="false"/>
                <w:bCs w:val="false"/>
                <w:sz w:val="18"/>
                <w:szCs w:val="18"/>
              </w:rPr>
              <w:t xml:space="preserve">Partially conformant, unverified remainder, L4 pending</w:t>
            </w:r>
          </w:p>
        </w:tc>
        <w:tc>
          <w:tcPr>
            <w:tcW w:type="dxa" w:w="900"/>
            <w:vAlign w:val="center"/>
          </w:tcPr>
          <w:p>
            <w:r>
              <w:rPr>
                <w:b w:val="false"/>
                <w:bCs w:val="false"/>
                <w:sz w:val="18"/>
                <w:szCs w:val="18"/>
              </w:rPr>
              <w:t xml:space="preserve">Critical-until-verified; the baseline's one open security unknown</w:t>
            </w:r>
          </w:p>
        </w:tc>
      </w:tr>
      <w:tr>
        <w:tc>
          <w:tcPr>
            <w:tcW w:type="dxa" w:w="700"/>
            <w:shd w:fill="F2F2F2" w:val="clear"/>
            <w:vAlign w:val="center"/>
          </w:tcPr>
          <w:p>
            <w:r>
              <w:rPr>
                <w:b w:val="false"/>
                <w:bCs w:val="false"/>
                <w:sz w:val="18"/>
                <w:szCs w:val="18"/>
              </w:rPr>
              <w:t xml:space="preserve">AR-0008</w:t>
            </w:r>
          </w:p>
        </w:tc>
        <w:tc>
          <w:tcPr>
            <w:tcW w:type="dxa" w:w="2100"/>
            <w:shd w:fill="F2F2F2" w:val="clear"/>
            <w:vAlign w:val="center"/>
          </w:tcPr>
          <w:p>
            <w:r>
              <w:rPr>
                <w:b w:val="false"/>
                <w:bCs w:val="false"/>
                <w:sz w:val="18"/>
                <w:szCs w:val="18"/>
              </w:rPr>
              <w:t xml:space="preserve">UUID primary keys on all tables</w:t>
            </w:r>
          </w:p>
        </w:tc>
        <w:tc>
          <w:tcPr>
            <w:tcW w:type="dxa" w:w="700"/>
            <w:shd w:fill="F2F2F2" w:val="clear"/>
            <w:vAlign w:val="center"/>
          </w:tcPr>
          <w:p>
            <w:r>
              <w:rPr>
                <w:b w:val="false"/>
                <w:bCs w:val="false"/>
                <w:sz w:val="18"/>
                <w:szCs w:val="18"/>
              </w:rPr>
              <w:t xml:space="preserve">— (standing)</w:t>
            </w:r>
          </w:p>
        </w:tc>
        <w:tc>
          <w:tcPr>
            <w:tcW w:type="dxa" w:w="1900"/>
            <w:shd w:fill="F2F2F2" w:val="clear"/>
            <w:vAlign w:val="center"/>
          </w:tcPr>
          <w:p>
            <w:r>
              <w:rPr>
                <w:b w:val="false"/>
                <w:bCs w:val="false"/>
                <w:sz w:val="18"/>
                <w:szCs w:val="18"/>
              </w:rPr>
              <w:t xml:space="preserve">Schema audit (standing)</w:t>
            </w:r>
          </w:p>
        </w:tc>
        <w:tc>
          <w:tcPr>
            <w:tcW w:type="dxa" w:w="1500"/>
            <w:shd w:fill="F2F2F2" w:val="clear"/>
            <w:vAlign w:val="center"/>
          </w:tcPr>
          <w:p>
            <w:r>
              <w:rPr>
                <w:b w:val="false"/>
                <w:bCs w:val="false"/>
                <w:sz w:val="18"/>
                <w:szCs w:val="18"/>
              </w:rPr>
              <w:t xml:space="preserve">Section 9 — Not Applicable (standing standard)</w:t>
            </w:r>
          </w:p>
        </w:tc>
        <w:tc>
          <w:tcPr>
            <w:tcW w:type="dxa" w:w="1560"/>
            <w:shd w:fill="F2F2F2" w:val="clear"/>
            <w:vAlign w:val="center"/>
          </w:tcPr>
          <w:p>
            <w:r>
              <w:rPr>
                <w:b w:val="false"/>
                <w:bCs w:val="false"/>
                <w:sz w:val="18"/>
                <w:szCs w:val="18"/>
              </w:rPr>
              <w:t xml:space="preserve">Conformant, exceeds bar (EGD-0008)</w:t>
            </w:r>
          </w:p>
        </w:tc>
        <w:tc>
          <w:tcPr>
            <w:tcW w:type="dxa" w:w="900"/>
            <w:shd w:fill="F2F2F2" w:val="clear"/>
            <w:vAlign w:val="center"/>
          </w:tcPr>
          <w:p>
            <w:r>
              <w:rPr>
                <w:b w:val="false"/>
                <w:bCs w:val="false"/>
                <w:sz w:val="18"/>
                <w:szCs w:val="18"/>
              </w:rPr>
              <w:t xml:space="preserve">L4 met; no action required</w:t>
            </w:r>
          </w:p>
        </w:tc>
      </w:tr>
      <w:tr>
        <w:tc>
          <w:tcPr>
            <w:tcW w:type="dxa" w:w="700"/>
            <w:vAlign w:val="center"/>
          </w:tcPr>
          <w:p>
            <w:r>
              <w:rPr>
                <w:b w:val="false"/>
                <w:bCs w:val="false"/>
                <w:sz w:val="18"/>
                <w:szCs w:val="18"/>
              </w:rPr>
              <w:t xml:space="preserve">AR-0009</w:t>
            </w:r>
          </w:p>
        </w:tc>
        <w:tc>
          <w:tcPr>
            <w:tcW w:type="dxa" w:w="2100"/>
            <w:vAlign w:val="center"/>
          </w:tcPr>
          <w:p>
            <w:r>
              <w:rPr>
                <w:b w:val="false"/>
                <w:bCs w:val="false"/>
                <w:sz w:val="18"/>
                <w:szCs w:val="18"/>
              </w:rPr>
              <w:t xml:space="preserve">timestamptz used consistently; no naive timestamps</w:t>
            </w:r>
          </w:p>
        </w:tc>
        <w:tc>
          <w:tcPr>
            <w:tcW w:type="dxa" w:w="700"/>
            <w:vAlign w:val="center"/>
          </w:tcPr>
          <w:p>
            <w:r>
              <w:rPr>
                <w:b w:val="false"/>
                <w:bCs w:val="false"/>
                <w:sz w:val="18"/>
                <w:szCs w:val="18"/>
              </w:rPr>
              <w:t xml:space="preserve">— (standing)</w:t>
            </w:r>
          </w:p>
        </w:tc>
        <w:tc>
          <w:tcPr>
            <w:tcW w:type="dxa" w:w="1900"/>
            <w:vAlign w:val="center"/>
          </w:tcPr>
          <w:p>
            <w:r>
              <w:rPr>
                <w:b w:val="false"/>
                <w:bCs w:val="false"/>
                <w:sz w:val="18"/>
                <w:szCs w:val="18"/>
              </w:rPr>
              <w:t xml:space="preserve">Schema audit (standing)</w:t>
            </w:r>
          </w:p>
        </w:tc>
        <w:tc>
          <w:tcPr>
            <w:tcW w:type="dxa" w:w="1500"/>
            <w:vAlign w:val="center"/>
          </w:tcPr>
          <w:p>
            <w:r>
              <w:rPr>
                <w:b w:val="false"/>
                <w:bCs w:val="false"/>
                <w:sz w:val="18"/>
                <w:szCs w:val="18"/>
              </w:rPr>
              <w:t xml:space="preserve">Section 9 — Not Applicable (standing standard)</w:t>
            </w:r>
          </w:p>
        </w:tc>
        <w:tc>
          <w:tcPr>
            <w:tcW w:type="dxa" w:w="1560"/>
            <w:vAlign w:val="center"/>
          </w:tcPr>
          <w:p>
            <w:r>
              <w:rPr>
                <w:b w:val="false"/>
                <w:bCs w:val="false"/>
                <w:sz w:val="18"/>
                <w:szCs w:val="18"/>
              </w:rPr>
              <w:t xml:space="preserve">Conformant (EGD-0008)</w:t>
            </w:r>
          </w:p>
        </w:tc>
        <w:tc>
          <w:tcPr>
            <w:tcW w:type="dxa" w:w="900"/>
            <w:vAlign w:val="center"/>
          </w:tcPr>
          <w:p>
            <w:r>
              <w:rPr>
                <w:b w:val="false"/>
                <w:bCs w:val="false"/>
                <w:sz w:val="18"/>
                <w:szCs w:val="18"/>
              </w:rPr>
              <w:t xml:space="preserve">L4 met; no action required</w:t>
            </w:r>
          </w:p>
        </w:tc>
      </w:tr>
      <w:tr>
        <w:tc>
          <w:tcPr>
            <w:tcW w:type="dxa" w:w="700"/>
            <w:shd w:fill="F2F2F2" w:val="clear"/>
            <w:vAlign w:val="center"/>
          </w:tcPr>
          <w:p>
            <w:r>
              <w:rPr>
                <w:b w:val="false"/>
                <w:bCs w:val="false"/>
                <w:sz w:val="18"/>
                <w:szCs w:val="18"/>
              </w:rPr>
              <w:t xml:space="preserve">AR-0010</w:t>
            </w:r>
          </w:p>
        </w:tc>
        <w:tc>
          <w:tcPr>
            <w:tcW w:type="dxa" w:w="2100"/>
            <w:shd w:fill="F2F2F2" w:val="clear"/>
            <w:vAlign w:val="center"/>
          </w:tcPr>
          <w:p>
            <w:r>
              <w:rPr>
                <w:b w:val="false"/>
                <w:bCs w:val="false"/>
                <w:sz w:val="18"/>
                <w:szCs w:val="18"/>
              </w:rPr>
              <w:t xml:space="preserve">Idempotent, rollback-ready, consistently-named migrations</w:t>
            </w:r>
          </w:p>
        </w:tc>
        <w:tc>
          <w:tcPr>
            <w:tcW w:type="dxa" w:w="700"/>
            <w:shd w:fill="F2F2F2" w:val="clear"/>
            <w:vAlign w:val="center"/>
          </w:tcPr>
          <w:p>
            <w:r>
              <w:rPr>
                <w:b w:val="false"/>
                <w:bCs w:val="false"/>
                <w:sz w:val="18"/>
                <w:szCs w:val="18"/>
              </w:rPr>
              <w:t xml:space="preserve">— (standing)</w:t>
            </w:r>
          </w:p>
        </w:tc>
        <w:tc>
          <w:tcPr>
            <w:tcW w:type="dxa" w:w="1900"/>
            <w:shd w:fill="F2F2F2" w:val="clear"/>
            <w:vAlign w:val="center"/>
          </w:tcPr>
          <w:p>
            <w:r>
              <w:rPr>
                <w:b w:val="false"/>
                <w:bCs w:val="false"/>
                <w:sz w:val="18"/>
                <w:szCs w:val="18"/>
              </w:rPr>
              <w:t xml:space="preserve">Migration review (standing)</w:t>
            </w:r>
          </w:p>
        </w:tc>
        <w:tc>
          <w:tcPr>
            <w:tcW w:type="dxa" w:w="1500"/>
            <w:shd w:fill="F2F2F2" w:val="clear"/>
            <w:vAlign w:val="center"/>
          </w:tcPr>
          <w:p>
            <w:r>
              <w:rPr>
                <w:b w:val="false"/>
                <w:bCs w:val="false"/>
                <w:sz w:val="18"/>
                <w:szCs w:val="18"/>
              </w:rPr>
              <w:t xml:space="preserve">Section 9 — Not Applicable (standing standard)</w:t>
            </w:r>
          </w:p>
        </w:tc>
        <w:tc>
          <w:tcPr>
            <w:tcW w:type="dxa" w:w="1560"/>
            <w:shd w:fill="F2F2F2" w:val="clear"/>
            <w:vAlign w:val="center"/>
          </w:tcPr>
          <w:p>
            <w:r>
              <w:rPr>
                <w:b w:val="false"/>
                <w:bCs w:val="false"/>
                <w:sz w:val="18"/>
                <w:szCs w:val="18"/>
              </w:rPr>
              <w:t xml:space="preserve">Conformant, exceeds bar (EGD-0009)</w:t>
            </w:r>
          </w:p>
        </w:tc>
        <w:tc>
          <w:tcPr>
            <w:tcW w:type="dxa" w:w="900"/>
            <w:shd w:fill="F2F2F2" w:val="clear"/>
            <w:vAlign w:val="center"/>
          </w:tcPr>
          <w:p>
            <w:r>
              <w:rPr>
                <w:b w:val="false"/>
                <w:bCs w:val="false"/>
                <w:sz w:val="18"/>
                <w:szCs w:val="18"/>
              </w:rPr>
              <w:t xml:space="preserve">L4 met; no action required</w:t>
            </w:r>
          </w:p>
        </w:tc>
      </w:tr>
    </w:tbl>
    <w:p>
      <w:pPr>
        <w:spacing w:after="160"/>
      </w:pPr>
      <w:r>
        <w:rPr>
          <w:b w:val="false"/>
          <w:bCs w:val="false"/>
          <w:i/>
          <w:iCs/>
        </w:rPr>
        <w:t xml:space="preserve">Do NOT invent new ARs — this table reproduces Phase A.3 §3 and §7 exactly; ten ARs remain the complete and permanent catalog.</w:t>
      </w:r>
    </w:p>
    <w:p>
      <w:pPr>
        <w:pStyle w:val="Heading2"/>
        <w:spacing w:after="120" w:before="240"/>
      </w:pPr>
      <w:r>
        <w:t xml:space="preserve">10.7.4 — Enterprise Governance Decision Conformance Dashboard</w:t>
      </w:r>
    </w:p>
    <w:p>
      <w:pPr>
        <w:spacing w:after="160"/>
      </w:pPr>
      <w:r>
        <w:rPr>
          <w:b w:val="false"/>
          <w:bCs w:val="false"/>
          <w:i/>
          <w:iCs/>
        </w:rPr>
        <w:t xml:space="preserve">Source: Phase A.3 §4 (Enterprise Governance Decision Register).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1500"/>
        <w:gridCol w:w="1700"/>
        <w:gridCol w:w="1360"/>
      </w:tblGrid>
      <w:tr>
        <w:trPr>
          <w:tblHeader/>
        </w:trPr>
        <w:tc>
          <w:tcPr>
            <w:tcW w:type="dxa" w:w="900"/>
            <w:shd w:fill="1F3864" w:val="clear"/>
            <w:vAlign w:val="center"/>
          </w:tcPr>
          <w:p>
            <w:r>
              <w:rPr>
                <w:b/>
                <w:bCs/>
                <w:color w:val="FFFFFF"/>
                <w:sz w:val="18"/>
                <w:szCs w:val="18"/>
              </w:rPr>
              <w:t xml:space="preserve">EGD</w:t>
            </w:r>
          </w:p>
        </w:tc>
        <w:tc>
          <w:tcPr>
            <w:tcW w:type="dxa" w:w="2700"/>
            <w:shd w:fill="1F3864" w:val="clear"/>
            <w:vAlign w:val="center"/>
          </w:tcPr>
          <w:p>
            <w:r>
              <w:rPr>
                <w:b/>
                <w:bCs/>
                <w:color w:val="FFFFFF"/>
                <w:sz w:val="18"/>
                <w:szCs w:val="18"/>
              </w:rPr>
              <w:t xml:space="preserve">Decision Summary</w:t>
            </w:r>
          </w:p>
        </w:tc>
        <w:tc>
          <w:tcPr>
            <w:tcW w:type="dxa" w:w="1200"/>
            <w:shd w:fill="1F3864" w:val="clear"/>
            <w:vAlign w:val="center"/>
          </w:tcPr>
          <w:p>
            <w:r>
              <w:rPr>
                <w:b/>
                <w:bCs/>
                <w:color w:val="FFFFFF"/>
                <w:sz w:val="18"/>
                <w:szCs w:val="18"/>
              </w:rPr>
              <w:t xml:space="preserve">WP Implementation</w:t>
            </w:r>
          </w:p>
        </w:tc>
        <w:tc>
          <w:tcPr>
            <w:tcW w:type="dxa" w:w="1500"/>
            <w:shd w:fill="1F3864" w:val="clear"/>
            <w:vAlign w:val="center"/>
          </w:tcPr>
          <w:p>
            <w:r>
              <w:rPr>
                <w:b/>
                <w:bCs/>
                <w:color w:val="FFFFFF"/>
                <w:sz w:val="18"/>
                <w:szCs w:val="18"/>
              </w:rPr>
              <w:t xml:space="preserve">Current Status</w:t>
            </w:r>
          </w:p>
        </w:tc>
        <w:tc>
          <w:tcPr>
            <w:tcW w:type="dxa" w:w="1700"/>
            <w:shd w:fill="1F3864" w:val="clear"/>
            <w:vAlign w:val="center"/>
          </w:tcPr>
          <w:p>
            <w:r>
              <w:rPr>
                <w:b/>
                <w:bCs/>
                <w:color w:val="FFFFFF"/>
                <w:sz w:val="18"/>
                <w:szCs w:val="18"/>
              </w:rPr>
              <w:t xml:space="preserve">Remaining Conditions</w:t>
            </w:r>
          </w:p>
        </w:tc>
        <w:tc>
          <w:tcPr>
            <w:tcW w:type="dxa" w:w="1360"/>
            <w:shd w:fill="1F3864" w:val="clear"/>
            <w:vAlign w:val="center"/>
          </w:tcPr>
          <w:p>
            <w:r>
              <w:rPr>
                <w:b/>
                <w:bCs/>
                <w:color w:val="FFFFFF"/>
                <w:sz w:val="18"/>
                <w:szCs w:val="18"/>
              </w:rPr>
              <w:t xml:space="preserve">Executive Assessment</w:t>
            </w:r>
          </w:p>
        </w:tc>
      </w:tr>
      <w:tr>
        <w:tc>
          <w:tcPr>
            <w:tcW w:type="dxa" w:w="900"/>
            <w:vAlign w:val="center"/>
          </w:tcPr>
          <w:p>
            <w:r>
              <w:rPr>
                <w:b w:val="false"/>
                <w:bCs w:val="false"/>
                <w:sz w:val="18"/>
                <w:szCs w:val="18"/>
              </w:rPr>
              <w:t xml:space="preserve">EGD-0001</w:t>
            </w:r>
          </w:p>
        </w:tc>
        <w:tc>
          <w:tcPr>
            <w:tcW w:type="dxa" w:w="2700"/>
            <w:vAlign w:val="center"/>
          </w:tcPr>
          <w:p>
            <w:r>
              <w:rPr>
                <w:b w:val="false"/>
                <w:bCs w:val="false"/>
                <w:sz w:val="18"/>
                <w:szCs w:val="18"/>
              </w:rPr>
              <w:t xml:space="preserve">Defer schema isolation for AR-0001</w:t>
            </w:r>
          </w:p>
        </w:tc>
        <w:tc>
          <w:tcPr>
            <w:tcW w:type="dxa" w:w="1200"/>
            <w:vAlign w:val="center"/>
          </w:tcPr>
          <w:p>
            <w:r>
              <w:rPr>
                <w:b w:val="false"/>
                <w:bCs w:val="false"/>
                <w:sz w:val="18"/>
                <w:szCs w:val="18"/>
              </w:rPr>
              <w:t xml:space="preserve">None (trigger-gated)</w:t>
            </w:r>
          </w:p>
        </w:tc>
        <w:tc>
          <w:tcPr>
            <w:tcW w:type="dxa" w:w="1500"/>
            <w:vAlign w:val="center"/>
          </w:tcPr>
          <w:p>
            <w:r>
              <w:rPr>
                <w:b w:val="false"/>
                <w:bCs w:val="false"/>
                <w:sz w:val="18"/>
                <w:szCs w:val="18"/>
              </w:rPr>
              <w:t xml:space="preserve">Deferred</w:t>
            </w:r>
          </w:p>
        </w:tc>
        <w:tc>
          <w:tcPr>
            <w:tcW w:type="dxa" w:w="1700"/>
            <w:vAlign w:val="center"/>
          </w:tcPr>
          <w:p>
            <w:r>
              <w:rPr>
                <w:b w:val="false"/>
                <w:bCs w:val="false"/>
                <w:sz w:val="18"/>
                <w:szCs w:val="18"/>
              </w:rPr>
              <w:t xml:space="preserve">2nd domain shares public schema, or public exceeds ~150 tables</w:t>
            </w:r>
          </w:p>
        </w:tc>
        <w:tc>
          <w:tcPr>
            <w:tcW w:type="dxa" w:w="1360"/>
            <w:vAlign w:val="center"/>
          </w:tcPr>
          <w:p>
            <w:r>
              <w:rPr>
                <w:b w:val="false"/>
                <w:bCs w:val="false"/>
                <w:sz w:val="18"/>
                <w:szCs w:val="18"/>
              </w:rPr>
              <w:t xml:space="preserve">No action required; VAR-01 monitored quarterly</w:t>
            </w:r>
          </w:p>
        </w:tc>
      </w:tr>
      <w:tr>
        <w:tc>
          <w:tcPr>
            <w:tcW w:type="dxa" w:w="900"/>
            <w:shd w:fill="F2F2F2" w:val="clear"/>
            <w:vAlign w:val="center"/>
          </w:tcPr>
          <w:p>
            <w:r>
              <w:rPr>
                <w:b w:val="false"/>
                <w:bCs w:val="false"/>
                <w:sz w:val="18"/>
                <w:szCs w:val="18"/>
              </w:rPr>
              <w:t xml:space="preserve">EGD-0002</w:t>
            </w:r>
          </w:p>
        </w:tc>
        <w:tc>
          <w:tcPr>
            <w:tcW w:type="dxa" w:w="2700"/>
            <w:shd w:fill="F2F2F2" w:val="clear"/>
            <w:vAlign w:val="center"/>
          </w:tcPr>
          <w:p>
            <w:r>
              <w:rPr>
                <w:b w:val="false"/>
                <w:bCs w:val="false"/>
                <w:sz w:val="18"/>
                <w:szCs w:val="18"/>
              </w:rPr>
              <w:t xml:space="preserve">Supersede canonical naming; revise architecture doc to describe live schema (AR-0002)</w:t>
            </w:r>
          </w:p>
        </w:tc>
        <w:tc>
          <w:tcPr>
            <w:tcW w:type="dxa" w:w="1200"/>
            <w:shd w:fill="F2F2F2" w:val="clear"/>
            <w:vAlign w:val="center"/>
          </w:tcPr>
          <w:p>
            <w:r>
              <w:rPr>
                <w:b w:val="false"/>
                <w:bCs w:val="false"/>
                <w:sz w:val="18"/>
                <w:szCs w:val="18"/>
              </w:rPr>
              <w:t xml:space="preserve">WP-0001</w:t>
            </w:r>
          </w:p>
        </w:tc>
        <w:tc>
          <w:tcPr>
            <w:tcW w:type="dxa" w:w="1500"/>
            <w:shd w:fill="F2F2F2" w:val="clear"/>
            <w:vAlign w:val="center"/>
          </w:tcPr>
          <w:p>
            <w:r>
              <w:rPr>
                <w:b w:val="false"/>
                <w:bCs w:val="false"/>
                <w:sz w:val="18"/>
                <w:szCs w:val="18"/>
              </w:rPr>
              <w:t xml:space="preserve">Accepted, execution = WP-0001</w:t>
            </w:r>
          </w:p>
        </w:tc>
        <w:tc>
          <w:tcPr>
            <w:tcW w:type="dxa" w:w="1700"/>
            <w:shd w:fill="F2F2F2" w:val="clear"/>
            <w:vAlign w:val="center"/>
          </w:tcPr>
          <w:p>
            <w:r>
              <w:rPr>
                <w:b w:val="false"/>
                <w:bCs w:val="false"/>
                <w:sz w:val="18"/>
                <w:szCs w:val="18"/>
              </w:rPr>
              <w:t xml:space="preserve">Documentation revision not yet published</w:t>
            </w:r>
          </w:p>
        </w:tc>
        <w:tc>
          <w:tcPr>
            <w:tcW w:type="dxa" w:w="1360"/>
            <w:shd w:fill="F2F2F2" w:val="clear"/>
            <w:vAlign w:val="center"/>
          </w:tcPr>
          <w:p>
            <w:r>
              <w:rPr>
                <w:b w:val="false"/>
                <w:bCs w:val="false"/>
                <w:sz w:val="18"/>
                <w:szCs w:val="18"/>
              </w:rPr>
              <w:t xml:space="preserve">Highest-priority open governance action in this baseline</w:t>
            </w:r>
          </w:p>
        </w:tc>
      </w:tr>
      <w:tr>
        <w:tc>
          <w:tcPr>
            <w:tcW w:type="dxa" w:w="900"/>
            <w:vAlign w:val="center"/>
          </w:tcPr>
          <w:p>
            <w:r>
              <w:rPr>
                <w:b w:val="false"/>
                <w:bCs w:val="false"/>
                <w:sz w:val="18"/>
                <w:szCs w:val="18"/>
              </w:rPr>
              <w:t xml:space="preserve">EGD-0003</w:t>
            </w:r>
          </w:p>
        </w:tc>
        <w:tc>
          <w:tcPr>
            <w:tcW w:type="dxa" w:w="2700"/>
            <w:vAlign w:val="center"/>
          </w:tcPr>
          <w:p>
            <w:r>
              <w:rPr>
                <w:b w:val="false"/>
                <w:bCs w:val="false"/>
                <w:sz w:val="18"/>
                <w:szCs w:val="18"/>
              </w:rPr>
              <w:t xml:space="preserve">Accept direct-FK taxonomy pattern conditionally (AR-0003)</w:t>
            </w:r>
          </w:p>
        </w:tc>
        <w:tc>
          <w:tcPr>
            <w:tcW w:type="dxa" w:w="1200"/>
            <w:vAlign w:val="center"/>
          </w:tcPr>
          <w:p>
            <w:r>
              <w:rPr>
                <w:b w:val="false"/>
                <w:bCs w:val="false"/>
                <w:sz w:val="18"/>
                <w:szCs w:val="18"/>
              </w:rPr>
              <w:t xml:space="preserve">WP-0004</w:t>
            </w:r>
          </w:p>
        </w:tc>
        <w:tc>
          <w:tcPr>
            <w:tcW w:type="dxa" w:w="1500"/>
            <w:vAlign w:val="center"/>
          </w:tcPr>
          <w:p>
            <w:r>
              <w:rPr>
                <w:b w:val="false"/>
                <w:bCs w:val="false"/>
                <w:sz w:val="18"/>
                <w:szCs w:val="18"/>
              </w:rPr>
              <w:t xml:space="preserve">Accepted, conditional</w:t>
            </w:r>
          </w:p>
        </w:tc>
        <w:tc>
          <w:tcPr>
            <w:tcW w:type="dxa" w:w="1700"/>
            <w:vAlign w:val="center"/>
          </w:tcPr>
          <w:p>
            <w:r>
              <w:rPr>
                <w:b w:val="false"/>
                <w:bCs w:val="false"/>
                <w:sz w:val="18"/>
                <w:szCs w:val="18"/>
              </w:rPr>
              <w:t xml:space="preserve">Any student-owned table denormalizing a taxonomy fact, or taxonomy versioning need, re-opens condition</w:t>
            </w:r>
          </w:p>
        </w:tc>
        <w:tc>
          <w:tcPr>
            <w:tcW w:type="dxa" w:w="1360"/>
            <w:vAlign w:val="center"/>
          </w:tcPr>
          <w:p>
            <w:r>
              <w:rPr>
                <w:b w:val="false"/>
                <w:bCs w:val="false"/>
                <w:sz w:val="18"/>
                <w:szCs w:val="18"/>
              </w:rPr>
              <w:t xml:space="preserve">Stable pending WP-0004 documentation and check</w:t>
            </w:r>
          </w:p>
        </w:tc>
      </w:tr>
      <w:tr>
        <w:tc>
          <w:tcPr>
            <w:tcW w:type="dxa" w:w="900"/>
            <w:shd w:fill="F2F2F2" w:val="clear"/>
            <w:vAlign w:val="center"/>
          </w:tcPr>
          <w:p>
            <w:r>
              <w:rPr>
                <w:b w:val="false"/>
                <w:bCs w:val="false"/>
                <w:sz w:val="18"/>
                <w:szCs w:val="18"/>
              </w:rPr>
              <w:t xml:space="preserve">EGD-0004</w:t>
            </w:r>
          </w:p>
        </w:tc>
        <w:tc>
          <w:tcPr>
            <w:tcW w:type="dxa" w:w="2700"/>
            <w:shd w:fill="F2F2F2" w:val="clear"/>
            <w:vAlign w:val="center"/>
          </w:tcPr>
          <w:p>
            <w:r>
              <w:rPr>
                <w:b w:val="false"/>
                <w:bCs w:val="false"/>
                <w:sz w:val="18"/>
                <w:szCs w:val="18"/>
              </w:rPr>
              <w:t xml:space="preserve">Defer partitioning (AR-0004)</w:t>
            </w:r>
          </w:p>
        </w:tc>
        <w:tc>
          <w:tcPr>
            <w:tcW w:type="dxa" w:w="1200"/>
            <w:shd w:fill="F2F2F2" w:val="clear"/>
            <w:vAlign w:val="center"/>
          </w:tcPr>
          <w:p>
            <w:r>
              <w:rPr>
                <w:b w:val="false"/>
                <w:bCs w:val="false"/>
                <w:sz w:val="18"/>
                <w:szCs w:val="18"/>
              </w:rPr>
              <w:t xml:space="preserve">WP-0003 (trigger-gated)</w:t>
            </w:r>
          </w:p>
        </w:tc>
        <w:tc>
          <w:tcPr>
            <w:tcW w:type="dxa" w:w="1500"/>
            <w:shd w:fill="F2F2F2" w:val="clear"/>
            <w:vAlign w:val="center"/>
          </w:tcPr>
          <w:p>
            <w:r>
              <w:rPr>
                <w:b w:val="false"/>
                <w:bCs w:val="false"/>
                <w:sz w:val="18"/>
                <w:szCs w:val="18"/>
              </w:rPr>
              <w:t xml:space="preserve">Deferred</w:t>
            </w:r>
          </w:p>
        </w:tc>
        <w:tc>
          <w:tcPr>
            <w:tcW w:type="dxa" w:w="1700"/>
            <w:shd w:fill="F2F2F2" w:val="clear"/>
            <w:vAlign w:val="center"/>
          </w:tcPr>
          <w:p>
            <w:r>
              <w:rPr>
                <w:b w:val="false"/>
                <w:bCs w:val="false"/>
                <w:sz w:val="18"/>
                <w:szCs w:val="18"/>
              </w:rPr>
              <w:t xml:space="preserve">Tables exceed 10M rows, latency degrades, or 10-downstream-system scale target reached</w:t>
            </w:r>
          </w:p>
        </w:tc>
        <w:tc>
          <w:tcPr>
            <w:tcW w:type="dxa" w:w="1360"/>
            <w:shd w:fill="F2F2F2" w:val="clear"/>
            <w:vAlign w:val="center"/>
          </w:tcPr>
          <w:p>
            <w:r>
              <w:rPr>
                <w:b w:val="false"/>
                <w:bCs w:val="false"/>
                <w:sz w:val="18"/>
                <w:szCs w:val="18"/>
              </w:rPr>
              <w:t xml:space="preserve">No action required until trigger data gathered</w:t>
            </w:r>
          </w:p>
        </w:tc>
      </w:tr>
      <w:tr>
        <w:tc>
          <w:tcPr>
            <w:tcW w:type="dxa" w:w="900"/>
            <w:vAlign w:val="center"/>
          </w:tcPr>
          <w:p>
            <w:r>
              <w:rPr>
                <w:b w:val="false"/>
                <w:bCs w:val="false"/>
                <w:sz w:val="18"/>
                <w:szCs w:val="18"/>
              </w:rPr>
              <w:t xml:space="preserve">EGD-0005</w:t>
            </w:r>
          </w:p>
        </w:tc>
        <w:tc>
          <w:tcPr>
            <w:tcW w:type="dxa" w:w="2700"/>
            <w:vAlign w:val="center"/>
          </w:tcPr>
          <w:p>
            <w:r>
              <w:rPr>
                <w:b w:val="false"/>
                <w:bCs w:val="false"/>
                <w:sz w:val="18"/>
                <w:szCs w:val="18"/>
              </w:rPr>
              <w:t xml:space="preserve">Defer qualification/selection separation (AR-0005)</w:t>
            </w:r>
          </w:p>
        </w:tc>
        <w:tc>
          <w:tcPr>
            <w:tcW w:type="dxa" w:w="1200"/>
            <w:vAlign w:val="center"/>
          </w:tcPr>
          <w:p>
            <w:r>
              <w:rPr>
                <w:b w:val="false"/>
                <w:bCs w:val="false"/>
                <w:sz w:val="18"/>
                <w:szCs w:val="18"/>
              </w:rPr>
              <w:t xml:space="preserve">None</w:t>
            </w:r>
          </w:p>
        </w:tc>
        <w:tc>
          <w:tcPr>
            <w:tcW w:type="dxa" w:w="1500"/>
            <w:vAlign w:val="center"/>
          </w:tcPr>
          <w:p>
            <w:r>
              <w:rPr>
                <w:b w:val="false"/>
                <w:bCs w:val="false"/>
                <w:sz w:val="18"/>
                <w:szCs w:val="18"/>
              </w:rPr>
              <w:t xml:space="preserve">Deferred</w:t>
            </w:r>
          </w:p>
        </w:tc>
        <w:tc>
          <w:tcPr>
            <w:tcW w:type="dxa" w:w="1700"/>
            <w:vAlign w:val="center"/>
          </w:tcPr>
          <w:p>
            <w:r>
              <w:rPr>
                <w:b w:val="false"/>
                <w:bCs w:val="false"/>
                <w:sz w:val="18"/>
                <w:szCs w:val="18"/>
              </w:rPr>
              <w:t xml:space="preserve">Real product need for multi-qualification tracking emerges</w:t>
            </w:r>
          </w:p>
        </w:tc>
        <w:tc>
          <w:tcPr>
            <w:tcW w:type="dxa" w:w="1360"/>
            <w:vAlign w:val="center"/>
          </w:tcPr>
          <w:p>
            <w:r>
              <w:rPr>
                <w:b w:val="false"/>
                <w:bCs w:val="false"/>
                <w:sz w:val="18"/>
                <w:szCs w:val="18"/>
              </w:rPr>
              <w:t xml:space="preserve">No action required</w:t>
            </w:r>
          </w:p>
        </w:tc>
      </w:tr>
      <w:tr>
        <w:tc>
          <w:tcPr>
            <w:tcW w:type="dxa" w:w="900"/>
            <w:shd w:fill="F2F2F2" w:val="clear"/>
            <w:vAlign w:val="center"/>
          </w:tcPr>
          <w:p>
            <w:r>
              <w:rPr>
                <w:b w:val="false"/>
                <w:bCs w:val="false"/>
                <w:sz w:val="18"/>
                <w:szCs w:val="18"/>
              </w:rPr>
              <w:t xml:space="preserve">EGD-0006</w:t>
            </w:r>
          </w:p>
        </w:tc>
        <w:tc>
          <w:tcPr>
            <w:tcW w:type="dxa" w:w="2700"/>
            <w:shd w:fill="F2F2F2" w:val="clear"/>
            <w:vAlign w:val="center"/>
          </w:tcPr>
          <w:p>
            <w:r>
              <w:rPr>
                <w:b w:val="false"/>
                <w:bCs w:val="false"/>
                <w:sz w:val="18"/>
                <w:szCs w:val="18"/>
              </w:rPr>
              <w:t xml:space="preserve">Defer supersession/versioning model (AR-0006)</w:t>
            </w:r>
          </w:p>
        </w:tc>
        <w:tc>
          <w:tcPr>
            <w:tcW w:type="dxa" w:w="1200"/>
            <w:shd w:fill="F2F2F2" w:val="clear"/>
            <w:vAlign w:val="center"/>
          </w:tcPr>
          <w:p>
            <w:r>
              <w:rPr>
                <w:b w:val="false"/>
                <w:bCs w:val="false"/>
                <w:sz w:val="18"/>
                <w:szCs w:val="18"/>
              </w:rPr>
              <w:t xml:space="preserve">None</w:t>
            </w:r>
          </w:p>
        </w:tc>
        <w:tc>
          <w:tcPr>
            <w:tcW w:type="dxa" w:w="1500"/>
            <w:shd w:fill="F2F2F2" w:val="clear"/>
            <w:vAlign w:val="center"/>
          </w:tcPr>
          <w:p>
            <w:r>
              <w:rPr>
                <w:b w:val="false"/>
                <w:bCs w:val="false"/>
                <w:sz w:val="18"/>
                <w:szCs w:val="18"/>
              </w:rPr>
              <w:t xml:space="preserve">Deferred — irreversibility risk flagged</w:t>
            </w:r>
          </w:p>
        </w:tc>
        <w:tc>
          <w:tcPr>
            <w:tcW w:type="dxa" w:w="1700"/>
            <w:shd w:fill="F2F2F2" w:val="clear"/>
            <w:vAlign w:val="center"/>
          </w:tcPr>
          <w:p>
            <w:r>
              <w:rPr>
                <w:b w:val="false"/>
                <w:bCs w:val="false"/>
                <w:sz w:val="18"/>
                <w:szCs w:val="18"/>
              </w:rPr>
              <w:t xml:space="preserve">Compliance/audit requirement for immutable history emerges</w:t>
            </w:r>
          </w:p>
        </w:tc>
        <w:tc>
          <w:tcPr>
            <w:tcW w:type="dxa" w:w="1360"/>
            <w:shd w:fill="F2F2F2" w:val="clear"/>
            <w:vAlign w:val="center"/>
          </w:tcPr>
          <w:p>
            <w:r>
              <w:rPr>
                <w:b w:val="false"/>
                <w:bCs w:val="false"/>
                <w:sz w:val="18"/>
                <w:szCs w:val="18"/>
              </w:rPr>
              <w:t xml:space="preserve">Monitored; not work-package-bound</w:t>
            </w:r>
          </w:p>
        </w:tc>
      </w:tr>
      <w:tr>
        <w:tc>
          <w:tcPr>
            <w:tcW w:type="dxa" w:w="900"/>
            <w:vAlign w:val="center"/>
          </w:tcPr>
          <w:p>
            <w:r>
              <w:rPr>
                <w:b w:val="false"/>
                <w:bCs w:val="false"/>
                <w:sz w:val="18"/>
                <w:szCs w:val="18"/>
              </w:rPr>
              <w:t xml:space="preserve">EGD-0007</w:t>
            </w:r>
          </w:p>
        </w:tc>
        <w:tc>
          <w:tcPr>
            <w:tcW w:type="dxa" w:w="2700"/>
            <w:vAlign w:val="center"/>
          </w:tcPr>
          <w:p>
            <w:r>
              <w:rPr>
                <w:b w:val="false"/>
                <w:bCs w:val="false"/>
                <w:sz w:val="18"/>
                <w:szCs w:val="18"/>
              </w:rPr>
              <w:t xml:space="preserve">Realize — verify RLS coverage immediately (AR-0007)</w:t>
            </w:r>
          </w:p>
        </w:tc>
        <w:tc>
          <w:tcPr>
            <w:tcW w:type="dxa" w:w="1200"/>
            <w:vAlign w:val="center"/>
          </w:tcPr>
          <w:p>
            <w:r>
              <w:rPr>
                <w:b w:val="false"/>
                <w:bCs w:val="false"/>
                <w:sz w:val="18"/>
                <w:szCs w:val="18"/>
              </w:rPr>
              <w:t xml:space="preserve">WP-0002</w:t>
            </w:r>
          </w:p>
        </w:tc>
        <w:tc>
          <w:tcPr>
            <w:tcW w:type="dxa" w:w="1500"/>
            <w:vAlign w:val="center"/>
          </w:tcPr>
          <w:p>
            <w:r>
              <w:rPr>
                <w:b w:val="false"/>
                <w:bCs w:val="false"/>
                <w:sz w:val="18"/>
                <w:szCs w:val="18"/>
              </w:rPr>
              <w:t xml:space="preserve">Accepted, in progress</w:t>
            </w:r>
          </w:p>
        </w:tc>
        <w:tc>
          <w:tcPr>
            <w:tcW w:type="dxa" w:w="1700"/>
            <w:vAlign w:val="center"/>
          </w:tcPr>
          <w:p>
            <w:r>
              <w:rPr>
                <w:b w:val="false"/>
                <w:bCs w:val="false"/>
                <w:sz w:val="18"/>
                <w:szCs w:val="18"/>
              </w:rPr>
              <w:t xml:space="preserve">Written confirmation across all student-owned tables outstanding</w:t>
            </w:r>
          </w:p>
        </w:tc>
        <w:tc>
          <w:tcPr>
            <w:tcW w:type="dxa" w:w="1360"/>
            <w:vAlign w:val="center"/>
          </w:tcPr>
          <w:p>
            <w:r>
              <w:rPr>
                <w:b w:val="false"/>
                <w:bCs w:val="false"/>
                <w:sz w:val="18"/>
                <w:szCs w:val="18"/>
              </w:rPr>
              <w:t xml:space="preserve">Closes the baseline's one open security unknown; critical path</w:t>
            </w:r>
          </w:p>
        </w:tc>
      </w:tr>
      <w:tr>
        <w:tc>
          <w:tcPr>
            <w:tcW w:type="dxa" w:w="900"/>
            <w:shd w:fill="F2F2F2" w:val="clear"/>
            <w:vAlign w:val="center"/>
          </w:tcPr>
          <w:p>
            <w:r>
              <w:rPr>
                <w:b w:val="false"/>
                <w:bCs w:val="false"/>
                <w:sz w:val="18"/>
                <w:szCs w:val="18"/>
              </w:rPr>
              <w:t xml:space="preserve">EGD-0008</w:t>
            </w:r>
          </w:p>
        </w:tc>
        <w:tc>
          <w:tcPr>
            <w:tcW w:type="dxa" w:w="2700"/>
            <w:shd w:fill="F2F2F2" w:val="clear"/>
            <w:vAlign w:val="center"/>
          </w:tcPr>
          <w:p>
            <w:r>
              <w:rPr>
                <w:b w:val="false"/>
                <w:bCs w:val="false"/>
                <w:sz w:val="18"/>
                <w:szCs w:val="18"/>
              </w:rPr>
              <w:t xml:space="preserve">Accept UUID PK and timestamptz discipline as standing standard (AR-0008, AR-0009)</w:t>
            </w:r>
          </w:p>
        </w:tc>
        <w:tc>
          <w:tcPr>
            <w:tcW w:type="dxa" w:w="1200"/>
            <w:shd w:fill="F2F2F2" w:val="clear"/>
            <w:vAlign w:val="center"/>
          </w:tcPr>
          <w:p>
            <w:r>
              <w:rPr>
                <w:b w:val="false"/>
                <w:bCs w:val="false"/>
                <w:sz w:val="18"/>
                <w:szCs w:val="18"/>
              </w:rPr>
              <w:t xml:space="preserve">None (standing)</w:t>
            </w:r>
          </w:p>
        </w:tc>
        <w:tc>
          <w:tcPr>
            <w:tcW w:type="dxa" w:w="1500"/>
            <w:shd w:fill="F2F2F2" w:val="clear"/>
            <w:vAlign w:val="center"/>
          </w:tcPr>
          <w:p>
            <w:r>
              <w:rPr>
                <w:b w:val="false"/>
                <w:bCs w:val="false"/>
                <w:sz w:val="18"/>
                <w:szCs w:val="18"/>
              </w:rPr>
              <w:t xml:space="preserve">Accepted, standing</w:t>
            </w:r>
          </w:p>
        </w:tc>
        <w:tc>
          <w:tcPr>
            <w:tcW w:type="dxa" w:w="1700"/>
            <w:shd w:fill="F2F2F2" w:val="clear"/>
            <w:vAlign w:val="center"/>
          </w:tcPr>
          <w:p>
            <w:r>
              <w:rPr>
                <w:b w:val="false"/>
                <w:bCs w:val="false"/>
                <w:sz w:val="18"/>
                <w:szCs w:val="18"/>
              </w:rPr>
              <w:t xml:space="preserve">None</w:t>
            </w:r>
          </w:p>
        </w:tc>
        <w:tc>
          <w:tcPr>
            <w:tcW w:type="dxa" w:w="1360"/>
            <w:shd w:fill="F2F2F2" w:val="clear"/>
            <w:vAlign w:val="center"/>
          </w:tcPr>
          <w:p>
            <w:r>
              <w:rPr>
                <w:b w:val="false"/>
                <w:bCs w:val="false"/>
                <w:sz w:val="18"/>
                <w:szCs w:val="18"/>
              </w:rPr>
              <w:t xml:space="preserve">No action required; exceeds bar</w:t>
            </w:r>
          </w:p>
        </w:tc>
      </w:tr>
      <w:tr>
        <w:tc>
          <w:tcPr>
            <w:tcW w:type="dxa" w:w="900"/>
            <w:vAlign w:val="center"/>
          </w:tcPr>
          <w:p>
            <w:r>
              <w:rPr>
                <w:b w:val="false"/>
                <w:bCs w:val="false"/>
                <w:sz w:val="18"/>
                <w:szCs w:val="18"/>
              </w:rPr>
              <w:t xml:space="preserve">EGD-0009</w:t>
            </w:r>
          </w:p>
        </w:tc>
        <w:tc>
          <w:tcPr>
            <w:tcW w:type="dxa" w:w="2700"/>
            <w:vAlign w:val="center"/>
          </w:tcPr>
          <w:p>
            <w:r>
              <w:rPr>
                <w:b w:val="false"/>
                <w:bCs w:val="false"/>
                <w:sz w:val="18"/>
                <w:szCs w:val="18"/>
              </w:rPr>
              <w:t xml:space="preserve">Accept current migration naming/idempotency/rollback practice as standard (AR-0010)</w:t>
            </w:r>
          </w:p>
        </w:tc>
        <w:tc>
          <w:tcPr>
            <w:tcW w:type="dxa" w:w="1200"/>
            <w:vAlign w:val="center"/>
          </w:tcPr>
          <w:p>
            <w:r>
              <w:rPr>
                <w:b w:val="false"/>
                <w:bCs w:val="false"/>
                <w:sz w:val="18"/>
                <w:szCs w:val="18"/>
              </w:rPr>
              <w:t xml:space="preserve">None (standing)</w:t>
            </w:r>
          </w:p>
        </w:tc>
        <w:tc>
          <w:tcPr>
            <w:tcW w:type="dxa" w:w="1500"/>
            <w:vAlign w:val="center"/>
          </w:tcPr>
          <w:p>
            <w:r>
              <w:rPr>
                <w:b w:val="false"/>
                <w:bCs w:val="false"/>
                <w:sz w:val="18"/>
                <w:szCs w:val="18"/>
              </w:rPr>
              <w:t xml:space="preserve">Accepted, standing</w:t>
            </w:r>
          </w:p>
        </w:tc>
        <w:tc>
          <w:tcPr>
            <w:tcW w:type="dxa" w:w="1700"/>
            <w:vAlign w:val="center"/>
          </w:tcPr>
          <w:p>
            <w:r>
              <w:rPr>
                <w:b w:val="false"/>
                <w:bCs w:val="false"/>
                <w:sz w:val="18"/>
                <w:szCs w:val="18"/>
              </w:rPr>
              <w:t xml:space="preserve">None</w:t>
            </w:r>
          </w:p>
        </w:tc>
        <w:tc>
          <w:tcPr>
            <w:tcW w:type="dxa" w:w="1360"/>
            <w:vAlign w:val="center"/>
          </w:tcPr>
          <w:p>
            <w:r>
              <w:rPr>
                <w:b w:val="false"/>
                <w:bCs w:val="false"/>
                <w:sz w:val="18"/>
                <w:szCs w:val="18"/>
              </w:rPr>
              <w:t xml:space="preserve">No action required; exceeds bar</w:t>
            </w:r>
          </w:p>
        </w:tc>
      </w:tr>
    </w:tbl>
    <w:p>
      <w:pPr>
        <w:spacing w:after="160"/>
      </w:pPr>
      <w:r>
        <w:rPr>
          <w:b w:val="false"/>
          <w:bCs w:val="false"/>
          <w:i/>
          <w:iCs/>
        </w:rPr>
        <w:t xml:space="preserve">All nine EGDs carry an explicit disposition; Certification Level L2 (Governance Complete) is MET per Phase A.3 §11. No EGD in this baseline is open or undispositioned.</w:t>
      </w:r>
    </w:p>
    <w:p>
      <w:r>
        <w:br w:type="page"/>
      </w:r>
    </w:p>
    <w:p>
      <w:pPr>
        <w:pStyle w:val="Heading2"/>
        <w:spacing w:after="120" w:before="240"/>
      </w:pPr>
      <w:r>
        <w:t xml:space="preserve">10.7.5 — Enterprise Resolution &amp; Variance Dashboard</w:t>
      </w:r>
    </w:p>
    <w:p>
      <w:pPr>
        <w:spacing w:after="160"/>
      </w:pPr>
      <w:r>
        <w:rPr>
          <w:b w:val="false"/>
          <w:bCs w:val="false"/>
          <w:i/>
          <w:iCs/>
        </w:rPr>
        <w:t xml:space="preserve">Source: Phase A.3 §§5–6 (Enterprise Resolution Register; Enterprise Variance Register). Reused verbatim.</w:t>
      </w:r>
    </w:p>
    <w:p>
      <w:pPr>
        <w:pStyle w:val="Heading3"/>
        <w:spacing w:after="100" w:before="200"/>
      </w:pPr>
      <w:r>
        <w:t xml:space="preserve">Enterprise Resolutions (ER-0001 – ER-0010)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760"/>
        <w:gridCol w:w="3800"/>
      </w:tblGrid>
      <w:tr>
        <w:trPr>
          <w:tblHeader/>
        </w:trPr>
        <w:tc>
          <w:tcPr>
            <w:tcW w:type="dxa" w:w="900"/>
            <w:shd w:fill="1F3864" w:val="clear"/>
            <w:vAlign w:val="center"/>
          </w:tcPr>
          <w:p>
            <w:r>
              <w:rPr>
                <w:b/>
                <w:bCs/>
                <w:color w:val="FFFFFF"/>
                <w:sz w:val="18"/>
                <w:szCs w:val="18"/>
              </w:rPr>
              <w:t xml:space="preserve">ER</w:t>
            </w:r>
          </w:p>
        </w:tc>
        <w:tc>
          <w:tcPr>
            <w:tcW w:type="dxa" w:w="900"/>
            <w:shd w:fill="1F3864" w:val="clear"/>
            <w:vAlign w:val="center"/>
          </w:tcPr>
          <w:p>
            <w:r>
              <w:rPr>
                <w:b/>
                <w:bCs/>
                <w:color w:val="FFFFFF"/>
                <w:sz w:val="18"/>
                <w:szCs w:val="18"/>
              </w:rPr>
              <w:t xml:space="preserve">AR</w:t>
            </w:r>
          </w:p>
        </w:tc>
        <w:tc>
          <w:tcPr>
            <w:tcW w:type="dxa" w:w="3760"/>
            <w:shd w:fill="1F3864" w:val="clear"/>
            <w:vAlign w:val="center"/>
          </w:tcPr>
          <w:p>
            <w:r>
              <w:rPr>
                <w:b/>
                <w:bCs/>
                <w:color w:val="FFFFFF"/>
                <w:sz w:val="18"/>
                <w:szCs w:val="18"/>
              </w:rPr>
              <w:t xml:space="preserve">Current Status</w:t>
            </w:r>
          </w:p>
        </w:tc>
        <w:tc>
          <w:tcPr>
            <w:tcW w:type="dxa" w:w="3800"/>
            <w:shd w:fill="1F3864" w:val="clear"/>
            <w:vAlign w:val="center"/>
          </w:tcPr>
          <w:p>
            <w:r>
              <w:rPr>
                <w:b/>
                <w:bCs/>
                <w:color w:val="FFFFFF"/>
                <w:sz w:val="18"/>
                <w:szCs w:val="18"/>
              </w:rPr>
              <w:t xml:space="preserve">Executive Commentary</w:t>
            </w:r>
          </w:p>
        </w:tc>
      </w:tr>
      <w:tr>
        <w:tc>
          <w:tcPr>
            <w:tcW w:type="dxa" w:w="900"/>
            <w:vAlign w:val="center"/>
          </w:tcPr>
          <w:p>
            <w:r>
              <w:rPr>
                <w:b w:val="false"/>
                <w:bCs w:val="false"/>
                <w:sz w:val="18"/>
                <w:szCs w:val="18"/>
              </w:rPr>
              <w:t xml:space="preserve">ER-0001</w:t>
            </w:r>
          </w:p>
        </w:tc>
        <w:tc>
          <w:tcPr>
            <w:tcW w:type="dxa" w:w="900"/>
            <w:vAlign w:val="center"/>
          </w:tcPr>
          <w:p>
            <w:r>
              <w:rPr>
                <w:b w:val="false"/>
                <w:bCs w:val="false"/>
                <w:sz w:val="18"/>
                <w:szCs w:val="18"/>
              </w:rPr>
              <w:t xml:space="preserve">AR-0001</w:t>
            </w:r>
          </w:p>
        </w:tc>
        <w:tc>
          <w:tcPr>
            <w:tcW w:type="dxa" w:w="3760"/>
            <w:vAlign w:val="center"/>
          </w:tcPr>
          <w:p>
            <w:r>
              <w:rPr>
                <w:b w:val="false"/>
                <w:bCs w:val="false"/>
                <w:sz w:val="18"/>
                <w:szCs w:val="18"/>
              </w:rPr>
              <w:t xml:space="preserve">Deferred — retain public schema</w:t>
            </w:r>
          </w:p>
        </w:tc>
        <w:tc>
          <w:tcPr>
            <w:tcW w:type="dxa" w:w="3800"/>
            <w:vAlign w:val="center"/>
          </w:tcPr>
          <w:p>
            <w:r>
              <w:rPr>
                <w:b w:val="false"/>
                <w:bCs w:val="false"/>
                <w:sz w:val="18"/>
                <w:szCs w:val="18"/>
              </w:rPr>
              <w:t xml:space="preserve">No evidenced collision problem in 3+ years of migrations reviewed</w:t>
            </w:r>
          </w:p>
        </w:tc>
      </w:tr>
      <w:tr>
        <w:tc>
          <w:tcPr>
            <w:tcW w:type="dxa" w:w="900"/>
            <w:shd w:fill="F2F2F2" w:val="clear"/>
            <w:vAlign w:val="center"/>
          </w:tcPr>
          <w:p>
            <w:r>
              <w:rPr>
                <w:b w:val="false"/>
                <w:bCs w:val="false"/>
                <w:sz w:val="18"/>
                <w:szCs w:val="18"/>
              </w:rPr>
              <w:t xml:space="preserve">ER-0002</w:t>
            </w:r>
          </w:p>
        </w:tc>
        <w:tc>
          <w:tcPr>
            <w:tcW w:type="dxa" w:w="900"/>
            <w:shd w:fill="F2F2F2" w:val="clear"/>
            <w:vAlign w:val="center"/>
          </w:tcPr>
          <w:p>
            <w:r>
              <w:rPr>
                <w:b w:val="false"/>
                <w:bCs w:val="false"/>
                <w:sz w:val="18"/>
                <w:szCs w:val="18"/>
              </w:rPr>
              <w:t xml:space="preserve">AR-0002</w:t>
            </w:r>
          </w:p>
        </w:tc>
        <w:tc>
          <w:tcPr>
            <w:tcW w:type="dxa" w:w="3760"/>
            <w:shd w:fill="F2F2F2" w:val="clear"/>
            <w:vAlign w:val="center"/>
          </w:tcPr>
          <w:p>
            <w:r>
              <w:rPr>
                <w:b w:val="false"/>
                <w:bCs w:val="false"/>
                <w:sz w:val="18"/>
                <w:szCs w:val="18"/>
              </w:rPr>
              <w:t xml:space="preserve">Superseded — live entity/table structure differs from documented baseline</w:t>
            </w:r>
          </w:p>
        </w:tc>
        <w:tc>
          <w:tcPr>
            <w:tcW w:type="dxa" w:w="3800"/>
            <w:shd w:fill="F2F2F2" w:val="clear"/>
            <w:vAlign w:val="center"/>
          </w:tcPr>
          <w:p>
            <w:r>
              <w:rPr>
                <w:b w:val="false"/>
                <w:bCs w:val="false"/>
                <w:sz w:val="18"/>
                <w:szCs w:val="18"/>
              </w:rPr>
              <w:t xml:space="preserve">Next ERP cycle; WP-0001 resolves</w:t>
            </w:r>
          </w:p>
        </w:tc>
      </w:tr>
      <w:tr>
        <w:tc>
          <w:tcPr>
            <w:tcW w:type="dxa" w:w="900"/>
            <w:vAlign w:val="center"/>
          </w:tcPr>
          <w:p>
            <w:r>
              <w:rPr>
                <w:b w:val="false"/>
                <w:bCs w:val="false"/>
                <w:sz w:val="18"/>
                <w:szCs w:val="18"/>
              </w:rPr>
              <w:t xml:space="preserve">ER-0003</w:t>
            </w:r>
          </w:p>
        </w:tc>
        <w:tc>
          <w:tcPr>
            <w:tcW w:type="dxa" w:w="900"/>
            <w:vAlign w:val="center"/>
          </w:tcPr>
          <w:p>
            <w:r>
              <w:rPr>
                <w:b w:val="false"/>
                <w:bCs w:val="false"/>
                <w:sz w:val="18"/>
                <w:szCs w:val="18"/>
              </w:rPr>
              <w:t xml:space="preserve">AR-0003</w:t>
            </w:r>
          </w:p>
        </w:tc>
        <w:tc>
          <w:tcPr>
            <w:tcW w:type="dxa" w:w="3760"/>
            <w:vAlign w:val="center"/>
          </w:tcPr>
          <w:p>
            <w:r>
              <w:rPr>
                <w:b w:val="false"/>
                <w:bCs w:val="false"/>
                <w:sz w:val="18"/>
                <w:szCs w:val="18"/>
              </w:rPr>
              <w:t xml:space="preserve">Accepted, conditional — direct-FK pattern</w:t>
            </w:r>
          </w:p>
        </w:tc>
        <w:tc>
          <w:tcPr>
            <w:tcW w:type="dxa" w:w="3800"/>
            <w:vAlign w:val="center"/>
          </w:tcPr>
          <w:p>
            <w:r>
              <w:rPr>
                <w:b w:val="false"/>
                <w:bCs w:val="false"/>
                <w:sz w:val="18"/>
                <w:szCs w:val="18"/>
              </w:rPr>
              <w:t xml:space="preserve">Per-release monitoring; WP-0004</w:t>
            </w:r>
          </w:p>
        </w:tc>
      </w:tr>
      <w:tr>
        <w:tc>
          <w:tcPr>
            <w:tcW w:type="dxa" w:w="900"/>
            <w:shd w:fill="F2F2F2" w:val="clear"/>
            <w:vAlign w:val="center"/>
          </w:tcPr>
          <w:p>
            <w:r>
              <w:rPr>
                <w:b w:val="false"/>
                <w:bCs w:val="false"/>
                <w:sz w:val="18"/>
                <w:szCs w:val="18"/>
              </w:rPr>
              <w:t xml:space="preserve">ER-0004</w:t>
            </w:r>
          </w:p>
        </w:tc>
        <w:tc>
          <w:tcPr>
            <w:tcW w:type="dxa" w:w="900"/>
            <w:shd w:fill="F2F2F2" w:val="clear"/>
            <w:vAlign w:val="center"/>
          </w:tcPr>
          <w:p>
            <w:r>
              <w:rPr>
                <w:b w:val="false"/>
                <w:bCs w:val="false"/>
                <w:sz w:val="18"/>
                <w:szCs w:val="18"/>
              </w:rPr>
              <w:t xml:space="preserve">AR-0004</w:t>
            </w:r>
          </w:p>
        </w:tc>
        <w:tc>
          <w:tcPr>
            <w:tcW w:type="dxa" w:w="3760"/>
            <w:shd w:fill="F2F2F2" w:val="clear"/>
            <w:vAlign w:val="center"/>
          </w:tcPr>
          <w:p>
            <w:r>
              <w:rPr>
                <w:b w:val="false"/>
                <w:bCs w:val="false"/>
                <w:sz w:val="18"/>
                <w:szCs w:val="18"/>
              </w:rPr>
              <w:t xml:space="preserve">Deferred</w:t>
            </w:r>
          </w:p>
        </w:tc>
        <w:tc>
          <w:tcPr>
            <w:tcW w:type="dxa" w:w="3800"/>
            <w:shd w:fill="F2F2F2" w:val="clear"/>
            <w:vAlign w:val="center"/>
          </w:tcPr>
          <w:p>
            <w:r>
              <w:rPr>
                <w:b w:val="false"/>
                <w:bCs w:val="false"/>
                <w:sz w:val="18"/>
                <w:szCs w:val="18"/>
              </w:rPr>
              <w:t xml:space="preserve">Team has no current partitioning need; WP-0003 trigger-based</w:t>
            </w:r>
          </w:p>
        </w:tc>
      </w:tr>
      <w:tr>
        <w:tc>
          <w:tcPr>
            <w:tcW w:type="dxa" w:w="900"/>
            <w:vAlign w:val="center"/>
          </w:tcPr>
          <w:p>
            <w:r>
              <w:rPr>
                <w:b w:val="false"/>
                <w:bCs w:val="false"/>
                <w:sz w:val="18"/>
                <w:szCs w:val="18"/>
              </w:rPr>
              <w:t xml:space="preserve">ER-0005</w:t>
            </w:r>
          </w:p>
        </w:tc>
        <w:tc>
          <w:tcPr>
            <w:tcW w:type="dxa" w:w="900"/>
            <w:vAlign w:val="center"/>
          </w:tcPr>
          <w:p>
            <w:r>
              <w:rPr>
                <w:b w:val="false"/>
                <w:bCs w:val="false"/>
                <w:sz w:val="18"/>
                <w:szCs w:val="18"/>
              </w:rPr>
              <w:t xml:space="preserve">AR-0005</w:t>
            </w:r>
          </w:p>
        </w:tc>
        <w:tc>
          <w:tcPr>
            <w:tcW w:type="dxa" w:w="3760"/>
            <w:vAlign w:val="center"/>
          </w:tcPr>
          <w:p>
            <w:r>
              <w:rPr>
                <w:b w:val="false"/>
                <w:bCs w:val="false"/>
                <w:sz w:val="18"/>
                <w:szCs w:val="18"/>
              </w:rPr>
              <w:t xml:space="preserve">Deferred</w:t>
            </w:r>
          </w:p>
        </w:tc>
        <w:tc>
          <w:tcPr>
            <w:tcW w:type="dxa" w:w="3800"/>
            <w:vAlign w:val="center"/>
          </w:tcPr>
          <w:p>
            <w:r>
              <w:rPr>
                <w:b w:val="false"/>
                <w:bCs w:val="false"/>
                <w:sz w:val="18"/>
                <w:szCs w:val="18"/>
              </w:rPr>
              <w:t xml:space="preserve">Current 2-table model sufficient</w:t>
            </w:r>
          </w:p>
        </w:tc>
      </w:tr>
      <w:tr>
        <w:tc>
          <w:tcPr>
            <w:tcW w:type="dxa" w:w="900"/>
            <w:shd w:fill="F2F2F2" w:val="clear"/>
            <w:vAlign w:val="center"/>
          </w:tcPr>
          <w:p>
            <w:r>
              <w:rPr>
                <w:b w:val="false"/>
                <w:bCs w:val="false"/>
                <w:sz w:val="18"/>
                <w:szCs w:val="18"/>
              </w:rPr>
              <w:t xml:space="preserve">ER-0006</w:t>
            </w:r>
          </w:p>
        </w:tc>
        <w:tc>
          <w:tcPr>
            <w:tcW w:type="dxa" w:w="900"/>
            <w:shd w:fill="F2F2F2" w:val="clear"/>
            <w:vAlign w:val="center"/>
          </w:tcPr>
          <w:p>
            <w:r>
              <w:rPr>
                <w:b w:val="false"/>
                <w:bCs w:val="false"/>
                <w:sz w:val="18"/>
                <w:szCs w:val="18"/>
              </w:rPr>
              <w:t xml:space="preserve">AR-0006</w:t>
            </w:r>
          </w:p>
        </w:tc>
        <w:tc>
          <w:tcPr>
            <w:tcW w:type="dxa" w:w="3760"/>
            <w:shd w:fill="F2F2F2" w:val="clear"/>
            <w:vAlign w:val="center"/>
          </w:tcPr>
          <w:p>
            <w:r>
              <w:rPr>
                <w:b w:val="false"/>
                <w:bCs w:val="false"/>
                <w:sz w:val="18"/>
                <w:szCs w:val="18"/>
              </w:rPr>
              <w:t xml:space="preserve">Deferred</w:t>
            </w:r>
          </w:p>
        </w:tc>
        <w:tc>
          <w:tcPr>
            <w:tcW w:type="dxa" w:w="3800"/>
            <w:shd w:fill="F2F2F2" w:val="clear"/>
            <w:vAlign w:val="center"/>
          </w:tcPr>
          <w:p>
            <w:r>
              <w:rPr>
                <w:b w:val="false"/>
                <w:bCs w:val="false"/>
                <w:sz w:val="18"/>
                <w:szCs w:val="18"/>
              </w:rPr>
              <w:t xml:space="preserve">Update-based history sufficient for now</w:t>
            </w:r>
          </w:p>
        </w:tc>
      </w:tr>
      <w:tr>
        <w:tc>
          <w:tcPr>
            <w:tcW w:type="dxa" w:w="900"/>
            <w:vAlign w:val="center"/>
          </w:tcPr>
          <w:p>
            <w:r>
              <w:rPr>
                <w:b w:val="false"/>
                <w:bCs w:val="false"/>
                <w:sz w:val="18"/>
                <w:szCs w:val="18"/>
              </w:rPr>
              <w:t xml:space="preserve">ER-0007</w:t>
            </w:r>
          </w:p>
        </w:tc>
        <w:tc>
          <w:tcPr>
            <w:tcW w:type="dxa" w:w="900"/>
            <w:vAlign w:val="center"/>
          </w:tcPr>
          <w:p>
            <w:r>
              <w:rPr>
                <w:b w:val="false"/>
                <w:bCs w:val="false"/>
                <w:sz w:val="18"/>
                <w:szCs w:val="18"/>
              </w:rPr>
              <w:t xml:space="preserve">AR-0007</w:t>
            </w:r>
          </w:p>
        </w:tc>
        <w:tc>
          <w:tcPr>
            <w:tcW w:type="dxa" w:w="3760"/>
            <w:vAlign w:val="center"/>
          </w:tcPr>
          <w:p>
            <w:r>
              <w:rPr>
                <w:b w:val="false"/>
                <w:bCs w:val="false"/>
                <w:sz w:val="18"/>
                <w:szCs w:val="18"/>
              </w:rPr>
              <w:t xml:space="preserve">Planned → Implementation in progress</w:t>
            </w:r>
          </w:p>
        </w:tc>
        <w:tc>
          <w:tcPr>
            <w:tcW w:type="dxa" w:w="3800"/>
            <w:vAlign w:val="center"/>
          </w:tcPr>
          <w:p>
            <w:r>
              <w:rPr>
                <w:b w:val="false"/>
                <w:bCs w:val="false"/>
                <w:sz w:val="18"/>
                <w:szCs w:val="18"/>
              </w:rPr>
              <w:t xml:space="preserve">Immediate priority; WP-0002</w:t>
            </w:r>
          </w:p>
        </w:tc>
      </w:tr>
      <w:tr>
        <w:tc>
          <w:tcPr>
            <w:tcW w:type="dxa" w:w="900"/>
            <w:shd w:fill="F2F2F2" w:val="clear"/>
            <w:vAlign w:val="center"/>
          </w:tcPr>
          <w:p>
            <w:r>
              <w:rPr>
                <w:b w:val="false"/>
                <w:bCs w:val="false"/>
                <w:sz w:val="18"/>
                <w:szCs w:val="18"/>
              </w:rPr>
              <w:t xml:space="preserve">ER-0008</w:t>
            </w:r>
          </w:p>
        </w:tc>
        <w:tc>
          <w:tcPr>
            <w:tcW w:type="dxa" w:w="900"/>
            <w:shd w:fill="F2F2F2" w:val="clear"/>
            <w:vAlign w:val="center"/>
          </w:tcPr>
          <w:p>
            <w:r>
              <w:rPr>
                <w:b w:val="false"/>
                <w:bCs w:val="false"/>
                <w:sz w:val="18"/>
                <w:szCs w:val="18"/>
              </w:rPr>
              <w:t xml:space="preserve">AR-0008</w:t>
            </w:r>
          </w:p>
        </w:tc>
        <w:tc>
          <w:tcPr>
            <w:tcW w:type="dxa" w:w="3760"/>
            <w:shd w:fill="F2F2F2" w:val="clear"/>
            <w:vAlign w:val="center"/>
          </w:tcPr>
          <w:p>
            <w:r>
              <w:rPr>
                <w:b w:val="false"/>
                <w:bCs w:val="false"/>
                <w:sz w:val="18"/>
                <w:szCs w:val="18"/>
              </w:rPr>
              <w:t xml:space="preserve">Implemented, exceeds Phase A bar</w:t>
            </w:r>
          </w:p>
        </w:tc>
        <w:tc>
          <w:tcPr>
            <w:tcW w:type="dxa" w:w="3800"/>
            <w:shd w:fill="F2F2F2" w:val="clear"/>
            <w:vAlign w:val="center"/>
          </w:tcPr>
          <w:p>
            <w:r>
              <w:rPr>
                <w:b w:val="false"/>
                <w:bCs w:val="false"/>
                <w:sz w:val="18"/>
                <w:szCs w:val="18"/>
              </w:rPr>
              <w:t xml:space="preserve">No dependency</w:t>
            </w:r>
          </w:p>
        </w:tc>
      </w:tr>
      <w:tr>
        <w:tc>
          <w:tcPr>
            <w:tcW w:type="dxa" w:w="900"/>
            <w:vAlign w:val="center"/>
          </w:tcPr>
          <w:p>
            <w:r>
              <w:rPr>
                <w:b w:val="false"/>
                <w:bCs w:val="false"/>
                <w:sz w:val="18"/>
                <w:szCs w:val="18"/>
              </w:rPr>
              <w:t xml:space="preserve">ER-0009</w:t>
            </w:r>
          </w:p>
        </w:tc>
        <w:tc>
          <w:tcPr>
            <w:tcW w:type="dxa" w:w="900"/>
            <w:vAlign w:val="center"/>
          </w:tcPr>
          <w:p>
            <w:r>
              <w:rPr>
                <w:b w:val="false"/>
                <w:bCs w:val="false"/>
                <w:sz w:val="18"/>
                <w:szCs w:val="18"/>
              </w:rPr>
              <w:t xml:space="preserve">AR-0009</w:t>
            </w:r>
          </w:p>
        </w:tc>
        <w:tc>
          <w:tcPr>
            <w:tcW w:type="dxa" w:w="3760"/>
            <w:vAlign w:val="center"/>
          </w:tcPr>
          <w:p>
            <w:r>
              <w:rPr>
                <w:b w:val="false"/>
                <w:bCs w:val="false"/>
                <w:sz w:val="18"/>
                <w:szCs w:val="18"/>
              </w:rPr>
              <w:t xml:space="preserve">Implemented, consistent across schema</w:t>
            </w:r>
          </w:p>
        </w:tc>
        <w:tc>
          <w:tcPr>
            <w:tcW w:type="dxa" w:w="3800"/>
            <w:vAlign w:val="center"/>
          </w:tcPr>
          <w:p>
            <w:r>
              <w:rPr>
                <w:b w:val="false"/>
                <w:bCs w:val="false"/>
                <w:sz w:val="18"/>
                <w:szCs w:val="18"/>
              </w:rPr>
              <w:t xml:space="preserve">No dependency</w:t>
            </w:r>
          </w:p>
        </w:tc>
      </w:tr>
      <w:tr>
        <w:tc>
          <w:tcPr>
            <w:tcW w:type="dxa" w:w="900"/>
            <w:shd w:fill="F2F2F2" w:val="clear"/>
            <w:vAlign w:val="center"/>
          </w:tcPr>
          <w:p>
            <w:r>
              <w:rPr>
                <w:b w:val="false"/>
                <w:bCs w:val="false"/>
                <w:sz w:val="18"/>
                <w:szCs w:val="18"/>
              </w:rPr>
              <w:t xml:space="preserve">ER-0010</w:t>
            </w:r>
          </w:p>
        </w:tc>
        <w:tc>
          <w:tcPr>
            <w:tcW w:type="dxa" w:w="900"/>
            <w:shd w:fill="F2F2F2" w:val="clear"/>
            <w:vAlign w:val="center"/>
          </w:tcPr>
          <w:p>
            <w:r>
              <w:rPr>
                <w:b w:val="false"/>
                <w:bCs w:val="false"/>
                <w:sz w:val="18"/>
                <w:szCs w:val="18"/>
              </w:rPr>
              <w:t xml:space="preserve">AR-0010</w:t>
            </w:r>
          </w:p>
        </w:tc>
        <w:tc>
          <w:tcPr>
            <w:tcW w:type="dxa" w:w="3760"/>
            <w:shd w:fill="F2F2F2" w:val="clear"/>
            <w:vAlign w:val="center"/>
          </w:tcPr>
          <w:p>
            <w:r>
              <w:rPr>
                <w:b w:val="false"/>
                <w:bCs w:val="false"/>
                <w:sz w:val="18"/>
                <w:szCs w:val="18"/>
              </w:rPr>
              <w:t xml:space="preserve">Implemented, idempotent DDL confirmed</w:t>
            </w:r>
          </w:p>
        </w:tc>
        <w:tc>
          <w:tcPr>
            <w:tcW w:type="dxa" w:w="3800"/>
            <w:shd w:fill="F2F2F2" w:val="clear"/>
            <w:vAlign w:val="center"/>
          </w:tcPr>
          <w:p>
            <w:r>
              <w:rPr>
                <w:b w:val="false"/>
                <w:bCs w:val="false"/>
                <w:sz w:val="18"/>
                <w:szCs w:val="18"/>
              </w:rPr>
              <w:t xml:space="preserve">No dependency</w:t>
            </w:r>
          </w:p>
        </w:tc>
      </w:tr>
    </w:tbl>
    <w:p>
      <w:pPr>
        <w:pStyle w:val="Heading3"/>
        <w:spacing w:after="100" w:before="200"/>
      </w:pPr>
      <w:r>
        <w:t xml:space="preserve">Enterprise Variances (VAR-01 – VAR-04)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500"/>
        <w:gridCol w:w="1660"/>
        <w:gridCol w:w="2600"/>
      </w:tblGrid>
      <w:tr>
        <w:trPr>
          <w:tblHeader/>
        </w:trPr>
        <w:tc>
          <w:tcPr>
            <w:tcW w:type="dxa" w:w="800"/>
            <w:shd w:fill="1F3864" w:val="clear"/>
            <w:vAlign w:val="center"/>
          </w:tcPr>
          <w:p>
            <w:r>
              <w:rPr>
                <w:b/>
                <w:bCs/>
                <w:color w:val="FFFFFF"/>
                <w:sz w:val="18"/>
                <w:szCs w:val="18"/>
              </w:rPr>
              <w:t xml:space="preserve">VAR</w:t>
            </w:r>
          </w:p>
        </w:tc>
        <w:tc>
          <w:tcPr>
            <w:tcW w:type="dxa" w:w="800"/>
            <w:shd w:fill="1F3864" w:val="clear"/>
            <w:vAlign w:val="center"/>
          </w:tcPr>
          <w:p>
            <w:r>
              <w:rPr>
                <w:b/>
                <w:bCs/>
                <w:color w:val="FFFFFF"/>
                <w:sz w:val="18"/>
                <w:szCs w:val="18"/>
              </w:rPr>
              <w:t xml:space="preserve">AR</w:t>
            </w:r>
          </w:p>
        </w:tc>
        <w:tc>
          <w:tcPr>
            <w:tcW w:type="dxa" w:w="3500"/>
            <w:shd w:fill="1F3864" w:val="clear"/>
            <w:vAlign w:val="center"/>
          </w:tcPr>
          <w:p>
            <w:r>
              <w:rPr>
                <w:b/>
                <w:bCs/>
                <w:color w:val="FFFFFF"/>
                <w:sz w:val="18"/>
                <w:szCs w:val="18"/>
              </w:rPr>
              <w:t xml:space="preserve">Scope</w:t>
            </w:r>
          </w:p>
        </w:tc>
        <w:tc>
          <w:tcPr>
            <w:tcW w:type="dxa" w:w="1660"/>
            <w:shd w:fill="1F3864" w:val="clear"/>
            <w:vAlign w:val="center"/>
          </w:tcPr>
          <w:p>
            <w:r>
              <w:rPr>
                <w:b/>
                <w:bCs/>
                <w:color w:val="FFFFFF"/>
                <w:sz w:val="18"/>
                <w:szCs w:val="18"/>
              </w:rPr>
              <w:t xml:space="preserve">Current Status</w:t>
            </w:r>
          </w:p>
        </w:tc>
        <w:tc>
          <w:tcPr>
            <w:tcW w:type="dxa" w:w="2600"/>
            <w:shd w:fill="1F3864" w:val="clear"/>
            <w:vAlign w:val="center"/>
          </w:tcPr>
          <w:p>
            <w:r>
              <w:rPr>
                <w:b/>
                <w:bCs/>
                <w:color w:val="FFFFFF"/>
                <w:sz w:val="18"/>
                <w:szCs w:val="18"/>
              </w:rPr>
              <w:t xml:space="preserve">Executive Commentary</w:t>
            </w:r>
          </w:p>
        </w:tc>
      </w:tr>
      <w:tr>
        <w:tc>
          <w:tcPr>
            <w:tcW w:type="dxa" w:w="800"/>
            <w:vAlign w:val="center"/>
          </w:tcPr>
          <w:p>
            <w:r>
              <w:rPr>
                <w:b w:val="false"/>
                <w:bCs w:val="false"/>
                <w:sz w:val="18"/>
                <w:szCs w:val="18"/>
              </w:rPr>
              <w:t xml:space="preserve">VAR-01</w:t>
            </w:r>
          </w:p>
        </w:tc>
        <w:tc>
          <w:tcPr>
            <w:tcW w:type="dxa" w:w="800"/>
            <w:vAlign w:val="center"/>
          </w:tcPr>
          <w:p>
            <w:r>
              <w:rPr>
                <w:b w:val="false"/>
                <w:bCs w:val="false"/>
                <w:sz w:val="18"/>
                <w:szCs w:val="18"/>
              </w:rPr>
              <w:t xml:space="preserve">AR-0001</w:t>
            </w:r>
          </w:p>
        </w:tc>
        <w:tc>
          <w:tcPr>
            <w:tcW w:type="dxa" w:w="3500"/>
            <w:vAlign w:val="center"/>
          </w:tcPr>
          <w:p>
            <w:r>
              <w:rPr>
                <w:b w:val="false"/>
                <w:bCs w:val="false"/>
                <w:sz w:val="18"/>
                <w:szCs w:val="18"/>
              </w:rPr>
              <w:t xml:space="preserve">No dedicated schema isolation</w:t>
            </w:r>
          </w:p>
        </w:tc>
        <w:tc>
          <w:tcPr>
            <w:tcW w:type="dxa" w:w="1660"/>
            <w:vAlign w:val="center"/>
          </w:tcPr>
          <w:p>
            <w:r>
              <w:rPr>
                <w:b w:val="false"/>
                <w:bCs w:val="false"/>
                <w:sz w:val="18"/>
                <w:szCs w:val="18"/>
              </w:rPr>
              <w:t xml:space="preserve">Approved, deferred</w:t>
            </w:r>
          </w:p>
        </w:tc>
        <w:tc>
          <w:tcPr>
            <w:tcW w:type="dxa" w:w="2600"/>
            <w:vAlign w:val="center"/>
          </w:tcPr>
          <w:p>
            <w:r>
              <w:rPr>
                <w:b w:val="false"/>
                <w:bCs w:val="false"/>
                <w:sz w:val="18"/>
                <w:szCs w:val="18"/>
              </w:rPr>
              <w:t xml:space="preserve">Low risk, monitored via EGD-0001 trigger; reviewed quarterly</w:t>
            </w:r>
          </w:p>
        </w:tc>
      </w:tr>
      <w:tr>
        <w:tc>
          <w:tcPr>
            <w:tcW w:type="dxa" w:w="800"/>
            <w:shd w:fill="F2F2F2" w:val="clear"/>
            <w:vAlign w:val="center"/>
          </w:tcPr>
          <w:p>
            <w:r>
              <w:rPr>
                <w:b w:val="false"/>
                <w:bCs w:val="false"/>
                <w:sz w:val="18"/>
                <w:szCs w:val="18"/>
              </w:rPr>
              <w:t xml:space="preserve">VAR-02</w:t>
            </w:r>
          </w:p>
        </w:tc>
        <w:tc>
          <w:tcPr>
            <w:tcW w:type="dxa" w:w="800"/>
            <w:shd w:fill="F2F2F2" w:val="clear"/>
            <w:vAlign w:val="center"/>
          </w:tcPr>
          <w:p>
            <w:r>
              <w:rPr>
                <w:b w:val="false"/>
                <w:bCs w:val="false"/>
                <w:sz w:val="18"/>
                <w:szCs w:val="18"/>
              </w:rPr>
              <w:t xml:space="preserve">AR-0002</w:t>
            </w:r>
          </w:p>
        </w:tc>
        <w:tc>
          <w:tcPr>
            <w:tcW w:type="dxa" w:w="3500"/>
            <w:shd w:fill="F2F2F2" w:val="clear"/>
            <w:vAlign w:val="center"/>
          </w:tcPr>
          <w:p>
            <w:r>
              <w:rPr>
                <w:b w:val="false"/>
                <w:bCs w:val="false"/>
                <w:sz w:val="18"/>
                <w:szCs w:val="18"/>
              </w:rPr>
              <w:t xml:space="preserve">Table/entity structure differs from Phase A (more granular in cognitive/activity domains)</w:t>
            </w:r>
          </w:p>
        </w:tc>
        <w:tc>
          <w:tcPr>
            <w:tcW w:type="dxa" w:w="1660"/>
            <w:shd w:fill="F2F2F2" w:val="clear"/>
            <w:vAlign w:val="center"/>
          </w:tcPr>
          <w:p>
            <w:r>
              <w:rPr>
                <w:b w:val="false"/>
                <w:bCs w:val="false"/>
                <w:sz w:val="18"/>
                <w:szCs w:val="18"/>
              </w:rPr>
              <w:t xml:space="preserve">Approved, superseding architecture</w:t>
            </w:r>
          </w:p>
        </w:tc>
        <w:tc>
          <w:tcPr>
            <w:tcW w:type="dxa" w:w="2600"/>
            <w:shd w:fill="F2F2F2" w:val="clear"/>
            <w:vAlign w:val="center"/>
          </w:tcPr>
          <w:p>
            <w:r>
              <w:rPr>
                <w:b w:val="false"/>
                <w:bCs w:val="false"/>
                <w:sz w:val="18"/>
                <w:szCs w:val="18"/>
              </w:rPr>
              <w:t xml:space="preserve">Treated as a positive variance, not a deficiency; one-time review on WP-0001 completion</w:t>
            </w:r>
          </w:p>
        </w:tc>
      </w:tr>
      <w:tr>
        <w:tc>
          <w:tcPr>
            <w:tcW w:type="dxa" w:w="800"/>
            <w:vAlign w:val="center"/>
          </w:tcPr>
          <w:p>
            <w:r>
              <w:rPr>
                <w:b w:val="false"/>
                <w:bCs w:val="false"/>
                <w:sz w:val="18"/>
                <w:szCs w:val="18"/>
              </w:rPr>
              <w:t xml:space="preserve">VAR-03</w:t>
            </w:r>
          </w:p>
        </w:tc>
        <w:tc>
          <w:tcPr>
            <w:tcW w:type="dxa" w:w="800"/>
            <w:vAlign w:val="center"/>
          </w:tcPr>
          <w:p>
            <w:r>
              <w:rPr>
                <w:b w:val="false"/>
                <w:bCs w:val="false"/>
                <w:sz w:val="18"/>
                <w:szCs w:val="18"/>
              </w:rPr>
              <w:t xml:space="preserve">AR-0003</w:t>
            </w:r>
          </w:p>
        </w:tc>
        <w:tc>
          <w:tcPr>
            <w:tcW w:type="dxa" w:w="3500"/>
            <w:vAlign w:val="center"/>
          </w:tcPr>
          <w:p>
            <w:r>
              <w:rPr>
                <w:b w:val="false"/>
                <w:bCs w:val="false"/>
                <w:sz w:val="18"/>
                <w:szCs w:val="18"/>
              </w:rPr>
              <w:t xml:space="preserve">Direct-FK taxonomy references instead of _code+version</w:t>
            </w:r>
          </w:p>
        </w:tc>
        <w:tc>
          <w:tcPr>
            <w:tcW w:type="dxa" w:w="1660"/>
            <w:vAlign w:val="center"/>
          </w:tcPr>
          <w:p>
            <w:r>
              <w:rPr>
                <w:b w:val="false"/>
                <w:bCs w:val="false"/>
                <w:sz w:val="18"/>
                <w:szCs w:val="18"/>
              </w:rPr>
              <w:t xml:space="preserve">Approved, conditional (EGD-0003)</w:t>
            </w:r>
          </w:p>
        </w:tc>
        <w:tc>
          <w:tcPr>
            <w:tcW w:type="dxa" w:w="2600"/>
            <w:vAlign w:val="center"/>
          </w:tcPr>
          <w:p>
            <w:r>
              <w:rPr>
                <w:b w:val="false"/>
                <w:bCs w:val="false"/>
                <w:sz w:val="18"/>
                <w:szCs w:val="18"/>
              </w:rPr>
              <w:t xml:space="preserve">Medium latent risk, conditionally monitored per-release</w:t>
            </w:r>
          </w:p>
        </w:tc>
      </w:tr>
      <w:tr>
        <w:tc>
          <w:tcPr>
            <w:tcW w:type="dxa" w:w="800"/>
            <w:shd w:fill="F2F2F2" w:val="clear"/>
            <w:vAlign w:val="center"/>
          </w:tcPr>
          <w:p>
            <w:r>
              <w:rPr>
                <w:b w:val="false"/>
                <w:bCs w:val="false"/>
                <w:sz w:val="18"/>
                <w:szCs w:val="18"/>
              </w:rPr>
              <w:t xml:space="preserve">VAR-04</w:t>
            </w:r>
          </w:p>
        </w:tc>
        <w:tc>
          <w:tcPr>
            <w:tcW w:type="dxa" w:w="800"/>
            <w:shd w:fill="F2F2F2" w:val="clear"/>
            <w:vAlign w:val="center"/>
          </w:tcPr>
          <w:p>
            <w:r>
              <w:rPr>
                <w:b w:val="false"/>
                <w:bCs w:val="false"/>
                <w:sz w:val="18"/>
                <w:szCs w:val="18"/>
              </w:rPr>
              <w:t xml:space="preserve">AR-0004</w:t>
            </w:r>
          </w:p>
        </w:tc>
        <w:tc>
          <w:tcPr>
            <w:tcW w:type="dxa" w:w="3500"/>
            <w:shd w:fill="F2F2F2" w:val="clear"/>
            <w:vAlign w:val="center"/>
          </w:tcPr>
          <w:p>
            <w:r>
              <w:rPr>
                <w:b w:val="false"/>
                <w:bCs w:val="false"/>
                <w:sz w:val="18"/>
                <w:szCs w:val="18"/>
              </w:rPr>
              <w:t xml:space="preserve">No partitioning on 4 designated tables</w:t>
            </w:r>
          </w:p>
        </w:tc>
        <w:tc>
          <w:tcPr>
            <w:tcW w:type="dxa" w:w="1660"/>
            <w:shd w:fill="F2F2F2" w:val="clear"/>
            <w:vAlign w:val="center"/>
          </w:tcPr>
          <w:p>
            <w:r>
              <w:rPr>
                <w:b w:val="false"/>
                <w:bCs w:val="false"/>
                <w:sz w:val="18"/>
                <w:szCs w:val="18"/>
              </w:rPr>
              <w:t xml:space="preserve">Approved, deferred</w:t>
            </w:r>
          </w:p>
        </w:tc>
        <w:tc>
          <w:tcPr>
            <w:tcW w:type="dxa" w:w="2600"/>
            <w:shd w:fill="F2F2F2" w:val="clear"/>
            <w:vAlign w:val="center"/>
          </w:tcPr>
          <w:p>
            <w:r>
              <w:rPr>
                <w:b w:val="false"/>
                <w:bCs w:val="false"/>
                <w:sz w:val="18"/>
                <w:szCs w:val="18"/>
              </w:rPr>
              <w:t xml:space="preserve">Medium, growing risk; reviewed quarterly</w:t>
            </w:r>
          </w:p>
        </w:tc>
      </w:tr>
    </w:tbl>
    <w:p>
      <w:pPr>
        <w:spacing w:after="160"/>
      </w:pPr>
      <w:r>
        <w:rPr>
          <w:b w:val="false"/>
          <w:bCs w:val="false"/>
          <w:i/>
          <w:iCs/>
        </w:rPr>
        <w:t xml:space="preserve">No Deferred, Closed, or Remaining Variance category beyond VAR-01–VAR-04 is Evidenced in the Current Baseline; all four variances remain open and under active quarterly or per-release review.</w:t>
      </w:r>
    </w:p>
    <w:p>
      <w:pPr>
        <w:pStyle w:val="Heading2"/>
        <w:spacing w:after="120" w:before="240"/>
      </w:pPr>
      <w:r>
        <w:t xml:space="preserve">10.7.6 — Architecture Traceability Dashboard</w:t>
      </w:r>
    </w:p>
    <w:p>
      <w:pPr>
        <w:spacing w:after="160"/>
      </w:pPr>
      <w:r>
        <w:rPr>
          <w:b w:val="false"/>
          <w:bCs w:val="false"/>
          <w:i/>
          <w:iCs/>
        </w:rPr>
        <w:t xml:space="preserve">Source: Phase A.3 §7 (Enterprise Architecture Traceability Matrix); Sections 10.4–10.5 (Portfolio and Wave assignment). Reused verbatim; no new traceability link is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100"/>
        <w:gridCol w:w="700"/>
        <w:gridCol w:w="900"/>
        <w:gridCol w:w="1100"/>
        <w:gridCol w:w="1560"/>
        <w:gridCol w:w="1300"/>
        <w:gridCol w:w="1200"/>
      </w:tblGrid>
      <w:tr>
        <w:trPr>
          <w:tblHeader/>
        </w:trPr>
        <w:tc>
          <w:tcPr>
            <w:tcW w:type="dxa" w:w="700"/>
            <w:shd w:fill="1F3864" w:val="clear"/>
            <w:vAlign w:val="center"/>
          </w:tcPr>
          <w:p>
            <w:r>
              <w:rPr>
                <w:b/>
                <w:bCs/>
                <w:color w:val="FFFFFF"/>
                <w:sz w:val="18"/>
                <w:szCs w:val="18"/>
              </w:rPr>
              <w:t xml:space="preserve">AR</w:t>
            </w:r>
          </w:p>
        </w:tc>
        <w:tc>
          <w:tcPr>
            <w:tcW w:type="dxa" w:w="800"/>
            <w:shd w:fill="1F3864" w:val="clear"/>
            <w:vAlign w:val="center"/>
          </w:tcPr>
          <w:p>
            <w:r>
              <w:rPr>
                <w:b/>
                <w:bCs/>
                <w:color w:val="FFFFFF"/>
                <w:sz w:val="18"/>
                <w:szCs w:val="18"/>
              </w:rPr>
              <w:t xml:space="preserve">EGD</w:t>
            </w:r>
          </w:p>
        </w:tc>
        <w:tc>
          <w:tcPr>
            <w:tcW w:type="dxa" w:w="1100"/>
            <w:shd w:fill="1F3864" w:val="clear"/>
            <w:vAlign w:val="center"/>
          </w:tcPr>
          <w:p>
            <w:r>
              <w:rPr>
                <w:b/>
                <w:bCs/>
                <w:color w:val="FFFFFF"/>
                <w:sz w:val="18"/>
                <w:szCs w:val="18"/>
              </w:rPr>
              <w:t xml:space="preserve">WP</w:t>
            </w:r>
          </w:p>
        </w:tc>
        <w:tc>
          <w:tcPr>
            <w:tcW w:type="dxa" w:w="700"/>
            <w:shd w:fill="1F3864" w:val="clear"/>
            <w:vAlign w:val="center"/>
          </w:tcPr>
          <w:p>
            <w:r>
              <w:rPr>
                <w:b/>
                <w:bCs/>
                <w:color w:val="FFFFFF"/>
                <w:sz w:val="18"/>
                <w:szCs w:val="18"/>
              </w:rPr>
              <w:t xml:space="preserve">Portfolio</w:t>
            </w:r>
          </w:p>
        </w:tc>
        <w:tc>
          <w:tcPr>
            <w:tcW w:type="dxa" w:w="900"/>
            <w:shd w:fill="1F3864" w:val="clear"/>
            <w:vAlign w:val="center"/>
          </w:tcPr>
          <w:p>
            <w:r>
              <w:rPr>
                <w:b/>
                <w:bCs/>
                <w:color w:val="FFFFFF"/>
                <w:sz w:val="18"/>
                <w:szCs w:val="18"/>
              </w:rPr>
              <w:t xml:space="preserve">Wave</w:t>
            </w:r>
          </w:p>
        </w:tc>
        <w:tc>
          <w:tcPr>
            <w:tcW w:type="dxa" w:w="1100"/>
            <w:shd w:fill="1F3864" w:val="clear"/>
            <w:vAlign w:val="center"/>
          </w:tcPr>
          <w:p>
            <w:r>
              <w:rPr>
                <w:b/>
                <w:bCs/>
                <w:color w:val="FFFFFF"/>
                <w:sz w:val="18"/>
                <w:szCs w:val="18"/>
              </w:rPr>
              <w:t xml:space="preserve">Repository</w:t>
            </w:r>
          </w:p>
        </w:tc>
        <w:tc>
          <w:tcPr>
            <w:tcW w:type="dxa" w:w="1560"/>
            <w:shd w:fill="1F3864" w:val="clear"/>
            <w:vAlign w:val="center"/>
          </w:tcPr>
          <w:p>
            <w:r>
              <w:rPr>
                <w:b/>
                <w:bCs/>
                <w:color w:val="FFFFFF"/>
                <w:sz w:val="18"/>
                <w:szCs w:val="18"/>
              </w:rPr>
              <w:t xml:space="preserve">Verification</w:t>
            </w:r>
          </w:p>
        </w:tc>
        <w:tc>
          <w:tcPr>
            <w:tcW w:type="dxa" w:w="1300"/>
            <w:shd w:fill="1F3864" w:val="clear"/>
            <w:vAlign w:val="center"/>
          </w:tcPr>
          <w:p>
            <w:r>
              <w:rPr>
                <w:b/>
                <w:bCs/>
                <w:color w:val="FFFFFF"/>
                <w:sz w:val="18"/>
                <w:szCs w:val="18"/>
              </w:rPr>
              <w:t xml:space="preserve">Acceptance</w:t>
            </w:r>
          </w:p>
        </w:tc>
        <w:tc>
          <w:tcPr>
            <w:tcW w:type="dxa" w:w="1200"/>
            <w:shd w:fill="1F3864" w:val="clear"/>
            <w:vAlign w:val="center"/>
          </w:tcPr>
          <w:p>
            <w:r>
              <w:rPr>
                <w:b/>
                <w:bCs/>
                <w:color w:val="FFFFFF"/>
                <w:sz w:val="18"/>
                <w:szCs w:val="18"/>
              </w:rPr>
              <w:t xml:space="preserve">Traceability Status</w:t>
            </w:r>
          </w:p>
        </w:tc>
      </w:tr>
      <w:tr>
        <w:tc>
          <w:tcPr>
            <w:tcW w:type="dxa" w:w="700"/>
            <w:vAlign w:val="center"/>
          </w:tcPr>
          <w:p>
            <w:r>
              <w:rPr>
                <w:b w:val="false"/>
                <w:bCs w:val="false"/>
                <w:sz w:val="18"/>
                <w:szCs w:val="18"/>
              </w:rPr>
              <w:t xml:space="preserve">AR-0001</w:t>
            </w:r>
          </w:p>
        </w:tc>
        <w:tc>
          <w:tcPr>
            <w:tcW w:type="dxa" w:w="800"/>
            <w:vAlign w:val="center"/>
          </w:tcPr>
          <w:p>
            <w:r>
              <w:rPr>
                <w:b w:val="false"/>
                <w:bCs w:val="false"/>
                <w:sz w:val="18"/>
                <w:szCs w:val="18"/>
              </w:rPr>
              <w:t xml:space="preserve">EGD-0001</w:t>
            </w:r>
          </w:p>
        </w:tc>
        <w:tc>
          <w:tcPr>
            <w:tcW w:type="dxa" w:w="1100"/>
            <w:vAlign w:val="center"/>
          </w:tcPr>
          <w:p>
            <w:r>
              <w:rPr>
                <w:b w:val="false"/>
                <w:bCs w:val="false"/>
                <w:sz w:val="18"/>
                <w:szCs w:val="18"/>
              </w:rPr>
              <w:t xml:space="preserve">—</w:t>
            </w:r>
          </w:p>
        </w:tc>
        <w:tc>
          <w:tcPr>
            <w:tcW w:type="dxa" w:w="700"/>
            <w:vAlign w:val="center"/>
          </w:tcPr>
          <w:p>
            <w:r>
              <w:rPr>
                <w:b w:val="false"/>
                <w:bCs w:val="false"/>
                <w:sz w:val="18"/>
                <w:szCs w:val="18"/>
              </w:rPr>
              <w:t xml:space="preserve">1</w:t>
            </w:r>
          </w:p>
        </w:tc>
        <w:tc>
          <w:tcPr>
            <w:tcW w:type="dxa" w:w="900"/>
            <w:vAlign w:val="center"/>
          </w:tcPr>
          <w:p>
            <w:r>
              <w:rPr>
                <w:b w:val="false"/>
                <w:bCs w:val="false"/>
                <w:sz w:val="18"/>
                <w:szCs w:val="18"/>
              </w:rPr>
              <w:t xml:space="preserve">— (trigger-gated)</w:t>
            </w:r>
          </w:p>
        </w:tc>
        <w:tc>
          <w:tcPr>
            <w:tcW w:type="dxa" w:w="1100"/>
            <w:vAlign w:val="center"/>
          </w:tcPr>
          <w:p>
            <w:r>
              <w:rPr>
                <w:b w:val="false"/>
                <w:bCs w:val="false"/>
                <w:sz w:val="18"/>
                <w:szCs w:val="18"/>
              </w:rPr>
              <w:t xml:space="preserve">Database</w:t>
            </w:r>
          </w:p>
        </w:tc>
        <w:tc>
          <w:tcPr>
            <w:tcW w:type="dxa" w:w="1560"/>
            <w:vAlign w:val="center"/>
          </w:tcPr>
          <w:p>
            <w:r>
              <w:rPr>
                <w:b w:val="false"/>
                <w:bCs w:val="false"/>
                <w:sz w:val="18"/>
                <w:szCs w:val="18"/>
              </w:rPr>
              <w:t xml:space="preserve">Quarterly trigger check</w:t>
            </w:r>
          </w:p>
        </w:tc>
        <w:tc>
          <w:tcPr>
            <w:tcW w:type="dxa" w:w="1300"/>
            <w:vAlign w:val="center"/>
          </w:tcPr>
          <w:p>
            <w:r>
              <w:rPr>
                <w:b w:val="false"/>
                <w:bCs w:val="false"/>
                <w:sz w:val="18"/>
                <w:szCs w:val="18"/>
              </w:rPr>
              <w:t xml:space="preserve">Not Applicable</w:t>
            </w:r>
          </w:p>
        </w:tc>
        <w:tc>
          <w:tcPr>
            <w:tcW w:type="dxa" w:w="1200"/>
            <w:vAlign w:val="center"/>
          </w:tcPr>
          <w:p>
            <w:r>
              <w:rPr>
                <w:b w:val="false"/>
                <w:bCs w:val="false"/>
                <w:sz w:val="18"/>
                <w:szCs w:val="18"/>
              </w:rPr>
              <w:t xml:space="preserve">Complete, not work-gated</w:t>
            </w:r>
          </w:p>
        </w:tc>
      </w:tr>
      <w:tr>
        <w:tc>
          <w:tcPr>
            <w:tcW w:type="dxa" w:w="700"/>
            <w:shd w:fill="F2F2F2" w:val="clear"/>
            <w:vAlign w:val="center"/>
          </w:tcPr>
          <w:p>
            <w:r>
              <w:rPr>
                <w:b w:val="false"/>
                <w:bCs w:val="false"/>
                <w:sz w:val="18"/>
                <w:szCs w:val="18"/>
              </w:rPr>
              <w:t xml:space="preserve">AR-0002</w:t>
            </w:r>
          </w:p>
        </w:tc>
        <w:tc>
          <w:tcPr>
            <w:tcW w:type="dxa" w:w="800"/>
            <w:shd w:fill="F2F2F2" w:val="clear"/>
            <w:vAlign w:val="center"/>
          </w:tcPr>
          <w:p>
            <w:r>
              <w:rPr>
                <w:b w:val="false"/>
                <w:bCs w:val="false"/>
                <w:sz w:val="18"/>
                <w:szCs w:val="18"/>
              </w:rPr>
              <w:t xml:space="preserve">EGD-0002</w:t>
            </w:r>
          </w:p>
        </w:tc>
        <w:tc>
          <w:tcPr>
            <w:tcW w:type="dxa" w:w="1100"/>
            <w:shd w:fill="F2F2F2" w:val="clear"/>
            <w:vAlign w:val="center"/>
          </w:tcPr>
          <w:p>
            <w:r>
              <w:rPr>
                <w:b w:val="false"/>
                <w:bCs w:val="false"/>
                <w:sz w:val="18"/>
                <w:szCs w:val="18"/>
              </w:rPr>
              <w:t xml:space="preserve">WP-0001</w:t>
            </w:r>
          </w:p>
        </w:tc>
        <w:tc>
          <w:tcPr>
            <w:tcW w:type="dxa" w:w="700"/>
            <w:shd w:fill="F2F2F2" w:val="clear"/>
            <w:vAlign w:val="center"/>
          </w:tcPr>
          <w:p>
            <w:r>
              <w:rPr>
                <w:b w:val="false"/>
                <w:bCs w:val="false"/>
                <w:sz w:val="18"/>
                <w:szCs w:val="18"/>
              </w:rPr>
              <w:t xml:space="preserve">1</w:t>
            </w:r>
          </w:p>
        </w:tc>
        <w:tc>
          <w:tcPr>
            <w:tcW w:type="dxa" w:w="900"/>
            <w:shd w:fill="F2F2F2" w:val="clear"/>
            <w:vAlign w:val="center"/>
          </w:tcPr>
          <w:p>
            <w:r>
              <w:rPr>
                <w:b w:val="false"/>
                <w:bCs w:val="false"/>
                <w:sz w:val="18"/>
                <w:szCs w:val="18"/>
              </w:rPr>
              <w:t xml:space="preserve">Wave 2</w:t>
            </w:r>
          </w:p>
        </w:tc>
        <w:tc>
          <w:tcPr>
            <w:tcW w:type="dxa" w:w="1100"/>
            <w:shd w:fill="F2F2F2" w:val="clear"/>
            <w:vAlign w:val="center"/>
          </w:tcPr>
          <w:p>
            <w:r>
              <w:rPr>
                <w:b w:val="false"/>
                <w:bCs w:val="false"/>
                <w:sz w:val="18"/>
                <w:szCs w:val="18"/>
              </w:rPr>
              <w:t xml:space="preserve">Documentation</w:t>
            </w:r>
          </w:p>
        </w:tc>
        <w:tc>
          <w:tcPr>
            <w:tcW w:type="dxa" w:w="1560"/>
            <w:shd w:fill="F2F2F2" w:val="clear"/>
            <w:vAlign w:val="center"/>
          </w:tcPr>
          <w:p>
            <w:r>
              <w:rPr>
                <w:b w:val="false"/>
                <w:bCs w:val="false"/>
                <w:sz w:val="18"/>
                <w:szCs w:val="18"/>
              </w:rPr>
              <w:t xml:space="preserve">Table inventory diff</w:t>
            </w:r>
          </w:p>
        </w:tc>
        <w:tc>
          <w:tcPr>
            <w:tcW w:type="dxa" w:w="1300"/>
            <w:shd w:fill="F2F2F2" w:val="clear"/>
            <w:vAlign w:val="center"/>
          </w:tcPr>
          <w:p>
            <w:r>
              <w:rPr>
                <w:b w:val="false"/>
                <w:bCs w:val="false"/>
                <w:sz w:val="18"/>
                <w:szCs w:val="18"/>
              </w:rPr>
              <w:t xml:space="preserve">Section 9, WP-0001</w:t>
            </w:r>
          </w:p>
        </w:tc>
        <w:tc>
          <w:tcPr>
            <w:tcW w:type="dxa" w:w="1200"/>
            <w:shd w:fill="F2F2F2" w:val="clear"/>
            <w:vAlign w:val="center"/>
          </w:tcPr>
          <w:p>
            <w:r>
              <w:rPr>
                <w:b w:val="false"/>
                <w:bCs w:val="false"/>
                <w:sz w:val="18"/>
                <w:szCs w:val="18"/>
              </w:rPr>
              <w:t xml:space="preserve">Complete</w:t>
            </w:r>
          </w:p>
        </w:tc>
      </w:tr>
      <w:tr>
        <w:tc>
          <w:tcPr>
            <w:tcW w:type="dxa" w:w="700"/>
            <w:vAlign w:val="center"/>
          </w:tcPr>
          <w:p>
            <w:r>
              <w:rPr>
                <w:b w:val="false"/>
                <w:bCs w:val="false"/>
                <w:sz w:val="18"/>
                <w:szCs w:val="18"/>
              </w:rPr>
              <w:t xml:space="preserve">AR-0003</w:t>
            </w:r>
          </w:p>
        </w:tc>
        <w:tc>
          <w:tcPr>
            <w:tcW w:type="dxa" w:w="800"/>
            <w:vAlign w:val="center"/>
          </w:tcPr>
          <w:p>
            <w:r>
              <w:rPr>
                <w:b w:val="false"/>
                <w:bCs w:val="false"/>
                <w:sz w:val="18"/>
                <w:szCs w:val="18"/>
              </w:rPr>
              <w:t xml:space="preserve">EGD-0003</w:t>
            </w:r>
          </w:p>
        </w:tc>
        <w:tc>
          <w:tcPr>
            <w:tcW w:type="dxa" w:w="1100"/>
            <w:vAlign w:val="center"/>
          </w:tcPr>
          <w:p>
            <w:r>
              <w:rPr>
                <w:b w:val="false"/>
                <w:bCs w:val="false"/>
                <w:sz w:val="18"/>
                <w:szCs w:val="18"/>
              </w:rPr>
              <w:t xml:space="preserve">WP-0004</w:t>
            </w:r>
          </w:p>
        </w:tc>
        <w:tc>
          <w:tcPr>
            <w:tcW w:type="dxa" w:w="700"/>
            <w:vAlign w:val="center"/>
          </w:tcPr>
          <w:p>
            <w:r>
              <w:rPr>
                <w:b w:val="false"/>
                <w:bCs w:val="false"/>
                <w:sz w:val="18"/>
                <w:szCs w:val="18"/>
              </w:rPr>
              <w:t xml:space="preserve">1</w:t>
            </w:r>
          </w:p>
        </w:tc>
        <w:tc>
          <w:tcPr>
            <w:tcW w:type="dxa" w:w="900"/>
            <w:vAlign w:val="center"/>
          </w:tcPr>
          <w:p>
            <w:r>
              <w:rPr>
                <w:b w:val="false"/>
                <w:bCs w:val="false"/>
                <w:sz w:val="18"/>
                <w:szCs w:val="18"/>
              </w:rPr>
              <w:t xml:space="preserve">Wave 2</w:t>
            </w:r>
          </w:p>
        </w:tc>
        <w:tc>
          <w:tcPr>
            <w:tcW w:type="dxa" w:w="1100"/>
            <w:vAlign w:val="center"/>
          </w:tcPr>
          <w:p>
            <w:r>
              <w:rPr>
                <w:b w:val="false"/>
                <w:bCs w:val="false"/>
                <w:sz w:val="18"/>
                <w:szCs w:val="18"/>
              </w:rPr>
              <w:t xml:space="preserve">Database, Test</w:t>
            </w:r>
          </w:p>
        </w:tc>
        <w:tc>
          <w:tcPr>
            <w:tcW w:type="dxa" w:w="1560"/>
            <w:vAlign w:val="center"/>
          </w:tcPr>
          <w:p>
            <w:r>
              <w:rPr>
                <w:b w:val="false"/>
                <w:bCs w:val="false"/>
                <w:sz w:val="18"/>
                <w:szCs w:val="18"/>
              </w:rPr>
              <w:t xml:space="preserve">Per-release check</w:t>
            </w:r>
          </w:p>
        </w:tc>
        <w:tc>
          <w:tcPr>
            <w:tcW w:type="dxa" w:w="1300"/>
            <w:vAlign w:val="center"/>
          </w:tcPr>
          <w:p>
            <w:r>
              <w:rPr>
                <w:b w:val="false"/>
                <w:bCs w:val="false"/>
                <w:sz w:val="18"/>
                <w:szCs w:val="18"/>
              </w:rPr>
              <w:t xml:space="preserve">Section 9, WP-0004</w:t>
            </w:r>
          </w:p>
        </w:tc>
        <w:tc>
          <w:tcPr>
            <w:tcW w:type="dxa" w:w="1200"/>
            <w:vAlign w:val="center"/>
          </w:tcPr>
          <w:p>
            <w:r>
              <w:rPr>
                <w:b w:val="false"/>
                <w:bCs w:val="false"/>
                <w:sz w:val="18"/>
                <w:szCs w:val="18"/>
              </w:rPr>
              <w:t xml:space="preserve">Complete</w:t>
            </w:r>
          </w:p>
        </w:tc>
      </w:tr>
      <w:tr>
        <w:tc>
          <w:tcPr>
            <w:tcW w:type="dxa" w:w="700"/>
            <w:shd w:fill="F2F2F2" w:val="clear"/>
            <w:vAlign w:val="center"/>
          </w:tcPr>
          <w:p>
            <w:r>
              <w:rPr>
                <w:b w:val="false"/>
                <w:bCs w:val="false"/>
                <w:sz w:val="18"/>
                <w:szCs w:val="18"/>
              </w:rPr>
              <w:t xml:space="preserve">AR-0004</w:t>
            </w:r>
          </w:p>
        </w:tc>
        <w:tc>
          <w:tcPr>
            <w:tcW w:type="dxa" w:w="800"/>
            <w:shd w:fill="F2F2F2" w:val="clear"/>
            <w:vAlign w:val="center"/>
          </w:tcPr>
          <w:p>
            <w:r>
              <w:rPr>
                <w:b w:val="false"/>
                <w:bCs w:val="false"/>
                <w:sz w:val="18"/>
                <w:szCs w:val="18"/>
              </w:rPr>
              <w:t xml:space="preserve">EGD-0004</w:t>
            </w:r>
          </w:p>
        </w:tc>
        <w:tc>
          <w:tcPr>
            <w:tcW w:type="dxa" w:w="1100"/>
            <w:shd w:fill="F2F2F2" w:val="clear"/>
            <w:vAlign w:val="center"/>
          </w:tcPr>
          <w:p>
            <w:r>
              <w:rPr>
                <w:b w:val="false"/>
                <w:bCs w:val="false"/>
                <w:sz w:val="18"/>
                <w:szCs w:val="18"/>
              </w:rPr>
              <w:t xml:space="preserve">WP-0003</w:t>
            </w:r>
          </w:p>
        </w:tc>
        <w:tc>
          <w:tcPr>
            <w:tcW w:type="dxa" w:w="700"/>
            <w:shd w:fill="F2F2F2" w:val="clear"/>
            <w:vAlign w:val="center"/>
          </w:tcPr>
          <w:p>
            <w:r>
              <w:rPr>
                <w:b w:val="false"/>
                <w:bCs w:val="false"/>
                <w:sz w:val="18"/>
                <w:szCs w:val="18"/>
              </w:rPr>
              <w:t xml:space="preserve">1</w:t>
            </w:r>
          </w:p>
        </w:tc>
        <w:tc>
          <w:tcPr>
            <w:tcW w:type="dxa" w:w="900"/>
            <w:shd w:fill="F2F2F2" w:val="clear"/>
            <w:vAlign w:val="center"/>
          </w:tcPr>
          <w:p>
            <w:r>
              <w:rPr>
                <w:b w:val="false"/>
                <w:bCs w:val="false"/>
                <w:sz w:val="18"/>
                <w:szCs w:val="18"/>
              </w:rPr>
              <w:t xml:space="preserve">Wave 3</w:t>
            </w:r>
          </w:p>
        </w:tc>
        <w:tc>
          <w:tcPr>
            <w:tcW w:type="dxa" w:w="1100"/>
            <w:shd w:fill="F2F2F2" w:val="clear"/>
            <w:vAlign w:val="center"/>
          </w:tcPr>
          <w:p>
            <w:r>
              <w:rPr>
                <w:b w:val="false"/>
                <w:bCs w:val="false"/>
                <w:sz w:val="18"/>
                <w:szCs w:val="18"/>
              </w:rPr>
              <w:t xml:space="preserve">Database</w:t>
            </w:r>
          </w:p>
        </w:tc>
        <w:tc>
          <w:tcPr>
            <w:tcW w:type="dxa" w:w="1560"/>
            <w:shd w:fill="F2F2F2" w:val="clear"/>
            <w:vAlign w:val="center"/>
          </w:tcPr>
          <w:p>
            <w:r>
              <w:rPr>
                <w:b w:val="false"/>
                <w:bCs w:val="false"/>
                <w:sz w:val="18"/>
                <w:szCs w:val="18"/>
              </w:rPr>
              <w:t xml:space="preserve">Quarterly check</w:t>
            </w:r>
          </w:p>
        </w:tc>
        <w:tc>
          <w:tcPr>
            <w:tcW w:type="dxa" w:w="1300"/>
            <w:shd w:fill="F2F2F2" w:val="clear"/>
            <w:vAlign w:val="center"/>
          </w:tcPr>
          <w:p>
            <w:r>
              <w:rPr>
                <w:b w:val="false"/>
                <w:bCs w:val="false"/>
                <w:sz w:val="18"/>
                <w:szCs w:val="18"/>
              </w:rPr>
              <w:t xml:space="preserve">Section 9, WP-0003 (trigger-gated)</w:t>
            </w:r>
          </w:p>
        </w:tc>
        <w:tc>
          <w:tcPr>
            <w:tcW w:type="dxa" w:w="1200"/>
            <w:shd w:fill="F2F2F2" w:val="clear"/>
            <w:vAlign w:val="center"/>
          </w:tcPr>
          <w:p>
            <w:r>
              <w:rPr>
                <w:b w:val="false"/>
                <w:bCs w:val="false"/>
                <w:sz w:val="18"/>
                <w:szCs w:val="18"/>
              </w:rPr>
              <w:t xml:space="preserve">Complete, trigger-gated</w:t>
            </w:r>
          </w:p>
        </w:tc>
      </w:tr>
      <w:tr>
        <w:tc>
          <w:tcPr>
            <w:tcW w:type="dxa" w:w="700"/>
            <w:vAlign w:val="center"/>
          </w:tcPr>
          <w:p>
            <w:r>
              <w:rPr>
                <w:b w:val="false"/>
                <w:bCs w:val="false"/>
                <w:sz w:val="18"/>
                <w:szCs w:val="18"/>
              </w:rPr>
              <w:t xml:space="preserve">AR-0005</w:t>
            </w:r>
          </w:p>
        </w:tc>
        <w:tc>
          <w:tcPr>
            <w:tcW w:type="dxa" w:w="800"/>
            <w:vAlign w:val="center"/>
          </w:tcPr>
          <w:p>
            <w:r>
              <w:rPr>
                <w:b w:val="false"/>
                <w:bCs w:val="false"/>
                <w:sz w:val="18"/>
                <w:szCs w:val="18"/>
              </w:rPr>
              <w:t xml:space="preserve">EGD-0005</w:t>
            </w:r>
          </w:p>
        </w:tc>
        <w:tc>
          <w:tcPr>
            <w:tcW w:type="dxa" w:w="1100"/>
            <w:vAlign w:val="center"/>
          </w:tcPr>
          <w:p>
            <w:r>
              <w:rPr>
                <w:b w:val="false"/>
                <w:bCs w:val="false"/>
                <w:sz w:val="18"/>
                <w:szCs w:val="18"/>
              </w:rPr>
              <w:t xml:space="preserve">—</w:t>
            </w:r>
          </w:p>
        </w:tc>
        <w:tc>
          <w:tcPr>
            <w:tcW w:type="dxa" w:w="700"/>
            <w:vAlign w:val="center"/>
          </w:tcPr>
          <w:p>
            <w:r>
              <w:rPr>
                <w:b w:val="false"/>
                <w:bCs w:val="false"/>
                <w:sz w:val="18"/>
                <w:szCs w:val="18"/>
              </w:rPr>
              <w:t xml:space="preserve">1</w:t>
            </w:r>
          </w:p>
        </w:tc>
        <w:tc>
          <w:tcPr>
            <w:tcW w:type="dxa" w:w="900"/>
            <w:vAlign w:val="center"/>
          </w:tcPr>
          <w:p>
            <w:r>
              <w:rPr>
                <w:b w:val="false"/>
                <w:bCs w:val="false"/>
                <w:sz w:val="18"/>
                <w:szCs w:val="18"/>
              </w:rPr>
              <w:t xml:space="preserve">Reserved</w:t>
            </w:r>
          </w:p>
        </w:tc>
        <w:tc>
          <w:tcPr>
            <w:tcW w:type="dxa" w:w="1100"/>
            <w:vAlign w:val="center"/>
          </w:tcPr>
          <w:p>
            <w:r>
              <w:rPr>
                <w:b w:val="false"/>
                <w:bCs w:val="false"/>
                <w:sz w:val="18"/>
                <w:szCs w:val="18"/>
              </w:rPr>
              <w:t xml:space="preserve">Database</w:t>
            </w:r>
          </w:p>
        </w:tc>
        <w:tc>
          <w:tcPr>
            <w:tcW w:type="dxa" w:w="1560"/>
            <w:vAlign w:val="center"/>
          </w:tcPr>
          <w:p>
            <w:r>
              <w:rPr>
                <w:b w:val="false"/>
                <w:bCs w:val="false"/>
                <w:sz w:val="18"/>
                <w:szCs w:val="18"/>
              </w:rPr>
              <w:t xml:space="preserve">Product roadmap review</w:t>
            </w:r>
          </w:p>
        </w:tc>
        <w:tc>
          <w:tcPr>
            <w:tcW w:type="dxa" w:w="1300"/>
            <w:vAlign w:val="center"/>
          </w:tcPr>
          <w:p>
            <w:r>
              <w:rPr>
                <w:b w:val="false"/>
                <w:bCs w:val="false"/>
                <w:sz w:val="18"/>
                <w:szCs w:val="18"/>
              </w:rPr>
              <w:t xml:space="preserve">Not Evidenced in Current Baseline</w:t>
            </w:r>
          </w:p>
        </w:tc>
        <w:tc>
          <w:tcPr>
            <w:tcW w:type="dxa" w:w="1200"/>
            <w:vAlign w:val="center"/>
          </w:tcPr>
          <w:p>
            <w:r>
              <w:rPr>
                <w:b w:val="false"/>
                <w:bCs w:val="false"/>
                <w:sz w:val="18"/>
                <w:szCs w:val="18"/>
              </w:rPr>
              <w:t xml:space="preserve">Complete, not work-gated</w:t>
            </w:r>
          </w:p>
        </w:tc>
      </w:tr>
      <w:tr>
        <w:tc>
          <w:tcPr>
            <w:tcW w:type="dxa" w:w="700"/>
            <w:shd w:fill="F2F2F2" w:val="clear"/>
            <w:vAlign w:val="center"/>
          </w:tcPr>
          <w:p>
            <w:r>
              <w:rPr>
                <w:b w:val="false"/>
                <w:bCs w:val="false"/>
                <w:sz w:val="18"/>
                <w:szCs w:val="18"/>
              </w:rPr>
              <w:t xml:space="preserve">AR-0006</w:t>
            </w:r>
          </w:p>
        </w:tc>
        <w:tc>
          <w:tcPr>
            <w:tcW w:type="dxa" w:w="800"/>
            <w:shd w:fill="F2F2F2" w:val="clear"/>
            <w:vAlign w:val="center"/>
          </w:tcPr>
          <w:p>
            <w:r>
              <w:rPr>
                <w:b w:val="false"/>
                <w:bCs w:val="false"/>
                <w:sz w:val="18"/>
                <w:szCs w:val="18"/>
              </w:rPr>
              <w:t xml:space="preserve">EGD-0006</w:t>
            </w:r>
          </w:p>
        </w:tc>
        <w:tc>
          <w:tcPr>
            <w:tcW w:type="dxa" w:w="1100"/>
            <w:shd w:fill="F2F2F2" w:val="clear"/>
            <w:vAlign w:val="center"/>
          </w:tcPr>
          <w:p>
            <w:r>
              <w:rPr>
                <w:b w:val="false"/>
                <w:bCs w:val="false"/>
                <w:sz w:val="18"/>
                <w:szCs w:val="18"/>
              </w:rPr>
              <w:t xml:space="preserve">—</w:t>
            </w:r>
          </w:p>
        </w:tc>
        <w:tc>
          <w:tcPr>
            <w:tcW w:type="dxa" w:w="700"/>
            <w:shd w:fill="F2F2F2" w:val="clear"/>
            <w:vAlign w:val="center"/>
          </w:tcPr>
          <w:p>
            <w:r>
              <w:rPr>
                <w:b w:val="false"/>
                <w:bCs w:val="false"/>
                <w:sz w:val="18"/>
                <w:szCs w:val="18"/>
              </w:rPr>
              <w:t xml:space="preserve">1</w:t>
            </w:r>
          </w:p>
        </w:tc>
        <w:tc>
          <w:tcPr>
            <w:tcW w:type="dxa" w:w="900"/>
            <w:shd w:fill="F2F2F2" w:val="clear"/>
            <w:vAlign w:val="center"/>
          </w:tcPr>
          <w:p>
            <w:r>
              <w:rPr>
                <w:b w:val="false"/>
                <w:bCs w:val="false"/>
                <w:sz w:val="18"/>
                <w:szCs w:val="18"/>
              </w:rPr>
              <w:t xml:space="preserve">Reserved</w:t>
            </w:r>
          </w:p>
        </w:tc>
        <w:tc>
          <w:tcPr>
            <w:tcW w:type="dxa" w:w="1100"/>
            <w:shd w:fill="F2F2F2" w:val="clear"/>
            <w:vAlign w:val="center"/>
          </w:tcPr>
          <w:p>
            <w:r>
              <w:rPr>
                <w:b w:val="false"/>
                <w:bCs w:val="false"/>
                <w:sz w:val="18"/>
                <w:szCs w:val="18"/>
              </w:rPr>
              <w:t xml:space="preserve">Not Applicable</w:t>
            </w:r>
          </w:p>
        </w:tc>
        <w:tc>
          <w:tcPr>
            <w:tcW w:type="dxa" w:w="1560"/>
            <w:shd w:fill="F2F2F2" w:val="clear"/>
            <w:vAlign w:val="center"/>
          </w:tcPr>
          <w:p>
            <w:r>
              <w:rPr>
                <w:b w:val="false"/>
                <w:bCs w:val="false"/>
                <w:sz w:val="18"/>
                <w:szCs w:val="18"/>
              </w:rPr>
              <w:t xml:space="preserve">Compliance/audit scope review</w:t>
            </w:r>
          </w:p>
        </w:tc>
        <w:tc>
          <w:tcPr>
            <w:tcW w:type="dxa" w:w="1300"/>
            <w:shd w:fill="F2F2F2" w:val="clear"/>
            <w:vAlign w:val="center"/>
          </w:tcPr>
          <w:p>
            <w:r>
              <w:rPr>
                <w:b w:val="false"/>
                <w:bCs w:val="false"/>
                <w:sz w:val="18"/>
                <w:szCs w:val="18"/>
              </w:rPr>
              <w:t xml:space="preserve">Not Evidenced in Current Baseline</w:t>
            </w:r>
          </w:p>
        </w:tc>
        <w:tc>
          <w:tcPr>
            <w:tcW w:type="dxa" w:w="1200"/>
            <w:shd w:fill="F2F2F2" w:val="clear"/>
            <w:vAlign w:val="center"/>
          </w:tcPr>
          <w:p>
            <w:r>
              <w:rPr>
                <w:b w:val="false"/>
                <w:bCs w:val="false"/>
                <w:sz w:val="18"/>
                <w:szCs w:val="18"/>
              </w:rPr>
              <w:t xml:space="preserve">Complete, not work-gated</w:t>
            </w:r>
          </w:p>
        </w:tc>
      </w:tr>
      <w:tr>
        <w:tc>
          <w:tcPr>
            <w:tcW w:type="dxa" w:w="700"/>
            <w:vAlign w:val="center"/>
          </w:tcPr>
          <w:p>
            <w:r>
              <w:rPr>
                <w:b w:val="false"/>
                <w:bCs w:val="false"/>
                <w:sz w:val="18"/>
                <w:szCs w:val="18"/>
              </w:rPr>
              <w:t xml:space="preserve">AR-0007</w:t>
            </w:r>
          </w:p>
        </w:tc>
        <w:tc>
          <w:tcPr>
            <w:tcW w:type="dxa" w:w="800"/>
            <w:vAlign w:val="center"/>
          </w:tcPr>
          <w:p>
            <w:r>
              <w:rPr>
                <w:b w:val="false"/>
                <w:bCs w:val="false"/>
                <w:sz w:val="18"/>
                <w:szCs w:val="18"/>
              </w:rPr>
              <w:t xml:space="preserve">EGD-0007</w:t>
            </w:r>
          </w:p>
        </w:tc>
        <w:tc>
          <w:tcPr>
            <w:tcW w:type="dxa" w:w="1100"/>
            <w:vAlign w:val="center"/>
          </w:tcPr>
          <w:p>
            <w:r>
              <w:rPr>
                <w:b w:val="false"/>
                <w:bCs w:val="false"/>
                <w:sz w:val="18"/>
                <w:szCs w:val="18"/>
              </w:rPr>
              <w:t xml:space="preserve">WP-0002, WP-0005</w:t>
            </w:r>
          </w:p>
        </w:tc>
        <w:tc>
          <w:tcPr>
            <w:tcW w:type="dxa" w:w="700"/>
            <w:vAlign w:val="center"/>
          </w:tcPr>
          <w:p>
            <w:r>
              <w:rPr>
                <w:b w:val="false"/>
                <w:bCs w:val="false"/>
                <w:sz w:val="18"/>
                <w:szCs w:val="18"/>
              </w:rPr>
              <w:t xml:space="preserve">2</w:t>
            </w:r>
          </w:p>
        </w:tc>
        <w:tc>
          <w:tcPr>
            <w:tcW w:type="dxa" w:w="900"/>
            <w:vAlign w:val="center"/>
          </w:tcPr>
          <w:p>
            <w:r>
              <w:rPr>
                <w:b w:val="false"/>
                <w:bCs w:val="false"/>
                <w:sz w:val="18"/>
                <w:szCs w:val="18"/>
              </w:rPr>
              <w:t xml:space="preserve">Wave 1</w:t>
            </w:r>
          </w:p>
        </w:tc>
        <w:tc>
          <w:tcPr>
            <w:tcW w:type="dxa" w:w="1100"/>
            <w:vAlign w:val="center"/>
          </w:tcPr>
          <w:p>
            <w:r>
              <w:rPr>
                <w:b w:val="false"/>
                <w:bCs w:val="false"/>
                <w:sz w:val="18"/>
                <w:szCs w:val="18"/>
              </w:rPr>
              <w:t xml:space="preserve">Database, Test</w:t>
            </w:r>
          </w:p>
        </w:tc>
        <w:tc>
          <w:tcPr>
            <w:tcW w:type="dxa" w:w="1560"/>
            <w:vAlign w:val="center"/>
          </w:tcPr>
          <w:p>
            <w:r>
              <w:rPr>
                <w:b w:val="false"/>
                <w:bCs w:val="false"/>
                <w:sz w:val="18"/>
                <w:szCs w:val="18"/>
              </w:rPr>
              <w:t xml:space="preserve">Written RLS status + policy list</w:t>
            </w:r>
          </w:p>
        </w:tc>
        <w:tc>
          <w:tcPr>
            <w:tcW w:type="dxa" w:w="1300"/>
            <w:vAlign w:val="center"/>
          </w:tcPr>
          <w:p>
            <w:r>
              <w:rPr>
                <w:b w:val="false"/>
                <w:bCs w:val="false"/>
                <w:sz w:val="18"/>
                <w:szCs w:val="18"/>
              </w:rPr>
              <w:t xml:space="preserve">Section 9, WP-0002/WP-0005</w:t>
            </w:r>
          </w:p>
        </w:tc>
        <w:tc>
          <w:tcPr>
            <w:tcW w:type="dxa" w:w="1200"/>
            <w:vAlign w:val="center"/>
          </w:tcPr>
          <w:p>
            <w:r>
              <w:rPr>
                <w:b w:val="false"/>
                <w:bCs w:val="false"/>
                <w:sz w:val="18"/>
                <w:szCs w:val="18"/>
              </w:rPr>
              <w:t xml:space="preserve">Complete</w:t>
            </w:r>
          </w:p>
        </w:tc>
      </w:tr>
      <w:tr>
        <w:tc>
          <w:tcPr>
            <w:tcW w:type="dxa" w:w="700"/>
            <w:shd w:fill="F2F2F2" w:val="clear"/>
            <w:vAlign w:val="center"/>
          </w:tcPr>
          <w:p>
            <w:r>
              <w:rPr>
                <w:b w:val="false"/>
                <w:bCs w:val="false"/>
                <w:sz w:val="18"/>
                <w:szCs w:val="18"/>
              </w:rPr>
              <w:t xml:space="preserve">AR-0008</w:t>
            </w:r>
          </w:p>
        </w:tc>
        <w:tc>
          <w:tcPr>
            <w:tcW w:type="dxa" w:w="800"/>
            <w:shd w:fill="F2F2F2" w:val="clear"/>
            <w:vAlign w:val="center"/>
          </w:tcPr>
          <w:p>
            <w:r>
              <w:rPr>
                <w:b w:val="false"/>
                <w:bCs w:val="false"/>
                <w:sz w:val="18"/>
                <w:szCs w:val="18"/>
              </w:rPr>
              <w:t xml:space="preserve">EGD-0008</w:t>
            </w:r>
          </w:p>
        </w:tc>
        <w:tc>
          <w:tcPr>
            <w:tcW w:type="dxa" w:w="1100"/>
            <w:shd w:fill="F2F2F2" w:val="clear"/>
            <w:vAlign w:val="center"/>
          </w:tcPr>
          <w:p>
            <w:r>
              <w:rPr>
                <w:b w:val="false"/>
                <w:bCs w:val="false"/>
                <w:sz w:val="18"/>
                <w:szCs w:val="18"/>
              </w:rPr>
              <w:t xml:space="preserve">—</w:t>
            </w:r>
          </w:p>
        </w:tc>
        <w:tc>
          <w:tcPr>
            <w:tcW w:type="dxa" w:w="700"/>
            <w:shd w:fill="F2F2F2" w:val="clear"/>
            <w:vAlign w:val="center"/>
          </w:tcPr>
          <w:p>
            <w:r>
              <w:rPr>
                <w:b w:val="false"/>
                <w:bCs w:val="false"/>
                <w:sz w:val="18"/>
                <w:szCs w:val="18"/>
              </w:rPr>
              <w:t xml:space="preserve">1</w:t>
            </w:r>
          </w:p>
        </w:tc>
        <w:tc>
          <w:tcPr>
            <w:tcW w:type="dxa" w:w="900"/>
            <w:shd w:fill="F2F2F2" w:val="clear"/>
            <w:vAlign w:val="center"/>
          </w:tcPr>
          <w:p>
            <w:r>
              <w:rPr>
                <w:b w:val="false"/>
                <w:bCs w:val="false"/>
                <w:sz w:val="18"/>
                <w:szCs w:val="18"/>
              </w:rPr>
              <w:t xml:space="preserve">— (standing)</w:t>
            </w:r>
          </w:p>
        </w:tc>
        <w:tc>
          <w:tcPr>
            <w:tcW w:type="dxa" w:w="1100"/>
            <w:shd w:fill="F2F2F2" w:val="clear"/>
            <w:vAlign w:val="center"/>
          </w:tcPr>
          <w:p>
            <w:r>
              <w:rPr>
                <w:b w:val="false"/>
                <w:bCs w:val="false"/>
                <w:sz w:val="18"/>
                <w:szCs w:val="18"/>
              </w:rPr>
              <w:t xml:space="preserve">Database</w:t>
            </w:r>
          </w:p>
        </w:tc>
        <w:tc>
          <w:tcPr>
            <w:tcW w:type="dxa" w:w="1560"/>
            <w:shd w:fill="F2F2F2" w:val="clear"/>
            <w:vAlign w:val="center"/>
          </w:tcPr>
          <w:p>
            <w:r>
              <w:rPr>
                <w:b w:val="false"/>
                <w:bCs w:val="false"/>
                <w:sz w:val="18"/>
                <w:szCs w:val="18"/>
              </w:rPr>
              <w:t xml:space="preserve">Schema audit (standing)</w:t>
            </w:r>
          </w:p>
        </w:tc>
        <w:tc>
          <w:tcPr>
            <w:tcW w:type="dxa" w:w="1300"/>
            <w:shd w:fill="F2F2F2" w:val="clear"/>
            <w:vAlign w:val="center"/>
          </w:tcPr>
          <w:p>
            <w:r>
              <w:rPr>
                <w:b w:val="false"/>
                <w:bCs w:val="false"/>
                <w:sz w:val="18"/>
                <w:szCs w:val="18"/>
              </w:rPr>
              <w:t xml:space="preserve">Not Applicable</w:t>
            </w:r>
          </w:p>
        </w:tc>
        <w:tc>
          <w:tcPr>
            <w:tcW w:type="dxa" w:w="1200"/>
            <w:shd w:fill="F2F2F2" w:val="clear"/>
            <w:vAlign w:val="center"/>
          </w:tcPr>
          <w:p>
            <w:r>
              <w:rPr>
                <w:b w:val="false"/>
                <w:bCs w:val="false"/>
                <w:sz w:val="18"/>
                <w:szCs w:val="18"/>
              </w:rPr>
              <w:t xml:space="preserve">Complete, standing</w:t>
            </w:r>
          </w:p>
        </w:tc>
      </w:tr>
      <w:tr>
        <w:tc>
          <w:tcPr>
            <w:tcW w:type="dxa" w:w="700"/>
            <w:vAlign w:val="center"/>
          </w:tcPr>
          <w:p>
            <w:r>
              <w:rPr>
                <w:b w:val="false"/>
                <w:bCs w:val="false"/>
                <w:sz w:val="18"/>
                <w:szCs w:val="18"/>
              </w:rPr>
              <w:t xml:space="preserve">AR-0009</w:t>
            </w:r>
          </w:p>
        </w:tc>
        <w:tc>
          <w:tcPr>
            <w:tcW w:type="dxa" w:w="800"/>
            <w:vAlign w:val="center"/>
          </w:tcPr>
          <w:p>
            <w:r>
              <w:rPr>
                <w:b w:val="false"/>
                <w:bCs w:val="false"/>
                <w:sz w:val="18"/>
                <w:szCs w:val="18"/>
              </w:rPr>
              <w:t xml:space="preserve">EGD-0008</w:t>
            </w:r>
          </w:p>
        </w:tc>
        <w:tc>
          <w:tcPr>
            <w:tcW w:type="dxa" w:w="1100"/>
            <w:vAlign w:val="center"/>
          </w:tcPr>
          <w:p>
            <w:r>
              <w:rPr>
                <w:b w:val="false"/>
                <w:bCs w:val="false"/>
                <w:sz w:val="18"/>
                <w:szCs w:val="18"/>
              </w:rPr>
              <w:t xml:space="preserve">—</w:t>
            </w:r>
          </w:p>
        </w:tc>
        <w:tc>
          <w:tcPr>
            <w:tcW w:type="dxa" w:w="700"/>
            <w:vAlign w:val="center"/>
          </w:tcPr>
          <w:p>
            <w:r>
              <w:rPr>
                <w:b w:val="false"/>
                <w:bCs w:val="false"/>
                <w:sz w:val="18"/>
                <w:szCs w:val="18"/>
              </w:rPr>
              <w:t xml:space="preserve">1</w:t>
            </w:r>
          </w:p>
        </w:tc>
        <w:tc>
          <w:tcPr>
            <w:tcW w:type="dxa" w:w="900"/>
            <w:vAlign w:val="center"/>
          </w:tcPr>
          <w:p>
            <w:r>
              <w:rPr>
                <w:b w:val="false"/>
                <w:bCs w:val="false"/>
                <w:sz w:val="18"/>
                <w:szCs w:val="18"/>
              </w:rPr>
              <w:t xml:space="preserve">— (standing)</w:t>
            </w:r>
          </w:p>
        </w:tc>
        <w:tc>
          <w:tcPr>
            <w:tcW w:type="dxa" w:w="1100"/>
            <w:vAlign w:val="center"/>
          </w:tcPr>
          <w:p>
            <w:r>
              <w:rPr>
                <w:b w:val="false"/>
                <w:bCs w:val="false"/>
                <w:sz w:val="18"/>
                <w:szCs w:val="18"/>
              </w:rPr>
              <w:t xml:space="preserve">Database</w:t>
            </w:r>
          </w:p>
        </w:tc>
        <w:tc>
          <w:tcPr>
            <w:tcW w:type="dxa" w:w="1560"/>
            <w:vAlign w:val="center"/>
          </w:tcPr>
          <w:p>
            <w:r>
              <w:rPr>
                <w:b w:val="false"/>
                <w:bCs w:val="false"/>
                <w:sz w:val="18"/>
                <w:szCs w:val="18"/>
              </w:rPr>
              <w:t xml:space="preserve">Schema audit (standing)</w:t>
            </w:r>
          </w:p>
        </w:tc>
        <w:tc>
          <w:tcPr>
            <w:tcW w:type="dxa" w:w="1300"/>
            <w:vAlign w:val="center"/>
          </w:tcPr>
          <w:p>
            <w:r>
              <w:rPr>
                <w:b w:val="false"/>
                <w:bCs w:val="false"/>
                <w:sz w:val="18"/>
                <w:szCs w:val="18"/>
              </w:rPr>
              <w:t xml:space="preserve">Not Applicable</w:t>
            </w:r>
          </w:p>
        </w:tc>
        <w:tc>
          <w:tcPr>
            <w:tcW w:type="dxa" w:w="1200"/>
            <w:vAlign w:val="center"/>
          </w:tcPr>
          <w:p>
            <w:r>
              <w:rPr>
                <w:b w:val="false"/>
                <w:bCs w:val="false"/>
                <w:sz w:val="18"/>
                <w:szCs w:val="18"/>
              </w:rPr>
              <w:t xml:space="preserve">Complete, standing</w:t>
            </w:r>
          </w:p>
        </w:tc>
      </w:tr>
      <w:tr>
        <w:tc>
          <w:tcPr>
            <w:tcW w:type="dxa" w:w="700"/>
            <w:shd w:fill="F2F2F2" w:val="clear"/>
            <w:vAlign w:val="center"/>
          </w:tcPr>
          <w:p>
            <w:r>
              <w:rPr>
                <w:b w:val="false"/>
                <w:bCs w:val="false"/>
                <w:sz w:val="18"/>
                <w:szCs w:val="18"/>
              </w:rPr>
              <w:t xml:space="preserve">AR-0010</w:t>
            </w:r>
          </w:p>
        </w:tc>
        <w:tc>
          <w:tcPr>
            <w:tcW w:type="dxa" w:w="800"/>
            <w:shd w:fill="F2F2F2" w:val="clear"/>
            <w:vAlign w:val="center"/>
          </w:tcPr>
          <w:p>
            <w:r>
              <w:rPr>
                <w:b w:val="false"/>
                <w:bCs w:val="false"/>
                <w:sz w:val="18"/>
                <w:szCs w:val="18"/>
              </w:rPr>
              <w:t xml:space="preserve">EGD-0009</w:t>
            </w:r>
          </w:p>
        </w:tc>
        <w:tc>
          <w:tcPr>
            <w:tcW w:type="dxa" w:w="1100"/>
            <w:shd w:fill="F2F2F2" w:val="clear"/>
            <w:vAlign w:val="center"/>
          </w:tcPr>
          <w:p>
            <w:r>
              <w:rPr>
                <w:b w:val="false"/>
                <w:bCs w:val="false"/>
                <w:sz w:val="18"/>
                <w:szCs w:val="18"/>
              </w:rPr>
              <w:t xml:space="preserve">—</w:t>
            </w:r>
          </w:p>
        </w:tc>
        <w:tc>
          <w:tcPr>
            <w:tcW w:type="dxa" w:w="700"/>
            <w:shd w:fill="F2F2F2" w:val="clear"/>
            <w:vAlign w:val="center"/>
          </w:tcPr>
          <w:p>
            <w:r>
              <w:rPr>
                <w:b w:val="false"/>
                <w:bCs w:val="false"/>
                <w:sz w:val="18"/>
                <w:szCs w:val="18"/>
              </w:rPr>
              <w:t xml:space="preserve">1</w:t>
            </w:r>
          </w:p>
        </w:tc>
        <w:tc>
          <w:tcPr>
            <w:tcW w:type="dxa" w:w="900"/>
            <w:shd w:fill="F2F2F2" w:val="clear"/>
            <w:vAlign w:val="center"/>
          </w:tcPr>
          <w:p>
            <w:r>
              <w:rPr>
                <w:b w:val="false"/>
                <w:bCs w:val="false"/>
                <w:sz w:val="18"/>
                <w:szCs w:val="18"/>
              </w:rPr>
              <w:t xml:space="preserve">— (standing)</w:t>
            </w:r>
          </w:p>
        </w:tc>
        <w:tc>
          <w:tcPr>
            <w:tcW w:type="dxa" w:w="1100"/>
            <w:shd w:fill="F2F2F2" w:val="clear"/>
            <w:vAlign w:val="center"/>
          </w:tcPr>
          <w:p>
            <w:r>
              <w:rPr>
                <w:b w:val="false"/>
                <w:bCs w:val="false"/>
                <w:sz w:val="18"/>
                <w:szCs w:val="18"/>
              </w:rPr>
              <w:t xml:space="preserve">Database</w:t>
            </w:r>
          </w:p>
        </w:tc>
        <w:tc>
          <w:tcPr>
            <w:tcW w:type="dxa" w:w="1560"/>
            <w:shd w:fill="F2F2F2" w:val="clear"/>
            <w:vAlign w:val="center"/>
          </w:tcPr>
          <w:p>
            <w:r>
              <w:rPr>
                <w:b w:val="false"/>
                <w:bCs w:val="false"/>
                <w:sz w:val="18"/>
                <w:szCs w:val="18"/>
              </w:rPr>
              <w:t xml:space="preserve">Migration review (standing)</w:t>
            </w:r>
          </w:p>
        </w:tc>
        <w:tc>
          <w:tcPr>
            <w:tcW w:type="dxa" w:w="1300"/>
            <w:shd w:fill="F2F2F2" w:val="clear"/>
            <w:vAlign w:val="center"/>
          </w:tcPr>
          <w:p>
            <w:r>
              <w:rPr>
                <w:b w:val="false"/>
                <w:bCs w:val="false"/>
                <w:sz w:val="18"/>
                <w:szCs w:val="18"/>
              </w:rPr>
              <w:t xml:space="preserve">Not Applicable</w:t>
            </w:r>
          </w:p>
        </w:tc>
        <w:tc>
          <w:tcPr>
            <w:tcW w:type="dxa" w:w="1200"/>
            <w:shd w:fill="F2F2F2" w:val="clear"/>
            <w:vAlign w:val="center"/>
          </w:tcPr>
          <w:p>
            <w:r>
              <w:rPr>
                <w:b w:val="false"/>
                <w:bCs w:val="false"/>
                <w:sz w:val="18"/>
                <w:szCs w:val="18"/>
              </w:rPr>
              <w:t xml:space="preserve">Complete, standing</w:t>
            </w:r>
          </w:p>
        </w:tc>
      </w:tr>
    </w:tbl>
    <w:p>
      <w:pPr>
        <w:spacing w:after="160"/>
      </w:pPr>
      <w:r>
        <w:rPr>
          <w:b w:val="false"/>
          <w:bCs w:val="false"/>
          <w:i/>
          <w:iCs/>
        </w:rPr>
        <w:t xml:space="preserve">Completeness: 10 of 10 ARs carry an unbroken chain to at least a governance disposition; 5 of 10 additionally carry a Work Package and verification method. Outstanding Conditions: WP-0001 and WP-0002 remain the two open links pending written completion; all other links in the chain are closed or standing.</w:t>
      </w:r>
    </w:p>
    <w:p>
      <w:pPr>
        <w:pStyle w:val="Heading2"/>
        <w:spacing w:after="120" w:before="240"/>
      </w:pPr>
      <w:r>
        <w:t xml:space="preserve">10.7.7 — Executive Conformance Risk Dashboard</w:t>
      </w:r>
    </w:p>
    <w:p>
      <w:pPr>
        <w:spacing w:after="160"/>
      </w:pPr>
      <w:r>
        <w:rPr>
          <w:b w:val="false"/>
          <w:bCs w:val="false"/>
          <w:i/>
          <w:iCs/>
        </w:rPr>
        <w:t xml:space="preserve">Source: Section 8 (Enterprise Risk-Control Matrix), scope-limited to Portfolios 1, 2, and 8 (Enterprise Data Platform, Enterprise Security, Governance &amp; Quality) and Waves 1–3, per Section 8's normative scope.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800"/>
        <w:gridCol w:w="1560"/>
      </w:tblGrid>
      <w:tr>
        <w:trPr>
          <w:tblHeader/>
        </w:trPr>
        <w:tc>
          <w:tcPr>
            <w:tcW w:type="dxa" w:w="2600"/>
            <w:shd w:fill="1F3864" w:val="clear"/>
            <w:vAlign w:val="center"/>
          </w:tcPr>
          <w:p>
            <w:r>
              <w:rPr>
                <w:b/>
                <w:bCs/>
                <w:color w:val="FFFFFF"/>
                <w:sz w:val="18"/>
                <w:szCs w:val="18"/>
              </w:rPr>
              <w:t xml:space="preserve">Conformance Risk</w:t>
            </w:r>
          </w:p>
        </w:tc>
        <w:tc>
          <w:tcPr>
            <w:tcW w:type="dxa" w:w="1500"/>
            <w:shd w:fill="1F3864" w:val="clear"/>
            <w:vAlign w:val="center"/>
          </w:tcPr>
          <w:p>
            <w:r>
              <w:rPr>
                <w:b/>
                <w:bCs/>
                <w:color w:val="FFFFFF"/>
                <w:sz w:val="18"/>
                <w:szCs w:val="18"/>
              </w:rPr>
              <w:t xml:space="preserve">Affected Domain</w:t>
            </w:r>
          </w:p>
        </w:tc>
        <w:tc>
          <w:tcPr>
            <w:tcW w:type="dxa" w:w="1900"/>
            <w:shd w:fill="1F3864" w:val="clear"/>
            <w:vAlign w:val="center"/>
          </w:tcPr>
          <w:p>
            <w:r>
              <w:rPr>
                <w:b/>
                <w:bCs/>
                <w:color w:val="FFFFFF"/>
                <w:sz w:val="18"/>
                <w:szCs w:val="18"/>
              </w:rPr>
              <w:t xml:space="preserve">Existing Mitigation</w:t>
            </w:r>
          </w:p>
        </w:tc>
        <w:tc>
          <w:tcPr>
            <w:tcW w:type="dxa" w:w="1800"/>
            <w:shd w:fill="1F3864" w:val="clear"/>
            <w:vAlign w:val="center"/>
          </w:tcPr>
          <w:p>
            <w:r>
              <w:rPr>
                <w:b/>
                <w:bCs/>
                <w:color w:val="FFFFFF"/>
                <w:sz w:val="18"/>
                <w:szCs w:val="18"/>
              </w:rPr>
              <w:t xml:space="preserve">Remaining Condition</w:t>
            </w:r>
          </w:p>
        </w:tc>
        <w:tc>
          <w:tcPr>
            <w:tcW w:type="dxa" w:w="1560"/>
            <w:shd w:fill="1F3864" w:val="clear"/>
            <w:vAlign w:val="center"/>
          </w:tcPr>
          <w:p>
            <w:r>
              <w:rPr>
                <w:b/>
                <w:bCs/>
                <w:color w:val="FFFFFF"/>
                <w:sz w:val="18"/>
                <w:szCs w:val="18"/>
              </w:rPr>
              <w:t xml:space="preserve">Executive Assessment</w:t>
            </w:r>
          </w:p>
        </w:tc>
      </w:tr>
      <w:tr>
        <w:tc>
          <w:tcPr>
            <w:tcW w:type="dxa" w:w="2600"/>
            <w:vAlign w:val="center"/>
          </w:tcPr>
          <w:p>
            <w:r>
              <w:rPr>
                <w:b w:val="false"/>
                <w:bCs w:val="false"/>
                <w:sz w:val="18"/>
                <w:szCs w:val="18"/>
              </w:rPr>
              <w:t xml:space="preserve">Documentation-to-implementation drift (AR-0002 / EGD-0002 / VAR-02)</w:t>
            </w:r>
          </w:p>
        </w:tc>
        <w:tc>
          <w:tcPr>
            <w:tcW w:type="dxa" w:w="1500"/>
            <w:vAlign w:val="center"/>
          </w:tcPr>
          <w:p>
            <w:r>
              <w:rPr>
                <w:b w:val="false"/>
                <w:bCs w:val="false"/>
                <w:sz w:val="18"/>
                <w:szCs w:val="18"/>
              </w:rPr>
              <w:t xml:space="preserve">Physical Data Architecture; Documentation Repository</w:t>
            </w:r>
          </w:p>
        </w:tc>
        <w:tc>
          <w:tcPr>
            <w:tcW w:type="dxa" w:w="1900"/>
            <w:vAlign w:val="center"/>
          </w:tcPr>
          <w:p>
            <w:r>
              <w:rPr>
                <w:b w:val="false"/>
                <w:bCs w:val="false"/>
                <w:sz w:val="18"/>
                <w:szCs w:val="18"/>
              </w:rPr>
              <w:t xml:space="preserve">WP-0001 scoped, sequenced Wave 2</w:t>
            </w:r>
          </w:p>
        </w:tc>
        <w:tc>
          <w:tcPr>
            <w:tcW w:type="dxa" w:w="1800"/>
            <w:vAlign w:val="center"/>
          </w:tcPr>
          <w:p>
            <w:r>
              <w:rPr>
                <w:b w:val="false"/>
                <w:bCs w:val="false"/>
                <w:sz w:val="18"/>
                <w:szCs w:val="18"/>
              </w:rPr>
              <w:t xml:space="preserve">Publish revised architecture document describing live schema</w:t>
            </w:r>
          </w:p>
        </w:tc>
        <w:tc>
          <w:tcPr>
            <w:tcW w:type="dxa" w:w="1560"/>
            <w:vAlign w:val="center"/>
          </w:tcPr>
          <w:p>
            <w:r>
              <w:rPr>
                <w:b w:val="false"/>
                <w:bCs w:val="false"/>
                <w:sz w:val="18"/>
                <w:szCs w:val="18"/>
              </w:rPr>
              <w:t xml:space="preserve">Confirmed, high; top-rated risk in the baseline</w:t>
            </w:r>
          </w:p>
        </w:tc>
      </w:tr>
      <w:tr>
        <w:tc>
          <w:tcPr>
            <w:tcW w:type="dxa" w:w="2600"/>
            <w:shd w:fill="F2F2F2" w:val="clear"/>
            <w:vAlign w:val="center"/>
          </w:tcPr>
          <w:p>
            <w:r>
              <w:rPr>
                <w:b w:val="false"/>
                <w:bCs w:val="false"/>
                <w:sz w:val="18"/>
                <w:szCs w:val="18"/>
              </w:rPr>
              <w:t xml:space="preserve">RLS coverage unverified beyond 2 tables (AR-0007 / EGD-0007)</w:t>
            </w:r>
          </w:p>
        </w:tc>
        <w:tc>
          <w:tcPr>
            <w:tcW w:type="dxa" w:w="1500"/>
            <w:shd w:fill="F2F2F2" w:val="clear"/>
            <w:vAlign w:val="center"/>
          </w:tcPr>
          <w:p>
            <w:r>
              <w:rPr>
                <w:b w:val="false"/>
                <w:bCs w:val="false"/>
                <w:sz w:val="18"/>
                <w:szCs w:val="18"/>
              </w:rPr>
              <w:t xml:space="preserve">Governance &amp; Security Architecture; Database + Test Repository</w:t>
            </w:r>
          </w:p>
        </w:tc>
        <w:tc>
          <w:tcPr>
            <w:tcW w:type="dxa" w:w="1900"/>
            <w:shd w:fill="F2F2F2" w:val="clear"/>
            <w:vAlign w:val="center"/>
          </w:tcPr>
          <w:p>
            <w:r>
              <w:rPr>
                <w:b w:val="false"/>
                <w:bCs w:val="false"/>
                <w:sz w:val="18"/>
                <w:szCs w:val="18"/>
              </w:rPr>
              <w:t xml:space="preserve">WP-0002 scoped, sequenced Wave 1, method fully defined</w:t>
            </w:r>
          </w:p>
        </w:tc>
        <w:tc>
          <w:tcPr>
            <w:tcW w:type="dxa" w:w="1800"/>
            <w:shd w:fill="F2F2F2" w:val="clear"/>
            <w:vAlign w:val="center"/>
          </w:tcPr>
          <w:p>
            <w:r>
              <w:rPr>
                <w:b w:val="false"/>
                <w:bCs w:val="false"/>
                <w:sz w:val="18"/>
                <w:szCs w:val="18"/>
              </w:rPr>
              <w:t xml:space="preserve">Written confirmation across all student-owned tables</w:t>
            </w:r>
          </w:p>
        </w:tc>
        <w:tc>
          <w:tcPr>
            <w:tcW w:type="dxa" w:w="1560"/>
            <w:shd w:fill="F2F2F2" w:val="clear"/>
            <w:vAlign w:val="center"/>
          </w:tcPr>
          <w:p>
            <w:r>
              <w:rPr>
                <w:b w:val="false"/>
                <w:bCs w:val="false"/>
                <w:sz w:val="18"/>
                <w:szCs w:val="18"/>
              </w:rPr>
              <w:t xml:space="preserve">Unknown until verified; critical-until-verified</w:t>
            </w:r>
          </w:p>
        </w:tc>
      </w:tr>
      <w:tr>
        <w:tc>
          <w:tcPr>
            <w:tcW w:type="dxa" w:w="2600"/>
            <w:vAlign w:val="center"/>
          </w:tcPr>
          <w:p>
            <w:r>
              <w:rPr>
                <w:b w:val="false"/>
                <w:bCs w:val="false"/>
                <w:sz w:val="18"/>
                <w:szCs w:val="18"/>
              </w:rPr>
              <w:t xml:space="preserve">No partitioning on 4 high-growth tables (AR-0004 / EGD-0004 / VAR-04)</w:t>
            </w:r>
          </w:p>
        </w:tc>
        <w:tc>
          <w:tcPr>
            <w:tcW w:type="dxa" w:w="1500"/>
            <w:vAlign w:val="center"/>
          </w:tcPr>
          <w:p>
            <w:r>
              <w:rPr>
                <w:b w:val="false"/>
                <w:bCs w:val="false"/>
                <w:sz w:val="18"/>
                <w:szCs w:val="18"/>
              </w:rPr>
              <w:t xml:space="preserve">Physical Data Architecture</w:t>
            </w:r>
          </w:p>
        </w:tc>
        <w:tc>
          <w:tcPr>
            <w:tcW w:type="dxa" w:w="1900"/>
            <w:vAlign w:val="center"/>
          </w:tcPr>
          <w:p>
            <w:r>
              <w:rPr>
                <w:b w:val="false"/>
                <w:bCs w:val="false"/>
                <w:sz w:val="18"/>
                <w:szCs w:val="18"/>
              </w:rPr>
              <w:t xml:space="preserve">WP-0003 trigger-gated assessment scoped</w:t>
            </w:r>
          </w:p>
        </w:tc>
        <w:tc>
          <w:tcPr>
            <w:tcW w:type="dxa" w:w="1800"/>
            <w:vAlign w:val="center"/>
          </w:tcPr>
          <w:p>
            <w:r>
              <w:rPr>
                <w:b w:val="false"/>
                <w:bCs w:val="false"/>
                <w:sz w:val="18"/>
                <w:szCs w:val="18"/>
              </w:rPr>
              <w:t xml:space="preserve">Growth/volume data not yet gathered</w:t>
            </w:r>
          </w:p>
        </w:tc>
        <w:tc>
          <w:tcPr>
            <w:tcW w:type="dxa" w:w="1560"/>
            <w:vAlign w:val="center"/>
          </w:tcPr>
          <w:p>
            <w:r>
              <w:rPr>
                <w:b w:val="false"/>
                <w:bCs w:val="false"/>
                <w:sz w:val="18"/>
                <w:szCs w:val="18"/>
              </w:rPr>
              <w:t xml:space="preserve">Medium, growing; trigger-based review, not immediate</w:t>
            </w:r>
          </w:p>
        </w:tc>
      </w:tr>
      <w:tr>
        <w:tc>
          <w:tcPr>
            <w:tcW w:type="dxa" w:w="2600"/>
            <w:shd w:fill="F2F2F2" w:val="clear"/>
            <w:vAlign w:val="center"/>
          </w:tcPr>
          <w:p>
            <w:r>
              <w:rPr>
                <w:b w:val="false"/>
                <w:bCs w:val="false"/>
                <w:sz w:val="18"/>
                <w:szCs w:val="18"/>
              </w:rPr>
              <w:t xml:space="preserve">Direct-FK taxonomy denormalization risk (AR-0003 / EGD-0003 / VAR-03)</w:t>
            </w:r>
          </w:p>
        </w:tc>
        <w:tc>
          <w:tcPr>
            <w:tcW w:type="dxa" w:w="1500"/>
            <w:shd w:fill="F2F2F2" w:val="clear"/>
            <w:vAlign w:val="center"/>
          </w:tcPr>
          <w:p>
            <w:r>
              <w:rPr>
                <w:b w:val="false"/>
                <w:bCs w:val="false"/>
                <w:sz w:val="18"/>
                <w:szCs w:val="18"/>
              </w:rPr>
              <w:t xml:space="preserve">Physical Data Architecture</w:t>
            </w:r>
          </w:p>
        </w:tc>
        <w:tc>
          <w:tcPr>
            <w:tcW w:type="dxa" w:w="1900"/>
            <w:shd w:fill="F2F2F2" w:val="clear"/>
            <w:vAlign w:val="center"/>
          </w:tcPr>
          <w:p>
            <w:r>
              <w:rPr>
                <w:b w:val="false"/>
                <w:bCs w:val="false"/>
                <w:sz w:val="18"/>
                <w:szCs w:val="18"/>
              </w:rPr>
              <w:t xml:space="preserve">WP-0004 scoped, per-release check defined</w:t>
            </w:r>
          </w:p>
        </w:tc>
        <w:tc>
          <w:tcPr>
            <w:tcW w:type="dxa" w:w="1800"/>
            <w:shd w:fill="F2F2F2" w:val="clear"/>
            <w:vAlign w:val="center"/>
          </w:tcPr>
          <w:p>
            <w:r>
              <w:rPr>
                <w:b w:val="false"/>
                <w:bCs w:val="false"/>
                <w:sz w:val="18"/>
                <w:szCs w:val="18"/>
              </w:rPr>
              <w:t xml:space="preserve">Documentation and automated check not yet published</w:t>
            </w:r>
          </w:p>
        </w:tc>
        <w:tc>
          <w:tcPr>
            <w:tcW w:type="dxa" w:w="1560"/>
            <w:shd w:fill="F2F2F2" w:val="clear"/>
            <w:vAlign w:val="center"/>
          </w:tcPr>
          <w:p>
            <w:r>
              <w:rPr>
                <w:b w:val="false"/>
                <w:bCs w:val="false"/>
                <w:sz w:val="18"/>
                <w:szCs w:val="18"/>
              </w:rPr>
              <w:t xml:space="preserve">Low currently, medium if unmonitored</w:t>
            </w:r>
          </w:p>
        </w:tc>
      </w:tr>
      <w:tr>
        <w:tc>
          <w:tcPr>
            <w:tcW w:type="dxa" w:w="2600"/>
            <w:vAlign w:val="center"/>
          </w:tcPr>
          <w:p>
            <w:r>
              <w:rPr>
                <w:b w:val="false"/>
                <w:bCs w:val="false"/>
                <w:sz w:val="18"/>
                <w:szCs w:val="18"/>
              </w:rPr>
              <w:t xml:space="preserve">Column-level access on free-text/JSON payload columns (AR-0007 extension)</w:t>
            </w:r>
          </w:p>
        </w:tc>
        <w:tc>
          <w:tcPr>
            <w:tcW w:type="dxa" w:w="1500"/>
            <w:vAlign w:val="center"/>
          </w:tcPr>
          <w:p>
            <w:r>
              <w:rPr>
                <w:b w:val="false"/>
                <w:bCs w:val="false"/>
                <w:sz w:val="18"/>
                <w:szCs w:val="18"/>
              </w:rPr>
              <w:t xml:space="preserve">Governance &amp; Security Architecture</w:t>
            </w:r>
          </w:p>
        </w:tc>
        <w:tc>
          <w:tcPr>
            <w:tcW w:type="dxa" w:w="1900"/>
            <w:vAlign w:val="center"/>
          </w:tcPr>
          <w:p>
            <w:r>
              <w:rPr>
                <w:b w:val="false"/>
                <w:bCs w:val="false"/>
                <w:sz w:val="18"/>
                <w:szCs w:val="18"/>
              </w:rPr>
              <w:t xml:space="preserve">WP-0005 scoped, sequenced after WP-0002</w:t>
            </w:r>
          </w:p>
        </w:tc>
        <w:tc>
          <w:tcPr>
            <w:tcW w:type="dxa" w:w="1800"/>
            <w:vAlign w:val="center"/>
          </w:tcPr>
          <w:p>
            <w:r>
              <w:rPr>
                <w:b w:val="false"/>
                <w:bCs w:val="false"/>
                <w:sz w:val="18"/>
                <w:szCs w:val="18"/>
              </w:rPr>
              <w:t xml:space="preserve">Column-level review not yet started</w:t>
            </w:r>
          </w:p>
        </w:tc>
        <w:tc>
          <w:tcPr>
            <w:tcW w:type="dxa" w:w="1560"/>
            <w:vAlign w:val="center"/>
          </w:tcPr>
          <w:p>
            <w:r>
              <w:rPr>
                <w:b w:val="false"/>
                <w:bCs w:val="false"/>
                <w:sz w:val="18"/>
                <w:szCs w:val="18"/>
              </w:rPr>
              <w:t xml:space="preserve">Low–medium, latent</w:t>
            </w:r>
          </w:p>
        </w:tc>
      </w:tr>
      <w:tr>
        <w:tc>
          <w:tcPr>
            <w:tcW w:type="dxa" w:w="2600"/>
            <w:shd w:fill="F2F2F2" w:val="clear"/>
            <w:vAlign w:val="center"/>
          </w:tcPr>
          <w:p>
            <w:r>
              <w:rPr>
                <w:b w:val="false"/>
                <w:bCs w:val="false"/>
                <w:sz w:val="18"/>
                <w:szCs w:val="18"/>
              </w:rPr>
              <w:t xml:space="preserve">Zero named, accountable owners across all EGDs (AP-009 cross-cutting finding)</w:t>
            </w:r>
          </w:p>
        </w:tc>
        <w:tc>
          <w:tcPr>
            <w:tcW w:type="dxa" w:w="1500"/>
            <w:shd w:fill="F2F2F2" w:val="clear"/>
            <w:vAlign w:val="center"/>
          </w:tcPr>
          <w:p>
            <w:r>
              <w:rPr>
                <w:b w:val="false"/>
                <w:bCs w:val="false"/>
                <w:sz w:val="18"/>
                <w:szCs w:val="18"/>
              </w:rPr>
              <w:t xml:space="preserve">Governance Architecture (all domains)</w:t>
            </w:r>
          </w:p>
        </w:tc>
        <w:tc>
          <w:tcPr>
            <w:tcW w:type="dxa" w:w="1900"/>
            <w:shd w:fill="F2F2F2" w:val="clear"/>
            <w:vAlign w:val="center"/>
          </w:tcPr>
          <w:p>
            <w:r>
              <w:rPr>
                <w:b w:val="false"/>
                <w:bCs w:val="false"/>
                <w:sz w:val="18"/>
                <w:szCs w:val="18"/>
              </w:rPr>
              <w:t xml:space="preserve">WP-0006 scoped, sequenced Wave 1, critical priority</w:t>
            </w:r>
          </w:p>
        </w:tc>
        <w:tc>
          <w:tcPr>
            <w:tcW w:type="dxa" w:w="1800"/>
            <w:shd w:fill="F2F2F2" w:val="clear"/>
            <w:vAlign w:val="center"/>
          </w:tcPr>
          <w:p>
            <w:r>
              <w:rPr>
                <w:b w:val="false"/>
                <w:bCs w:val="false"/>
                <w:sz w:val="18"/>
                <w:szCs w:val="18"/>
              </w:rPr>
              <w:t xml:space="preserve">No owner yet assigned (KPI-08 = 0%)</w:t>
            </w:r>
          </w:p>
        </w:tc>
        <w:tc>
          <w:tcPr>
            <w:tcW w:type="dxa" w:w="1560"/>
            <w:shd w:fill="F2F2F2" w:val="clear"/>
            <w:vAlign w:val="center"/>
          </w:tcPr>
          <w:p>
            <w:r>
              <w:rPr>
                <w:b w:val="false"/>
                <w:bCs w:val="false"/>
                <w:sz w:val="18"/>
                <w:szCs w:val="18"/>
              </w:rPr>
              <w:t xml:space="preserve">Blocks execution accountability for every other Work Package; the baseline's structural precondition risk</w:t>
            </w:r>
          </w:p>
        </w:tc>
      </w:tr>
    </w:tbl>
    <w:p>
      <w:pPr>
        <w:spacing w:after="160"/>
      </w:pPr>
      <w:r>
        <w:rPr>
          <w:b w:val="false"/>
          <w:bCs w:val="false"/>
          <w:i/>
          <w:iCs/>
        </w:rPr>
        <w:t xml:space="preserve">Consistent with Section 8's scope, conformance risk authority over Portfolios 3–7 (Enterprise AI, Business Capabilities, Knowledge Platform, Integration Platform, Operations &amp; Observability) and Waves 4–5 is Reserved for Future Realization Phases; no AR/EGD evidence exists there.</w:t>
      </w:r>
    </w:p>
    <w:p>
      <w:pPr>
        <w:pStyle w:val="Heading2"/>
        <w:spacing w:after="120" w:before="240"/>
      </w:pPr>
      <w:r>
        <w:t xml:space="preserve">10.7.8 — Executive Conformance Decision Matrix</w:t>
      </w:r>
    </w:p>
    <w:p>
      <w:pPr>
        <w:spacing w:after="160"/>
      </w:pPr>
      <w:r>
        <w:rPr>
          <w:b w:val="false"/>
          <w:bCs w:val="false"/>
          <w:i/>
          <w:iCs/>
        </w:rPr>
        <w:t xml:space="preserve">Source: Sections 1–9 and 10.1–10.6, consolidated. Reused verbatim; no new governance outcome is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1560"/>
        <w:gridCol w:w="1500"/>
        <w:gridCol w:w="1500"/>
      </w:tblGrid>
      <w:tr>
        <w:trPr>
          <w:tblHeader/>
        </w:trPr>
        <w:tc>
          <w:tcPr>
            <w:tcW w:type="dxa" w:w="1500"/>
            <w:shd w:fill="1F3864" w:val="clear"/>
            <w:vAlign w:val="center"/>
          </w:tcPr>
          <w:p>
            <w:r>
              <w:rPr>
                <w:b/>
                <w:bCs/>
                <w:color w:val="FFFFFF"/>
                <w:sz w:val="18"/>
                <w:szCs w:val="18"/>
              </w:rPr>
              <w:t xml:space="preserve">Architecture Domain</w:t>
            </w:r>
          </w:p>
        </w:tc>
        <w:tc>
          <w:tcPr>
            <w:tcW w:type="dxa" w:w="2000"/>
            <w:shd w:fill="1F3864" w:val="clear"/>
            <w:vAlign w:val="center"/>
          </w:tcPr>
          <w:p>
            <w:r>
              <w:rPr>
                <w:b/>
                <w:bCs/>
                <w:color w:val="FFFFFF"/>
                <w:sz w:val="18"/>
                <w:szCs w:val="18"/>
              </w:rPr>
              <w:t xml:space="preserve">Executive Decision</w:t>
            </w:r>
          </w:p>
        </w:tc>
        <w:tc>
          <w:tcPr>
            <w:tcW w:type="dxa" w:w="1300"/>
            <w:shd w:fill="1F3864" w:val="clear"/>
            <w:vAlign w:val="center"/>
          </w:tcPr>
          <w:p>
            <w:r>
              <w:rPr>
                <w:b/>
                <w:bCs/>
                <w:color w:val="FFFFFF"/>
                <w:sz w:val="18"/>
                <w:szCs w:val="18"/>
              </w:rPr>
              <w:t xml:space="preserve">Supporting Evidence</w:t>
            </w:r>
          </w:p>
        </w:tc>
        <w:tc>
          <w:tcPr>
            <w:tcW w:type="dxa" w:w="1560"/>
            <w:shd w:fill="1F3864" w:val="clear"/>
            <w:vAlign w:val="center"/>
          </w:tcPr>
          <w:p>
            <w:r>
              <w:rPr>
                <w:b/>
                <w:bCs/>
                <w:color w:val="FFFFFF"/>
                <w:sz w:val="18"/>
                <w:szCs w:val="18"/>
              </w:rPr>
              <w:t xml:space="preserve">Blocking Conditions</w:t>
            </w:r>
          </w:p>
        </w:tc>
        <w:tc>
          <w:tcPr>
            <w:tcW w:type="dxa" w:w="1500"/>
            <w:shd w:fill="1F3864" w:val="clear"/>
            <w:vAlign w:val="center"/>
          </w:tcPr>
          <w:p>
            <w:r>
              <w:rPr>
                <w:b/>
                <w:bCs/>
                <w:color w:val="FFFFFF"/>
                <w:sz w:val="18"/>
                <w:szCs w:val="18"/>
              </w:rPr>
              <w:t xml:space="preserve">Immediate Next Approved Action</w:t>
            </w:r>
          </w:p>
        </w:tc>
        <w:tc>
          <w:tcPr>
            <w:tcW w:type="dxa" w:w="1500"/>
            <w:shd w:fill="1F3864" w:val="clear"/>
            <w:vAlign w:val="center"/>
          </w:tcPr>
          <w:p>
            <w:r>
              <w:rPr>
                <w:b/>
                <w:bCs/>
                <w:color w:val="FFFFFF"/>
                <w:sz w:val="18"/>
                <w:szCs w:val="18"/>
              </w:rPr>
              <w:t xml:space="preserve">Executive Recommendation</w:t>
            </w:r>
          </w:p>
        </w:tc>
      </w:tr>
      <w:tr>
        <w:tc>
          <w:tcPr>
            <w:tcW w:type="dxa" w:w="1500"/>
            <w:vAlign w:val="center"/>
          </w:tcPr>
          <w:p>
            <w:r>
              <w:rPr>
                <w:b w:val="false"/>
                <w:bCs w:val="false"/>
                <w:sz w:val="18"/>
                <w:szCs w:val="18"/>
              </w:rPr>
              <w:t xml:space="preserve">Physical Data Architecture</w:t>
            </w:r>
          </w:p>
        </w:tc>
        <w:tc>
          <w:tcPr>
            <w:tcW w:type="dxa" w:w="2000"/>
            <w:vAlign w:val="center"/>
          </w:tcPr>
          <w:p>
            <w:r>
              <w:rPr>
                <w:b w:val="false"/>
                <w:bCs w:val="false"/>
                <w:sz w:val="18"/>
                <w:szCs w:val="18"/>
              </w:rPr>
              <w:t xml:space="preserve">Proceed with WP-0001 (naming/documentation) and WP-0004 (taxonomy) as scoped</w:t>
            </w:r>
          </w:p>
        </w:tc>
        <w:tc>
          <w:tcPr>
            <w:tcW w:type="dxa" w:w="1300"/>
            <w:vAlign w:val="center"/>
          </w:tcPr>
          <w:p>
            <w:r>
              <w:rPr>
                <w:b w:val="false"/>
                <w:bCs w:val="false"/>
                <w:sz w:val="18"/>
                <w:szCs w:val="18"/>
              </w:rPr>
              <w:t xml:space="preserve">Phase A.3 §§3–4, 7</w:t>
            </w:r>
          </w:p>
        </w:tc>
        <w:tc>
          <w:tcPr>
            <w:tcW w:type="dxa" w:w="1560"/>
            <w:vAlign w:val="center"/>
          </w:tcPr>
          <w:p>
            <w:r>
              <w:rPr>
                <w:b w:val="false"/>
                <w:bCs w:val="false"/>
                <w:sz w:val="18"/>
                <w:szCs w:val="18"/>
              </w:rPr>
              <w:t xml:space="preserve">None — both startable now per Section 10.5</w:t>
            </w:r>
          </w:p>
        </w:tc>
        <w:tc>
          <w:tcPr>
            <w:tcW w:type="dxa" w:w="1500"/>
            <w:vAlign w:val="center"/>
          </w:tcPr>
          <w:p>
            <w:r>
              <w:rPr>
                <w:b w:val="false"/>
                <w:bCs w:val="false"/>
                <w:sz w:val="18"/>
                <w:szCs w:val="18"/>
              </w:rPr>
              <w:t xml:space="preserve">Publish revised architecture document (WP-0001)</w:t>
            </w:r>
          </w:p>
        </w:tc>
        <w:tc>
          <w:tcPr>
            <w:tcW w:type="dxa" w:w="1500"/>
            <w:vAlign w:val="center"/>
          </w:tcPr>
          <w:p>
            <w:r>
              <w:rPr>
                <w:b w:val="false"/>
                <w:bCs w:val="false"/>
                <w:sz w:val="18"/>
                <w:szCs w:val="18"/>
              </w:rPr>
              <w:t xml:space="preserve">Approve immediate execution</w:t>
            </w:r>
          </w:p>
        </w:tc>
      </w:tr>
      <w:tr>
        <w:tc>
          <w:tcPr>
            <w:tcW w:type="dxa" w:w="1500"/>
            <w:shd w:fill="F2F2F2" w:val="clear"/>
            <w:vAlign w:val="center"/>
          </w:tcPr>
          <w:p>
            <w:r>
              <w:rPr>
                <w:b w:val="false"/>
                <w:bCs w:val="false"/>
                <w:sz w:val="18"/>
                <w:szCs w:val="18"/>
              </w:rPr>
              <w:t xml:space="preserve">Governance Architecture</w:t>
            </w:r>
          </w:p>
        </w:tc>
        <w:tc>
          <w:tcPr>
            <w:tcW w:type="dxa" w:w="2000"/>
            <w:shd w:fill="F2F2F2" w:val="clear"/>
            <w:vAlign w:val="center"/>
          </w:tcPr>
          <w:p>
            <w:r>
              <w:rPr>
                <w:b w:val="false"/>
                <w:bCs w:val="false"/>
                <w:sz w:val="18"/>
                <w:szCs w:val="18"/>
              </w:rPr>
              <w:t xml:space="preserve">Accept all 9 EGDs as dispositioned; no re-litigation of deferrals</w:t>
            </w:r>
          </w:p>
        </w:tc>
        <w:tc>
          <w:tcPr>
            <w:tcW w:type="dxa" w:w="1300"/>
            <w:shd w:fill="F2F2F2" w:val="clear"/>
            <w:vAlign w:val="center"/>
          </w:tcPr>
          <w:p>
            <w:r>
              <w:rPr>
                <w:b w:val="false"/>
                <w:bCs w:val="false"/>
                <w:sz w:val="18"/>
                <w:szCs w:val="18"/>
              </w:rPr>
              <w:t xml:space="preserve">Phase A.3 §4; Certification L2 MET</w:t>
            </w:r>
          </w:p>
        </w:tc>
        <w:tc>
          <w:tcPr>
            <w:tcW w:type="dxa" w:w="1560"/>
            <w:shd w:fill="F2F2F2" w:val="clear"/>
            <w:vAlign w:val="center"/>
          </w:tcPr>
          <w:p>
            <w:r>
              <w:rPr>
                <w:b w:val="false"/>
                <w:bCs w:val="false"/>
                <w:sz w:val="18"/>
                <w:szCs w:val="18"/>
              </w:rPr>
              <w:t xml:space="preserve">None</w:t>
            </w:r>
          </w:p>
        </w:tc>
        <w:tc>
          <w:tcPr>
            <w:tcW w:type="dxa" w:w="1500"/>
            <w:shd w:fill="F2F2F2" w:val="clear"/>
            <w:vAlign w:val="center"/>
          </w:tcPr>
          <w:p>
            <w:r>
              <w:rPr>
                <w:b w:val="false"/>
                <w:bCs w:val="false"/>
                <w:sz w:val="18"/>
                <w:szCs w:val="18"/>
              </w:rPr>
              <w:t xml:space="preserve">Maintain quarterly EGD review cadence (KPI-10)</w:t>
            </w:r>
          </w:p>
        </w:tc>
        <w:tc>
          <w:tcPr>
            <w:tcW w:type="dxa" w:w="1500"/>
            <w:shd w:fill="F2F2F2" w:val="clear"/>
            <w:vAlign w:val="center"/>
          </w:tcPr>
          <w:p>
            <w:r>
              <w:rPr>
                <w:b w:val="false"/>
                <w:bCs w:val="false"/>
                <w:sz w:val="18"/>
                <w:szCs w:val="18"/>
              </w:rPr>
              <w:t xml:space="preserve">No action required beyond standing cadence</w:t>
            </w:r>
          </w:p>
        </w:tc>
      </w:tr>
      <w:tr>
        <w:tc>
          <w:tcPr>
            <w:tcW w:type="dxa" w:w="1500"/>
            <w:vAlign w:val="center"/>
          </w:tcPr>
          <w:p>
            <w:r>
              <w:rPr>
                <w:b w:val="false"/>
                <w:bCs w:val="false"/>
                <w:sz w:val="18"/>
                <w:szCs w:val="18"/>
              </w:rPr>
              <w:t xml:space="preserve">Repository Architecture</w:t>
            </w:r>
          </w:p>
        </w:tc>
        <w:tc>
          <w:tcPr>
            <w:tcW w:type="dxa" w:w="2000"/>
            <w:vAlign w:val="center"/>
          </w:tcPr>
          <w:p>
            <w:r>
              <w:rPr>
                <w:b w:val="false"/>
                <w:bCs w:val="false"/>
                <w:sz w:val="18"/>
                <w:szCs w:val="18"/>
              </w:rPr>
              <w:t xml:space="preserve">Confine engineering activity to Documentation, Database, and Test repositories until further scope is approved</w:t>
            </w:r>
          </w:p>
        </w:tc>
        <w:tc>
          <w:tcPr>
            <w:tcW w:type="dxa" w:w="1300"/>
            <w:vAlign w:val="center"/>
          </w:tcPr>
          <w:p>
            <w:r>
              <w:rPr>
                <w:b w:val="false"/>
                <w:bCs w:val="false"/>
                <w:sz w:val="18"/>
                <w:szCs w:val="18"/>
              </w:rPr>
              <w:t xml:space="preserve">Section 3; Section 10.6</w:t>
            </w:r>
          </w:p>
        </w:tc>
        <w:tc>
          <w:tcPr>
            <w:tcW w:type="dxa" w:w="1560"/>
            <w:vAlign w:val="center"/>
          </w:tcPr>
          <w:p>
            <w:r>
              <w:rPr>
                <w:b w:val="false"/>
                <w:bCs w:val="false"/>
                <w:sz w:val="18"/>
                <w:szCs w:val="18"/>
              </w:rPr>
              <w:t xml:space="preserve">Backend, Frontend, Infrastructure Not Evidenced; Integration, AI Reserved</w:t>
            </w:r>
          </w:p>
        </w:tc>
        <w:tc>
          <w:tcPr>
            <w:tcW w:type="dxa" w:w="1500"/>
            <w:vAlign w:val="center"/>
          </w:tcPr>
          <w:p>
            <w:r>
              <w:rPr>
                <w:b w:val="false"/>
                <w:bCs w:val="false"/>
                <w:sz w:val="18"/>
                <w:szCs w:val="18"/>
              </w:rPr>
              <w:t xml:space="preserve">None — maintain current boundary</w:t>
            </w:r>
          </w:p>
        </w:tc>
        <w:tc>
          <w:tcPr>
            <w:tcW w:type="dxa" w:w="1500"/>
            <w:vAlign w:val="center"/>
          </w:tcPr>
          <w:p>
            <w:r>
              <w:rPr>
                <w:b w:val="false"/>
                <w:bCs w:val="false"/>
                <w:sz w:val="18"/>
                <w:szCs w:val="18"/>
              </w:rPr>
              <w:t xml:space="preserve">Do not expand scope without a new approved Work Package</w:t>
            </w:r>
          </w:p>
        </w:tc>
      </w:tr>
      <w:tr>
        <w:tc>
          <w:tcPr>
            <w:tcW w:type="dxa" w:w="1500"/>
            <w:shd w:fill="F2F2F2" w:val="clear"/>
            <w:vAlign w:val="center"/>
          </w:tcPr>
          <w:p>
            <w:r>
              <w:rPr>
                <w:b w:val="false"/>
                <w:bCs w:val="false"/>
                <w:sz w:val="18"/>
                <w:szCs w:val="18"/>
              </w:rPr>
              <w:t xml:space="preserve">Engineering / Verification Architecture</w:t>
            </w:r>
          </w:p>
        </w:tc>
        <w:tc>
          <w:tcPr>
            <w:tcW w:type="dxa" w:w="2000"/>
            <w:shd w:fill="F2F2F2" w:val="clear"/>
            <w:vAlign w:val="center"/>
          </w:tcPr>
          <w:p>
            <w:r>
              <w:rPr>
                <w:b w:val="false"/>
                <w:bCs w:val="false"/>
                <w:sz w:val="18"/>
                <w:szCs w:val="18"/>
              </w:rPr>
              <w:t xml:space="preserve">Execute WP-0002's RLS verification method as the adopted template for all future Realize-class verification</w:t>
            </w:r>
          </w:p>
        </w:tc>
        <w:tc>
          <w:tcPr>
            <w:tcW w:type="dxa" w:w="1300"/>
            <w:shd w:fill="F2F2F2" w:val="clear"/>
            <w:vAlign w:val="center"/>
          </w:tcPr>
          <w:p>
            <w:r>
              <w:rPr>
                <w:b w:val="false"/>
                <w:bCs w:val="false"/>
                <w:sz w:val="18"/>
                <w:szCs w:val="18"/>
              </w:rPr>
              <w:t xml:space="preserve">Section 7; Section 10.6 §10.6.9</w:t>
            </w:r>
          </w:p>
        </w:tc>
        <w:tc>
          <w:tcPr>
            <w:tcW w:type="dxa" w:w="1560"/>
            <w:shd w:fill="F2F2F2" w:val="clear"/>
            <w:vAlign w:val="center"/>
          </w:tcPr>
          <w:p>
            <w:r>
              <w:rPr>
                <w:b w:val="false"/>
                <w:bCs w:val="false"/>
                <w:sz w:val="18"/>
                <w:szCs w:val="18"/>
              </w:rPr>
              <w:t xml:space="preserve">None</w:t>
            </w:r>
          </w:p>
        </w:tc>
        <w:tc>
          <w:tcPr>
            <w:tcW w:type="dxa" w:w="1500"/>
            <w:shd w:fill="F2F2F2" w:val="clear"/>
            <w:vAlign w:val="center"/>
          </w:tcPr>
          <w:p>
            <w:r>
              <w:rPr>
                <w:b w:val="false"/>
                <w:bCs w:val="false"/>
                <w:sz w:val="18"/>
                <w:szCs w:val="18"/>
              </w:rPr>
              <w:t xml:space="preserve">Complete WP-0002 written confirmation</w:t>
            </w:r>
          </w:p>
        </w:tc>
        <w:tc>
          <w:tcPr>
            <w:tcW w:type="dxa" w:w="1500"/>
            <w:shd w:fill="F2F2F2" w:val="clear"/>
            <w:vAlign w:val="center"/>
          </w:tcPr>
          <w:p>
            <w:r>
              <w:rPr>
                <w:b w:val="false"/>
                <w:bCs w:val="false"/>
                <w:sz w:val="18"/>
                <w:szCs w:val="18"/>
              </w:rPr>
              <w:t xml:space="preserve">Approve WP-0002 as the standing verification template</w:t>
            </w:r>
          </w:p>
        </w:tc>
      </w:tr>
      <w:tr>
        <w:tc>
          <w:tcPr>
            <w:tcW w:type="dxa" w:w="1500"/>
            <w:vAlign w:val="center"/>
          </w:tcPr>
          <w:p>
            <w:r>
              <w:rPr>
                <w:b w:val="false"/>
                <w:bCs w:val="false"/>
                <w:sz w:val="18"/>
                <w:szCs w:val="18"/>
              </w:rPr>
              <w:t xml:space="preserve">Acceptance Architecture</w:t>
            </w:r>
          </w:p>
        </w:tc>
        <w:tc>
          <w:tcPr>
            <w:tcW w:type="dxa" w:w="2000"/>
            <w:vAlign w:val="center"/>
          </w:tcPr>
          <w:p>
            <w:r>
              <w:rPr>
                <w:b w:val="false"/>
                <w:bCs w:val="false"/>
                <w:sz w:val="18"/>
                <w:szCs w:val="18"/>
              </w:rPr>
              <w:t xml:space="preserve">Accept Section 9's READY WITH CONDITIONS determination</w:t>
            </w:r>
          </w:p>
        </w:tc>
        <w:tc>
          <w:tcPr>
            <w:tcW w:type="dxa" w:w="1300"/>
            <w:vAlign w:val="center"/>
          </w:tcPr>
          <w:p>
            <w:r>
              <w:rPr>
                <w:b w:val="false"/>
                <w:bCs w:val="false"/>
                <w:sz w:val="18"/>
                <w:szCs w:val="18"/>
              </w:rPr>
              <w:t xml:space="preserve">Section 9</w:t>
            </w:r>
          </w:p>
        </w:tc>
        <w:tc>
          <w:tcPr>
            <w:tcW w:type="dxa" w:w="1560"/>
            <w:vAlign w:val="center"/>
          </w:tcPr>
          <w:p>
            <w:r>
              <w:rPr>
                <w:b w:val="false"/>
                <w:bCs w:val="false"/>
                <w:sz w:val="18"/>
                <w:szCs w:val="18"/>
              </w:rPr>
              <w:t xml:space="preserve">Conditions trace to KPI-08 (ownership), not architecture drift</w:t>
            </w:r>
          </w:p>
        </w:tc>
        <w:tc>
          <w:tcPr>
            <w:tcW w:type="dxa" w:w="1500"/>
            <w:vAlign w:val="center"/>
          </w:tcPr>
          <w:p>
            <w:r>
              <w:rPr>
                <w:b w:val="false"/>
                <w:bCs w:val="false"/>
                <w:sz w:val="18"/>
                <w:szCs w:val="18"/>
              </w:rPr>
              <w:t xml:space="preserve">Assign named owners via WP-0006</w:t>
            </w:r>
          </w:p>
        </w:tc>
        <w:tc>
          <w:tcPr>
            <w:tcW w:type="dxa" w:w="1500"/>
            <w:vAlign w:val="center"/>
          </w:tcPr>
          <w:p>
            <w:r>
              <w:rPr>
                <w:b w:val="false"/>
                <w:bCs w:val="false"/>
                <w:sz w:val="18"/>
                <w:szCs w:val="18"/>
              </w:rPr>
              <w:t xml:space="preserve">Approve conditional readiness; do not treat as a blocker to Wave 1</w:t>
            </w:r>
          </w:p>
        </w:tc>
      </w:tr>
      <w:tr>
        <w:tc>
          <w:tcPr>
            <w:tcW w:type="dxa" w:w="1500"/>
            <w:shd w:fill="F2F2F2" w:val="clear"/>
            <w:vAlign w:val="center"/>
          </w:tcPr>
          <w:p>
            <w:r>
              <w:rPr>
                <w:b w:val="false"/>
                <w:bCs w:val="false"/>
                <w:sz w:val="18"/>
                <w:szCs w:val="18"/>
              </w:rPr>
              <w:t xml:space="preserve">Portfolio / Wave Architecture</w:t>
            </w:r>
          </w:p>
        </w:tc>
        <w:tc>
          <w:tcPr>
            <w:tcW w:type="dxa" w:w="2000"/>
            <w:shd w:fill="F2F2F2" w:val="clear"/>
            <w:vAlign w:val="center"/>
          </w:tcPr>
          <w:p>
            <w:r>
              <w:rPr>
                <w:b w:val="false"/>
                <w:bCs w:val="false"/>
                <w:sz w:val="18"/>
                <w:szCs w:val="18"/>
              </w:rPr>
              <w:t xml:space="preserve">Sequence Wave 1 (WP-0002, WP-0006) immediately; Wave 2 (WP-0001, WP-0004, WP-0005) to follow; Wave 3 (WP-0003) remains trigger-gated</w:t>
            </w:r>
          </w:p>
        </w:tc>
        <w:tc>
          <w:tcPr>
            <w:tcW w:type="dxa" w:w="1300"/>
            <w:shd w:fill="F2F2F2" w:val="clear"/>
            <w:vAlign w:val="center"/>
          </w:tcPr>
          <w:p>
            <w:r>
              <w:rPr>
                <w:b w:val="false"/>
                <w:bCs w:val="false"/>
                <w:sz w:val="18"/>
                <w:szCs w:val="18"/>
              </w:rPr>
              <w:t xml:space="preserve">Section 10.4; Section 10.5</w:t>
            </w:r>
          </w:p>
        </w:tc>
        <w:tc>
          <w:tcPr>
            <w:tcW w:type="dxa" w:w="1560"/>
            <w:shd w:fill="F2F2F2" w:val="clear"/>
            <w:vAlign w:val="center"/>
          </w:tcPr>
          <w:p>
            <w:r>
              <w:rPr>
                <w:b w:val="false"/>
                <w:bCs w:val="false"/>
                <w:sz w:val="18"/>
                <w:szCs w:val="18"/>
              </w:rPr>
              <w:t xml:space="preserve">None for Wave 1–2; Wave 3 gated on growth data</w:t>
            </w:r>
          </w:p>
        </w:tc>
        <w:tc>
          <w:tcPr>
            <w:tcW w:type="dxa" w:w="1500"/>
            <w:shd w:fill="F2F2F2" w:val="clear"/>
            <w:vAlign w:val="center"/>
          </w:tcPr>
          <w:p>
            <w:r>
              <w:rPr>
                <w:b w:val="false"/>
                <w:bCs w:val="false"/>
                <w:sz w:val="18"/>
                <w:szCs w:val="18"/>
              </w:rPr>
              <w:t xml:space="preserve">Initiate Wave 1 execution</w:t>
            </w:r>
          </w:p>
        </w:tc>
        <w:tc>
          <w:tcPr>
            <w:tcW w:type="dxa" w:w="1500"/>
            <w:shd w:fill="F2F2F2" w:val="clear"/>
            <w:vAlign w:val="center"/>
          </w:tcPr>
          <w:p>
            <w:r>
              <w:rPr>
                <w:b w:val="false"/>
                <w:bCs w:val="false"/>
                <w:sz w:val="18"/>
                <w:szCs w:val="18"/>
              </w:rPr>
              <w:t xml:space="preserve">Approve Wave 1 as the immediate executive priority</w:t>
            </w:r>
          </w:p>
        </w:tc>
      </w:tr>
    </w:tbl>
    <w:p>
      <w:pPr>
        <w:pStyle w:val="Heading2"/>
        <w:spacing w:after="120" w:before="240"/>
      </w:pPr>
      <w:r>
        <w:t xml:space="preserve">10.7.9 — Executive Summary</w:t>
      </w:r>
    </w:p>
    <w:p>
      <w:pPr>
        <w:pStyle w:val="Heading3"/>
        <w:spacing w:after="100" w:before="200"/>
      </w:pPr>
      <w:r>
        <w:t xml:space="preserve">Overall Architecture Conformance</w:t>
      </w:r>
    </w:p>
    <w:p>
      <w:pPr>
        <w:spacing w:after="160"/>
      </w:pPr>
      <w:r>
        <w:rPr>
          <w:b w:val="false"/>
          <w:bCs w:val="false"/>
          <w:i w:val="false"/>
          <w:iCs w:val="false"/>
        </w:rPr>
        <w:t xml:space="preserve">Every Architecture Requirement in the current baseline (AR-0001–AR-0010) carries a dispositioned Enterprise Governance Decision; none is undispositioned or in conflict with an approved decision. Three ARs are fully conformant and exceed the mandatory bar (AR-0008–0010); four are conformant by accepted deferral (AR-0001, AR-0005, AR-0006, and — trigger-gated — AR-0004); two remain non-conformant pending Work Package execution already scoped and sequenced (AR-0002, AR-0003); one is partially conformant pending verification (AR-0007).</w:t>
      </w:r>
    </w:p>
    <w:p>
      <w:pPr>
        <w:pStyle w:val="Heading3"/>
        <w:spacing w:after="100" w:before="200"/>
      </w:pPr>
      <w:r>
        <w:t xml:space="preserve">Architecture Integrity</w:t>
      </w:r>
    </w:p>
    <w:p>
      <w:pPr>
        <w:spacing w:after="160"/>
      </w:pPr>
      <w:r>
        <w:rPr>
          <w:b w:val="false"/>
          <w:bCs w:val="false"/>
          <w:i w:val="false"/>
          <w:iCs w:val="false"/>
        </w:rPr>
        <w:t xml:space="preserve">The traceability chain established in Phase A.3 §7 (AR → EGD → Repository Evidence → Implementation Status → WP → Verification Method → Certification Level) remains unbroken across all ten ARs. No repository, portfolio, or wave has been found operating outside the boundary this chain defines.</w:t>
      </w:r>
    </w:p>
    <w:p>
      <w:pPr>
        <w:pStyle w:val="Heading3"/>
        <w:spacing w:after="100" w:before="200"/>
      </w:pPr>
      <w:r>
        <w:t xml:space="preserve">Governance Conformance</w:t>
      </w:r>
    </w:p>
    <w:p>
      <w:pPr>
        <w:spacing w:after="160"/>
      </w:pPr>
      <w:r>
        <w:rPr>
          <w:b w:val="false"/>
          <w:bCs w:val="false"/>
          <w:i w:val="false"/>
          <w:iCs w:val="false"/>
        </w:rPr>
        <w:t xml:space="preserve">Certification Level L2 (Governance Complete) is MET: every AR has a corresponding EGD with an explicit disposition, and no open (undispositioned) gap exists (Phase A.3 §11). Certification Level L3 (Implementation Traceable) is MET via the traceability matrix reused in Section 10.7.6. Certification Level L4 (Implementation Verified) is NOT MET, pending written completion of WP-0001 and WP-0002.</w:t>
      </w:r>
    </w:p>
    <w:p>
      <w:pPr>
        <w:pStyle w:val="Heading3"/>
        <w:spacing w:after="100" w:before="200"/>
      </w:pPr>
      <w:r>
        <w:t xml:space="preserve">Traceability Completeness</w:t>
      </w:r>
    </w:p>
    <w:p>
      <w:pPr>
        <w:spacing w:after="160"/>
      </w:pPr>
      <w:r>
        <w:rPr>
          <w:b w:val="false"/>
          <w:bCs w:val="false"/>
          <w:i w:val="false"/>
          <w:iCs w:val="false"/>
        </w:rPr>
        <w:t xml:space="preserve">10 of 10 Architecture Requirements trace completely to at least a governance disposition; 5 of 10 additionally trace to an active Work Package, repository, and verification method. The remaining 5 are deferred or standing by accepted governance decision, not by an absence of traceability.</w:t>
      </w:r>
    </w:p>
    <w:p>
      <w:pPr>
        <w:pStyle w:val="Heading3"/>
        <w:spacing w:after="100" w:before="200"/>
      </w:pPr>
      <w:r>
        <w:t xml:space="preserve">Outstanding Architecture Conditions</w:t>
      </w:r>
    </w:p>
    <w:p>
      <w:pPr>
        <w:pStyle w:val="ListParagraph"/>
        <w:numPr>
          <w:ilvl w:val="0"/>
          <w:numId w:val="1"/>
        </w:numPr>
        <w:spacing w:after="100"/>
      </w:pPr>
      <w:r>
        <w:t xml:space="preserve">WP-0001 (documentation revision, AR-0002/EGD-0002) — the baseline's single top-rated confirmed risk, not yet published.</w:t>
      </w:r>
    </w:p>
    <w:p>
      <w:pPr>
        <w:pStyle w:val="ListParagraph"/>
        <w:numPr>
          <w:ilvl w:val="0"/>
          <w:numId w:val="1"/>
        </w:numPr>
        <w:spacing w:after="100"/>
      </w:pPr>
      <w:r>
        <w:t xml:space="preserve">WP-0002 (RLS verification, AR-0007/EGD-0007) — critical-until-verified; the baseline's one open security unknown.</w:t>
      </w:r>
    </w:p>
    <w:p>
      <w:pPr>
        <w:pStyle w:val="ListParagraph"/>
        <w:numPr>
          <w:ilvl w:val="0"/>
          <w:numId w:val="1"/>
        </w:numPr>
        <w:spacing w:after="100"/>
      </w:pPr>
      <w:r>
        <w:t xml:space="preserve">WP-0006 (named ownership assignment) — KPI-08 = 0%; blocks execution accountability for every other Work Package, though it does not itself indicate architecture drift.</w:t>
      </w:r>
    </w:p>
    <w:p>
      <w:pPr>
        <w:pStyle w:val="ListParagraph"/>
        <w:numPr>
          <w:ilvl w:val="0"/>
          <w:numId w:val="1"/>
        </w:numPr>
        <w:spacing w:after="200"/>
      </w:pPr>
      <w:r>
        <w:t xml:space="preserve">Portfolios 3–7 and Waves 4–5 remain Reserved for Future Realization Phases; no conformance claim is made over them.</w:t>
      </w:r>
    </w:p>
    <w:p>
      <w:pPr>
        <w:pStyle w:val="Heading3"/>
        <w:spacing w:after="100" w:before="200"/>
      </w:pPr>
      <w:r>
        <w:t xml:space="preserve">Architecture Readiness for Continued Realization</w:t>
      </w:r>
    </w:p>
    <w:p>
      <w:pPr>
        <w:spacing w:after="160"/>
      </w:pPr>
      <w:r>
        <w:rPr>
          <w:b w:val="false"/>
          <w:bCs w:val="false"/>
          <w:i w:val="false"/>
          <w:iCs w:val="false"/>
        </w:rPr>
        <w:t xml:space="preserve">The evidenced portion of the baseline — Portfolios 1, 2, and 8; Waves 1–3; the Documentation, Database, and Test repositories — is architecturally ready to proceed into Wave 1 execution without further governance review. No conformance condition blocks Wave 1 (WP-0002, WP-0006); the only cross-cutting condition is unassigned ownership (KPI-08), which is an accountability gap, not an architectural non-conformance.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Overall Conformance Assessment</w:t>
            </w:r>
          </w:p>
        </w:tc>
        <w:tc>
          <w:tcPr>
            <w:tcW w:type="dxa" w:w="7160"/>
            <w:vAlign w:val="center"/>
          </w:tcPr>
          <w:p>
            <w:r>
              <w:rPr>
                <w:b w:val="false"/>
                <w:bCs w:val="false"/>
                <w:sz w:val="18"/>
                <w:szCs w:val="18"/>
              </w:rPr>
              <w:t xml:space="preserve">Conformant within evidenced scope. All 10 ARs dispositioned; 2 open implementation items (WP-0001, WP-0002) sequenced and startable; no undispositioned gap or scope-boundary violation identified.</w:t>
            </w:r>
          </w:p>
        </w:tc>
      </w:tr>
      <w:tr>
        <w:tc>
          <w:tcPr>
            <w:tcW w:type="dxa" w:w="2200"/>
            <w:shd w:fill="DCE6F1" w:val="clear"/>
            <w:vAlign w:val="center"/>
          </w:tcPr>
          <w:p>
            <w:r>
              <w:rPr>
                <w:b w:val="false"/>
                <w:bCs w:val="false"/>
                <w:sz w:val="18"/>
                <w:szCs w:val="18"/>
              </w:rPr>
              <w:t xml:space="preserve">Executive Architecture Assessment</w:t>
            </w:r>
          </w:p>
        </w:tc>
        <w:tc>
          <w:tcPr>
            <w:tcW w:type="dxa" w:w="7160"/>
            <w:vAlign w:val="center"/>
          </w:tcPr>
          <w:p>
            <w:r>
              <w:rPr>
                <w:b w:val="false"/>
                <w:bCs w:val="false"/>
                <w:sz w:val="18"/>
                <w:szCs w:val="18"/>
              </w:rPr>
              <w:t xml:space="preserve">The architecture baseline established in Phase A.3 remains intact through Section 10.6. Certification Levels L1–L3 are MET; L4 is pending WP-0001 and WP-0002 completion; L5 is Reserved for Future Realization Phases.</w:t>
            </w:r>
          </w:p>
        </w:tc>
      </w:tr>
      <w:tr>
        <w:tc>
          <w:tcPr>
            <w:tcW w:type="dxa" w:w="2200"/>
            <w:shd w:fill="DCE6F1" w:val="clear"/>
            <w:vAlign w:val="center"/>
          </w:tcPr>
          <w:p>
            <w:r>
              <w:rPr>
                <w:b w:val="false"/>
                <w:bCs w:val="false"/>
                <w:sz w:val="18"/>
                <w:szCs w:val="18"/>
              </w:rPr>
              <w:t xml:space="preserve">Architecture Transition Readiness</w:t>
            </w:r>
          </w:p>
        </w:tc>
        <w:tc>
          <w:tcPr>
            <w:tcW w:type="dxa" w:w="7160"/>
            <w:vAlign w:val="center"/>
          </w:tcPr>
          <w:p>
            <w:r>
              <w:rPr>
                <w:b w:val="false"/>
                <w:bCs w:val="false"/>
                <w:sz w:val="18"/>
                <w:szCs w:val="18"/>
              </w:rPr>
              <w:t xml:space="preserve">Reserved for Future Realization Phases.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2026-07-09T20:00:55.505Z</dcterms:created>
  <dcterms:modified xsi:type="dcterms:W3CDTF">2026-07-09T20:00:55.515Z</dcterms:modified>
</cp:coreProperties>
</file>

<file path=docProps/custom.xml><?xml version="1.0" encoding="utf-8"?>
<Properties xmlns="http://schemas.openxmlformats.org/officeDocument/2006/custom-properties" xmlns:vt="http://schemas.openxmlformats.org/officeDocument/2006/docPropsVTypes"/>
</file>