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4"/>
          <w:szCs w:val="24"/>
        </w:rPr>
        <w:t xml:space="preserve">ERP-01 — Phase C</w:t>
      </w:r>
    </w:p>
    <w:p>
      <w:pPr>
        <w:spacing w:after="60"/>
        <w:jc w:val="center"/>
      </w:pPr>
      <w:r>
        <w:rPr>
          <w:b/>
          <w:bCs/>
          <w:sz w:val="32"/>
          <w:szCs w:val="32"/>
        </w:rPr>
        <w:t xml:space="preserve">Section 10.8 — Enterprise Verification Dashboard</w:t>
      </w:r>
    </w:p>
    <w:p>
      <w:pPr>
        <w:spacing w:after="60"/>
        <w:jc w:val="center"/>
      </w:pPr>
      <w:r>
        <w:rPr>
          <w:i/>
          <w:iCs/>
          <w:sz w:val="22"/>
          <w:szCs w:val="22"/>
        </w:rPr>
        <w:t xml:space="preserve">HireRise Career Intelligence Platform</w:t>
      </w:r>
    </w:p>
    <w:p>
      <w:pPr>
        <w:spacing w:after="60"/>
        <w:jc w:val="center"/>
      </w:pPr>
      <w:r>
        <w:rPr>
          <w:sz w:val="20"/>
          <w:szCs w:val="20"/>
        </w:rPr>
        <w:t xml:space="preserve">Executive Verification View Across the Approved ERP-01 Engineering Baseline</w:t>
      </w:r>
    </w:p>
    <w:p>
      <w:pPr>
        <w:spacing w:after="200"/>
        <w:jc w:val="center"/>
      </w:pPr>
      <w:r>
        <w:rPr>
          <w:sz w:val="18"/>
          <w:szCs w:val="18"/>
        </w:rPr>
        <w:t xml:space="preserve">Version 1.0 | Status: DRAFT FOR REVIEW</w:t>
      </w:r>
    </w:p>
    <w:p>
      <w:pPr>
        <w:spacing w:after="200"/>
        <w:jc w:val="center"/>
      </w:pPr>
      <w:r>
        <w:rPr>
          <w:b/>
          <w:bCs/>
          <w:sz w:val="18"/>
          <w:szCs w:val="18"/>
        </w:rPr>
        <w:t xml:space="preserve">Target-State Architecture &amp; Engineering Planning Artifact — Not Evidence of an Operating Governance Body</w:t>
      </w:r>
    </w:p>
    <w:p>
      <w:pPr>
        <w:pStyle w:val="Heading3"/>
        <w:spacing w:after="100" w:before="200"/>
      </w:pPr>
      <w:r>
        <w:t xml:space="preserve">A Note on Governance Framing</w:t>
      </w:r>
    </w:p>
    <w:p>
      <w:pPr>
        <w:shd w:fill="F2F2F2" w:val="clear"/>
        <w:spacing w:after="200"/>
      </w:pPr>
      <w:r>
        <w:rPr>
          <w:i/>
          <w:iCs/>
        </w:rPr>
        <w:t xml:space="preserve">This document is an architecture and engineering planning artifact. The Enterprise Architecture Board, Executive Steering Committee, Portfolio Governance Board, CIO, CTO, and PMO referenced below describe target-state governance roles for the HireRise platform — a structure this program is designed to grow into — not evidence that any of these bodies currently exists or has conducted operational governance. Every governance role referenced is a defined future responsibility, consistent with ERP-01 Phase A.3's permanent-identifier and evidence-first principles. Every element in this dashboard is reused, unchanged, from ERP-01 Phase A.1 through Section 10.7. This document introduces no new verification method, governance decision, verification metric, readiness score, or maturity rating. Where evidence does not exist, this document states "Not Evidenced in Current Baseline." Where content depends on a future realization phase, this document states "Reserved for Future Realization Phases."</w:t>
      </w:r>
    </w:p>
    <w:p>
      <w:pPr>
        <w:pStyle w:val="Heading1"/>
        <w:spacing w:after="150" w:before="300"/>
      </w:pPr>
      <w:r>
        <w:t xml:space="preserve">10.8 Enterprise Verification Dashboard</w:t>
      </w:r>
    </w:p>
    <w:p>
      <w:pPr>
        <w:pStyle w:val="Heading2"/>
        <w:spacing w:after="120" w:before="240"/>
      </w:pPr>
      <w:r>
        <w:t xml:space="preserve">10.8.1 — Executive Verification Overview</w:t>
      </w:r>
    </w:p>
    <w:p>
      <w:pPr>
        <w:pStyle w:val="Heading3"/>
        <w:spacing w:after="100" w:before="200"/>
      </w:pPr>
      <w:r>
        <w:t xml:space="preserve">Purpose of Enterprise Verification</w:t>
      </w:r>
    </w:p>
    <w:p>
      <w:pPr>
        <w:spacing w:after="160"/>
      </w:pPr>
      <w:r>
        <w:rPr>
          <w:b w:val="false"/>
          <w:bCs w:val="false"/>
          <w:i w:val="false"/>
          <w:iCs w:val="false"/>
        </w:rPr>
        <w:t xml:space="preserve">Enterprise verification measures whether every approved engineering activity under ERP-01 carries a defined, appropriate verification method, whether evidence against that method exists or is scheduled, and whether governance oversight of that evidence is in place. It answers a narrower question than architecture conformance: not "does the work remain inside the architectural boundary," but "is there — or will there be — a repeatable, evidenced way to confirm that it does."</w:t>
      </w:r>
    </w:p>
    <w:p>
      <w:pPr>
        <w:pStyle w:val="Heading3"/>
        <w:spacing w:after="100" w:before="200"/>
      </w:pPr>
      <w:r>
        <w:t xml:space="preserve">Relationship with Section 10.7</w:t>
      </w:r>
    </w:p>
    <w:p>
      <w:pPr>
        <w:spacing w:after="160"/>
      </w:pPr>
      <w:r>
        <w:rPr>
          <w:b w:val="false"/>
          <w:bCs w:val="false"/>
          <w:i w:val="false"/>
          <w:iCs w:val="false"/>
        </w:rPr>
        <w:t xml:space="preserve">Section 10.7 (Architecture Conformance Dashboard) reported whether approved engineering activity remains aligned with the Architecture Requirements and Governance Decisions that bound it. Section 10.8 reports a different axis of the same evidence: whether that alignment is, or can be, verified at all. Where 10.7 answers "does the work conform," 10.8 answers "what verification method exists to confirm conformance, what evidence has it produced, and what remains outstanding." Per Section 7's Evidence-First Principle, no Work Package, Architecture Requirement, or repository is verified beyond what Sections 1–9 and 10.1–10.7 already evidence.</w:t>
      </w:r>
    </w:p>
    <w:p>
      <w:pPr>
        <w:pStyle w:val="Heading3"/>
        <w:spacing w:after="100" w:before="200"/>
      </w:pPr>
      <w:r>
        <w:t xml:space="preserve">Verification Governance Philosophy</w:t>
      </w:r>
    </w:p>
    <w:p>
      <w:pPr>
        <w:spacing w:after="160"/>
      </w:pPr>
      <w:r>
        <w:rPr>
          <w:b w:val="false"/>
          <w:bCs w:val="false"/>
          <w:i w:val="false"/>
          <w:iCs w:val="false"/>
        </w:rPr>
        <w:t xml:space="preserve">Consistent with Section 7's scope statement, verification authority in this baseline applies only to WP-0001 through WP-0006, within Portfolios 1, 2, and 8, using engineering quality objectives aligned to ISO/IEC/IEEE 29119 verification principles as adopted in Sections 4 and 5. This section does not create a parallel verification authority; it consolidates the verification objective, method, and evidence already defined per Work Package in Section 7 into an executive view.</w:t>
      </w:r>
    </w:p>
    <w:p>
      <w:pPr>
        <w:pStyle w:val="Heading3"/>
        <w:spacing w:after="100" w:before="200"/>
      </w:pPr>
      <w:r>
        <w:t xml:space="preserve">Verification Assurance</w:t>
      </w:r>
    </w:p>
    <w:p>
      <w:pPr>
        <w:spacing w:after="160"/>
      </w:pPr>
      <w:r>
        <w:rPr>
          <w:b w:val="false"/>
          <w:bCs w:val="false"/>
          <w:i w:val="false"/>
          <w:iCs w:val="false"/>
        </w:rPr>
        <w:t xml:space="preserve">Verification assurance in this baseline is provided through direct, evidence-based methods — query-based checks, table-inventory diffs, per-release automated checks, and direct measurement — rather than a standing automated test-suite codebase. Section 7 identifies WP-0002's query-based RLS verification method as the adopted template that WP-0004 and WP-0005 reuse, giving the baseline one consistent verification pattern rather than six independent ones.</w:t>
      </w:r>
    </w:p>
    <w:p>
      <w:pPr>
        <w:pStyle w:val="Heading3"/>
        <w:spacing w:after="100" w:before="200"/>
      </w:pPr>
      <w:r>
        <w:t xml:space="preserve">Evidence-First Reporting Principles</w:t>
      </w:r>
    </w:p>
    <w:p>
      <w:pPr>
        <w:spacing w:after="160"/>
      </w:pPr>
      <w:r>
        <w:rPr>
          <w:b w:val="false"/>
          <w:bCs w:val="false"/>
          <w:i w:val="false"/>
          <w:iCs w:val="false"/>
        </w:rPr>
        <w:t xml:space="preserve">This section performs no new analysis, defines no new verification method, and reports no verification outcome beyond what Section 7 and Sections 10.1–10.7 already evidence. Every statement below traces to a specific prior section. Where the ERP-01 template calls for a verification element this baseline does not evidence, this section states "Not Evidenced in Current Baseline." Where the element depends on a future realization phase, this section states "Reserved for Future Realization Phases."</w:t>
      </w:r>
    </w:p>
    <w:p>
      <w:pPr>
        <w:pStyle w:val="Heading2"/>
        <w:spacing w:after="120" w:before="240"/>
      </w:pPr>
      <w:r>
        <w:t xml:space="preserve">10.8.2 — Enterprise Verification Summary Dashboard</w:t>
      </w:r>
    </w:p>
    <w:p>
      <w:pPr>
        <w:spacing w:after="160"/>
      </w:pPr>
      <w:r>
        <w:rPr>
          <w:b w:val="false"/>
          <w:bCs w:val="false"/>
          <w:i/>
          <w:iCs/>
        </w:rPr>
        <w:t xml:space="preserve">Source: Section 7 (Enterprise Testing &amp; Verification Strategy); Sections 10.6–10.7.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900"/>
        <w:gridCol w:w="1600"/>
        <w:gridCol w:w="1560"/>
      </w:tblGrid>
      <w:tr>
        <w:trPr>
          <w:tblHeader/>
        </w:trPr>
        <w:tc>
          <w:tcPr>
            <w:tcW w:type="dxa" w:w="1500"/>
            <w:shd w:fill="1F3864" w:val="clear"/>
            <w:vAlign w:val="center"/>
          </w:tcPr>
          <w:p>
            <w:r>
              <w:rPr>
                <w:b/>
                <w:bCs/>
                <w:color w:val="FFFFFF"/>
                <w:sz w:val="18"/>
                <w:szCs w:val="18"/>
              </w:rPr>
              <w:t xml:space="preserve">Verification Domain</w:t>
            </w:r>
          </w:p>
        </w:tc>
        <w:tc>
          <w:tcPr>
            <w:tcW w:type="dxa" w:w="1600"/>
            <w:shd w:fill="1F3864" w:val="clear"/>
            <w:vAlign w:val="center"/>
          </w:tcPr>
          <w:p>
            <w:r>
              <w:rPr>
                <w:b/>
                <w:bCs/>
                <w:color w:val="FFFFFF"/>
                <w:sz w:val="18"/>
                <w:szCs w:val="18"/>
              </w:rPr>
              <w:t xml:space="preserve">Governing Documents</w:t>
            </w:r>
          </w:p>
        </w:tc>
        <w:tc>
          <w:tcPr>
            <w:tcW w:type="dxa" w:w="1600"/>
            <w:shd w:fill="1F3864" w:val="clear"/>
            <w:vAlign w:val="center"/>
          </w:tcPr>
          <w:p>
            <w:r>
              <w:rPr>
                <w:b/>
                <w:bCs/>
                <w:color w:val="FFFFFF"/>
                <w:sz w:val="18"/>
                <w:szCs w:val="18"/>
              </w:rPr>
              <w:t xml:space="preserve">Verification Scope</w:t>
            </w:r>
          </w:p>
        </w:tc>
        <w:tc>
          <w:tcPr>
            <w:tcW w:type="dxa" w:w="1900"/>
            <w:shd w:fill="1F3864" w:val="clear"/>
            <w:vAlign w:val="center"/>
          </w:tcPr>
          <w:p>
            <w:r>
              <w:rPr>
                <w:b/>
                <w:bCs/>
                <w:color w:val="FFFFFF"/>
                <w:sz w:val="18"/>
                <w:szCs w:val="18"/>
              </w:rPr>
              <w:t xml:space="preserve">Verification Method</w:t>
            </w:r>
          </w:p>
        </w:tc>
        <w:tc>
          <w:tcPr>
            <w:tcW w:type="dxa" w:w="1600"/>
            <w:shd w:fill="1F3864" w:val="clear"/>
            <w:vAlign w:val="center"/>
          </w:tcPr>
          <w:p>
            <w:r>
              <w:rPr>
                <w:b/>
                <w:bCs/>
                <w:color w:val="FFFFFF"/>
                <w:sz w:val="18"/>
                <w:szCs w:val="18"/>
              </w:rPr>
              <w:t xml:space="preserve">Current Status</w:t>
            </w:r>
          </w:p>
        </w:tc>
        <w:tc>
          <w:tcPr>
            <w:tcW w:type="dxa" w:w="1560"/>
            <w:shd w:fill="1F3864" w:val="clear"/>
            <w:vAlign w:val="center"/>
          </w:tcPr>
          <w:p>
            <w:r>
              <w:rPr>
                <w:b/>
                <w:bCs/>
                <w:color w:val="FFFFFF"/>
                <w:sz w:val="18"/>
                <w:szCs w:val="18"/>
              </w:rPr>
              <w:t xml:space="preserve">Executive Assessment</w:t>
            </w:r>
          </w:p>
        </w:tc>
      </w:tr>
      <w:tr>
        <w:tc>
          <w:tcPr>
            <w:tcW w:type="dxa" w:w="1500"/>
            <w:vAlign w:val="center"/>
          </w:tcPr>
          <w:p>
            <w:r>
              <w:rPr>
                <w:b w:val="false"/>
                <w:bCs w:val="false"/>
                <w:sz w:val="18"/>
                <w:szCs w:val="18"/>
              </w:rPr>
              <w:t xml:space="preserve">Architecture Verification</w:t>
            </w:r>
          </w:p>
        </w:tc>
        <w:tc>
          <w:tcPr>
            <w:tcW w:type="dxa" w:w="1600"/>
            <w:vAlign w:val="center"/>
          </w:tcPr>
          <w:p>
            <w:r>
              <w:rPr>
                <w:b w:val="false"/>
                <w:bCs w:val="false"/>
                <w:sz w:val="18"/>
                <w:szCs w:val="18"/>
              </w:rPr>
              <w:t xml:space="preserve">Phase A.3 §7; Section 10.7</w:t>
            </w:r>
          </w:p>
        </w:tc>
        <w:tc>
          <w:tcPr>
            <w:tcW w:type="dxa" w:w="1600"/>
            <w:vAlign w:val="center"/>
          </w:tcPr>
          <w:p>
            <w:r>
              <w:rPr>
                <w:b w:val="false"/>
                <w:bCs w:val="false"/>
                <w:sz w:val="18"/>
                <w:szCs w:val="18"/>
              </w:rPr>
              <w:t xml:space="preserve">AR-0001–AR-0010 traceability</w:t>
            </w:r>
          </w:p>
        </w:tc>
        <w:tc>
          <w:tcPr>
            <w:tcW w:type="dxa" w:w="1900"/>
            <w:vAlign w:val="center"/>
          </w:tcPr>
          <w:p>
            <w:r>
              <w:rPr>
                <w:b w:val="false"/>
                <w:bCs w:val="false"/>
                <w:sz w:val="18"/>
                <w:szCs w:val="18"/>
              </w:rPr>
              <w:t xml:space="preserve">Traceability matrix review (standing)</w:t>
            </w:r>
          </w:p>
        </w:tc>
        <w:tc>
          <w:tcPr>
            <w:tcW w:type="dxa" w:w="1600"/>
            <w:vAlign w:val="center"/>
          </w:tcPr>
          <w:p>
            <w:r>
              <w:rPr>
                <w:b w:val="false"/>
                <w:bCs w:val="false"/>
                <w:sz w:val="18"/>
                <w:szCs w:val="18"/>
              </w:rPr>
              <w:t xml:space="preserve">L3 (Implementation Traceable) MET</w:t>
            </w:r>
          </w:p>
        </w:tc>
        <w:tc>
          <w:tcPr>
            <w:tcW w:type="dxa" w:w="1560"/>
            <w:vAlign w:val="center"/>
          </w:tcPr>
          <w:p>
            <w:r>
              <w:rPr>
                <w:b w:val="false"/>
                <w:bCs w:val="false"/>
                <w:sz w:val="18"/>
                <w:szCs w:val="18"/>
              </w:rPr>
              <w:t xml:space="preserve">Complete — no new method required</w:t>
            </w:r>
          </w:p>
        </w:tc>
      </w:tr>
      <w:tr>
        <w:tc>
          <w:tcPr>
            <w:tcW w:type="dxa" w:w="1500"/>
            <w:shd w:fill="F2F2F2" w:val="clear"/>
            <w:vAlign w:val="center"/>
          </w:tcPr>
          <w:p>
            <w:r>
              <w:rPr>
                <w:b w:val="false"/>
                <w:bCs w:val="false"/>
                <w:sz w:val="18"/>
                <w:szCs w:val="18"/>
              </w:rPr>
              <w:t xml:space="preserve">Repository Verification</w:t>
            </w:r>
          </w:p>
        </w:tc>
        <w:tc>
          <w:tcPr>
            <w:tcW w:type="dxa" w:w="1600"/>
            <w:shd w:fill="F2F2F2" w:val="clear"/>
            <w:vAlign w:val="center"/>
          </w:tcPr>
          <w:p>
            <w:r>
              <w:rPr>
                <w:b w:val="false"/>
                <w:bCs w:val="false"/>
                <w:sz w:val="18"/>
                <w:szCs w:val="18"/>
              </w:rPr>
              <w:t xml:space="preserve">Section 3; Section 10.6</w:t>
            </w:r>
          </w:p>
        </w:tc>
        <w:tc>
          <w:tcPr>
            <w:tcW w:type="dxa" w:w="1600"/>
            <w:shd w:fill="F2F2F2" w:val="clear"/>
            <w:vAlign w:val="center"/>
          </w:tcPr>
          <w:p>
            <w:r>
              <w:rPr>
                <w:b w:val="false"/>
                <w:bCs w:val="false"/>
                <w:sz w:val="18"/>
                <w:szCs w:val="18"/>
              </w:rPr>
              <w:t xml:space="preserve">Documentation, Database, Test repositories</w:t>
            </w:r>
          </w:p>
        </w:tc>
        <w:tc>
          <w:tcPr>
            <w:tcW w:type="dxa" w:w="1900"/>
            <w:shd w:fill="F2F2F2" w:val="clear"/>
            <w:vAlign w:val="center"/>
          </w:tcPr>
          <w:p>
            <w:r>
              <w:rPr>
                <w:b w:val="false"/>
                <w:bCs w:val="false"/>
                <w:sz w:val="18"/>
                <w:szCs w:val="18"/>
              </w:rPr>
              <w:t xml:space="preserve">Repository-level evidence review (standing)</w:t>
            </w:r>
          </w:p>
        </w:tc>
        <w:tc>
          <w:tcPr>
            <w:tcW w:type="dxa" w:w="1600"/>
            <w:shd w:fill="F2F2F2" w:val="clear"/>
            <w:vAlign w:val="center"/>
          </w:tcPr>
          <w:p>
            <w:r>
              <w:rPr>
                <w:b w:val="false"/>
                <w:bCs w:val="false"/>
                <w:sz w:val="18"/>
                <w:szCs w:val="18"/>
              </w:rPr>
              <w:t xml:space="preserve">Sound for Database; Not Yet Started for Documentation; Ready to Execute for Test</w:t>
            </w:r>
          </w:p>
        </w:tc>
        <w:tc>
          <w:tcPr>
            <w:tcW w:type="dxa" w:w="1560"/>
            <w:shd w:fill="F2F2F2" w:val="clear"/>
            <w:vAlign w:val="center"/>
          </w:tcPr>
          <w:p>
            <w:r>
              <w:rPr>
                <w:b w:val="false"/>
                <w:bCs w:val="false"/>
                <w:sz w:val="18"/>
                <w:szCs w:val="18"/>
              </w:rPr>
              <w:t xml:space="preserve">Conformant within evidenced repository scope</w:t>
            </w:r>
          </w:p>
        </w:tc>
      </w:tr>
      <w:tr>
        <w:tc>
          <w:tcPr>
            <w:tcW w:type="dxa" w:w="1500"/>
            <w:vAlign w:val="center"/>
          </w:tcPr>
          <w:p>
            <w:r>
              <w:rPr>
                <w:b w:val="false"/>
                <w:bCs w:val="false"/>
                <w:sz w:val="18"/>
                <w:szCs w:val="18"/>
              </w:rPr>
              <w:t xml:space="preserve">Work Package Verification</w:t>
            </w:r>
          </w:p>
        </w:tc>
        <w:tc>
          <w:tcPr>
            <w:tcW w:type="dxa" w:w="1600"/>
            <w:vAlign w:val="center"/>
          </w:tcPr>
          <w:p>
            <w:r>
              <w:rPr>
                <w:b w:val="false"/>
                <w:bCs w:val="false"/>
                <w:sz w:val="18"/>
                <w:szCs w:val="18"/>
              </w:rPr>
              <w:t xml:space="preserve">Section 7 §§WP-0001–WP-0006</w:t>
            </w:r>
          </w:p>
        </w:tc>
        <w:tc>
          <w:tcPr>
            <w:tcW w:type="dxa" w:w="1600"/>
            <w:vAlign w:val="center"/>
          </w:tcPr>
          <w:p>
            <w:r>
              <w:rPr>
                <w:b w:val="false"/>
                <w:bCs w:val="false"/>
                <w:sz w:val="18"/>
                <w:szCs w:val="18"/>
              </w:rPr>
              <w:t xml:space="preserve">WP-0001–WP-0006</w:t>
            </w:r>
          </w:p>
        </w:tc>
        <w:tc>
          <w:tcPr>
            <w:tcW w:type="dxa" w:w="1900"/>
            <w:vAlign w:val="center"/>
          </w:tcPr>
          <w:p>
            <w:r>
              <w:rPr>
                <w:b w:val="false"/>
                <w:bCs w:val="false"/>
                <w:sz w:val="18"/>
                <w:szCs w:val="18"/>
              </w:rPr>
              <w:t xml:space="preserve">Per-WP method (see 10.8.3)</w:t>
            </w:r>
          </w:p>
        </w:tc>
        <w:tc>
          <w:tcPr>
            <w:tcW w:type="dxa" w:w="1600"/>
            <w:vAlign w:val="center"/>
          </w:tcPr>
          <w:p>
            <w:r>
              <w:rPr>
                <w:b w:val="false"/>
                <w:bCs w:val="false"/>
                <w:sz w:val="18"/>
                <w:szCs w:val="18"/>
              </w:rPr>
              <w:t xml:space="preserve">1 of 6 fully ready to execute (WP-0002); 1 standing/direct-measurement (WP-0006); remainder scheduled or trigger-gated</w:t>
            </w:r>
          </w:p>
        </w:tc>
        <w:tc>
          <w:tcPr>
            <w:tcW w:type="dxa" w:w="1560"/>
            <w:vAlign w:val="center"/>
          </w:tcPr>
          <w:p>
            <w:r>
              <w:rPr>
                <w:b w:val="false"/>
                <w:bCs w:val="false"/>
                <w:sz w:val="18"/>
                <w:szCs w:val="18"/>
              </w:rPr>
              <w:t xml:space="preserve">On track per Wave 1–3 sequencing</w:t>
            </w:r>
          </w:p>
        </w:tc>
      </w:tr>
      <w:tr>
        <w:tc>
          <w:tcPr>
            <w:tcW w:type="dxa" w:w="1500"/>
            <w:shd w:fill="F2F2F2" w:val="clear"/>
            <w:vAlign w:val="center"/>
          </w:tcPr>
          <w:p>
            <w:r>
              <w:rPr>
                <w:b w:val="false"/>
                <w:bCs w:val="false"/>
                <w:sz w:val="18"/>
                <w:szCs w:val="18"/>
              </w:rPr>
              <w:t xml:space="preserve">Portfolio Verification</w:t>
            </w:r>
          </w:p>
        </w:tc>
        <w:tc>
          <w:tcPr>
            <w:tcW w:type="dxa" w:w="1600"/>
            <w:shd w:fill="F2F2F2" w:val="clear"/>
            <w:vAlign w:val="center"/>
          </w:tcPr>
          <w:p>
            <w:r>
              <w:rPr>
                <w:b w:val="false"/>
                <w:bCs w:val="false"/>
                <w:sz w:val="18"/>
                <w:szCs w:val="18"/>
              </w:rPr>
              <w:t xml:space="preserve">Section 10.4</w:t>
            </w:r>
          </w:p>
        </w:tc>
        <w:tc>
          <w:tcPr>
            <w:tcW w:type="dxa" w:w="1600"/>
            <w:shd w:fill="F2F2F2" w:val="clear"/>
            <w:vAlign w:val="center"/>
          </w:tcPr>
          <w:p>
            <w:r>
              <w:rPr>
                <w:b w:val="false"/>
                <w:bCs w:val="false"/>
                <w:sz w:val="18"/>
                <w:szCs w:val="18"/>
              </w:rPr>
              <w:t xml:space="preserve">Portfolios 1, 2, 8 (in scope)</w:t>
            </w:r>
          </w:p>
        </w:tc>
        <w:tc>
          <w:tcPr>
            <w:tcW w:type="dxa" w:w="1900"/>
            <w:shd w:fill="F2F2F2" w:val="clear"/>
            <w:vAlign w:val="center"/>
          </w:tcPr>
          <w:p>
            <w:r>
              <w:rPr>
                <w:b w:val="false"/>
                <w:bCs w:val="false"/>
                <w:sz w:val="18"/>
                <w:szCs w:val="18"/>
              </w:rPr>
              <w:t xml:space="preserve">Aggregated WP verification status</w:t>
            </w:r>
          </w:p>
        </w:tc>
        <w:tc>
          <w:tcPr>
            <w:tcW w:type="dxa" w:w="1600"/>
            <w:shd w:fill="F2F2F2" w:val="clear"/>
            <w:vAlign w:val="center"/>
          </w:tcPr>
          <w:p>
            <w:r>
              <w:rPr>
                <w:b w:val="false"/>
                <w:bCs w:val="false"/>
                <w:sz w:val="18"/>
                <w:szCs w:val="18"/>
              </w:rPr>
              <w:t xml:space="preserve">Verification evidenced only within Portfolios 1, 2, 8</w:t>
            </w:r>
          </w:p>
        </w:tc>
        <w:tc>
          <w:tcPr>
            <w:tcW w:type="dxa" w:w="1560"/>
            <w:shd w:fill="F2F2F2" w:val="clear"/>
            <w:vAlign w:val="center"/>
          </w:tcPr>
          <w:p>
            <w:r>
              <w:rPr>
                <w:b w:val="false"/>
                <w:bCs w:val="false"/>
                <w:sz w:val="18"/>
                <w:szCs w:val="18"/>
              </w:rPr>
              <w:t xml:space="preserve">Conformant; Portfolios 3–7 Reserved for Future Realization Phases</w:t>
            </w:r>
          </w:p>
        </w:tc>
      </w:tr>
      <w:tr>
        <w:tc>
          <w:tcPr>
            <w:tcW w:type="dxa" w:w="1500"/>
            <w:vAlign w:val="center"/>
          </w:tcPr>
          <w:p>
            <w:r>
              <w:rPr>
                <w:b w:val="false"/>
                <w:bCs w:val="false"/>
                <w:sz w:val="18"/>
                <w:szCs w:val="18"/>
              </w:rPr>
              <w:t xml:space="preserve">Wave Verification</w:t>
            </w:r>
          </w:p>
        </w:tc>
        <w:tc>
          <w:tcPr>
            <w:tcW w:type="dxa" w:w="1600"/>
            <w:vAlign w:val="center"/>
          </w:tcPr>
          <w:p>
            <w:r>
              <w:rPr>
                <w:b w:val="false"/>
                <w:bCs w:val="false"/>
                <w:sz w:val="18"/>
                <w:szCs w:val="18"/>
              </w:rPr>
              <w:t xml:space="preserve">Section 10.5</w:t>
            </w:r>
          </w:p>
        </w:tc>
        <w:tc>
          <w:tcPr>
            <w:tcW w:type="dxa" w:w="1600"/>
            <w:vAlign w:val="center"/>
          </w:tcPr>
          <w:p>
            <w:r>
              <w:rPr>
                <w:b w:val="false"/>
                <w:bCs w:val="false"/>
                <w:sz w:val="18"/>
                <w:szCs w:val="18"/>
              </w:rPr>
              <w:t xml:space="preserve">Waves 1–3 (in scope)</w:t>
            </w:r>
          </w:p>
        </w:tc>
        <w:tc>
          <w:tcPr>
            <w:tcW w:type="dxa" w:w="1900"/>
            <w:vAlign w:val="center"/>
          </w:tcPr>
          <w:p>
            <w:r>
              <w:rPr>
                <w:b w:val="false"/>
                <w:bCs w:val="false"/>
                <w:sz w:val="18"/>
                <w:szCs w:val="18"/>
              </w:rPr>
              <w:t xml:space="preserve">Sequenced verification per wave</w:t>
            </w:r>
          </w:p>
        </w:tc>
        <w:tc>
          <w:tcPr>
            <w:tcW w:type="dxa" w:w="1600"/>
            <w:vAlign w:val="center"/>
          </w:tcPr>
          <w:p>
            <w:r>
              <w:rPr>
                <w:b w:val="false"/>
                <w:bCs w:val="false"/>
                <w:sz w:val="18"/>
                <w:szCs w:val="18"/>
              </w:rPr>
              <w:t xml:space="preserve">Wave 1 startable now; Wave 2 sequenced; Wave 3 trigger-gated</w:t>
            </w:r>
          </w:p>
        </w:tc>
        <w:tc>
          <w:tcPr>
            <w:tcW w:type="dxa" w:w="1560"/>
            <w:vAlign w:val="center"/>
          </w:tcPr>
          <w:p>
            <w:r>
              <w:rPr>
                <w:b w:val="false"/>
                <w:bCs w:val="false"/>
                <w:sz w:val="18"/>
                <w:szCs w:val="18"/>
              </w:rPr>
              <w:t xml:space="preserve">No wave has been sequenced ahead of its verification readiness</w:t>
            </w:r>
          </w:p>
        </w:tc>
      </w:tr>
      <w:tr>
        <w:tc>
          <w:tcPr>
            <w:tcW w:type="dxa" w:w="1500"/>
            <w:shd w:fill="F2F2F2" w:val="clear"/>
            <w:vAlign w:val="center"/>
          </w:tcPr>
          <w:p>
            <w:r>
              <w:rPr>
                <w:b w:val="false"/>
                <w:bCs w:val="false"/>
                <w:sz w:val="18"/>
                <w:szCs w:val="18"/>
              </w:rPr>
              <w:t xml:space="preserve">Security Verification</w:t>
            </w:r>
          </w:p>
        </w:tc>
        <w:tc>
          <w:tcPr>
            <w:tcW w:type="dxa" w:w="1600"/>
            <w:shd w:fill="F2F2F2" w:val="clear"/>
            <w:vAlign w:val="center"/>
          </w:tcPr>
          <w:p>
            <w:r>
              <w:rPr>
                <w:b w:val="false"/>
                <w:bCs w:val="false"/>
                <w:sz w:val="18"/>
                <w:szCs w:val="18"/>
              </w:rPr>
              <w:t xml:space="preserve">Section 7 §WP-0002; §WP-0005</w:t>
            </w:r>
          </w:p>
        </w:tc>
        <w:tc>
          <w:tcPr>
            <w:tcW w:type="dxa" w:w="1600"/>
            <w:shd w:fill="F2F2F2" w:val="clear"/>
            <w:vAlign w:val="center"/>
          </w:tcPr>
          <w:p>
            <w:r>
              <w:rPr>
                <w:b w:val="false"/>
                <w:bCs w:val="false"/>
                <w:sz w:val="18"/>
                <w:szCs w:val="18"/>
              </w:rPr>
              <w:t xml:space="preserve">AR-0007 (RLS coverage, all student-owned tables)</w:t>
            </w:r>
          </w:p>
        </w:tc>
        <w:tc>
          <w:tcPr>
            <w:tcW w:type="dxa" w:w="1900"/>
            <w:shd w:fill="F2F2F2" w:val="clear"/>
            <w:vAlign w:val="center"/>
          </w:tcPr>
          <w:p>
            <w:r>
              <w:rPr>
                <w:b w:val="false"/>
                <w:bCs w:val="false"/>
                <w:sz w:val="18"/>
                <w:szCs w:val="18"/>
              </w:rPr>
              <w:t xml:space="preserve">Written RLS status + policy list per table (query-based)</w:t>
            </w:r>
          </w:p>
        </w:tc>
        <w:tc>
          <w:tcPr>
            <w:tcW w:type="dxa" w:w="1600"/>
            <w:shd w:fill="F2F2F2" w:val="clear"/>
            <w:vAlign w:val="center"/>
          </w:tcPr>
          <w:p>
            <w:r>
              <w:rPr>
                <w:b w:val="false"/>
                <w:bCs w:val="false"/>
                <w:sz w:val="18"/>
                <w:szCs w:val="18"/>
              </w:rPr>
              <w:t xml:space="preserve">Partially conformant, unverified remainder; method fully defined, ready to execute</w:t>
            </w:r>
          </w:p>
        </w:tc>
        <w:tc>
          <w:tcPr>
            <w:tcW w:type="dxa" w:w="1560"/>
            <w:shd w:fill="F2F2F2" w:val="clear"/>
            <w:vAlign w:val="center"/>
          </w:tcPr>
          <w:p>
            <w:r>
              <w:rPr>
                <w:b w:val="false"/>
                <w:bCs w:val="false"/>
                <w:sz w:val="18"/>
                <w:szCs w:val="18"/>
              </w:rPr>
              <w:t xml:space="preserve">Critical path — the baseline's one open security verification</w:t>
            </w:r>
          </w:p>
        </w:tc>
      </w:tr>
      <w:tr>
        <w:tc>
          <w:tcPr>
            <w:tcW w:type="dxa" w:w="1500"/>
            <w:vAlign w:val="center"/>
          </w:tcPr>
          <w:p>
            <w:r>
              <w:rPr>
                <w:b w:val="false"/>
                <w:bCs w:val="false"/>
                <w:sz w:val="18"/>
                <w:szCs w:val="18"/>
              </w:rPr>
              <w:t xml:space="preserve">Database Verification</w:t>
            </w:r>
          </w:p>
        </w:tc>
        <w:tc>
          <w:tcPr>
            <w:tcW w:type="dxa" w:w="1600"/>
            <w:vAlign w:val="center"/>
          </w:tcPr>
          <w:p>
            <w:r>
              <w:rPr>
                <w:b w:val="false"/>
                <w:bCs w:val="false"/>
                <w:sz w:val="18"/>
                <w:szCs w:val="18"/>
              </w:rPr>
              <w:t xml:space="preserve">Section 7 §WP-0003; §WP-0004</w:t>
            </w:r>
          </w:p>
        </w:tc>
        <w:tc>
          <w:tcPr>
            <w:tcW w:type="dxa" w:w="1600"/>
            <w:vAlign w:val="center"/>
          </w:tcPr>
          <w:p>
            <w:r>
              <w:rPr>
                <w:b w:val="false"/>
                <w:bCs w:val="false"/>
                <w:sz w:val="18"/>
                <w:szCs w:val="18"/>
              </w:rPr>
              <w:t xml:space="preserve">AR-0003, AR-0004</w:t>
            </w:r>
          </w:p>
        </w:tc>
        <w:tc>
          <w:tcPr>
            <w:tcW w:type="dxa" w:w="1900"/>
            <w:vAlign w:val="center"/>
          </w:tcPr>
          <w:p>
            <w:r>
              <w:rPr>
                <w:b w:val="false"/>
                <w:bCs w:val="false"/>
                <w:sz w:val="18"/>
                <w:szCs w:val="18"/>
              </w:rPr>
              <w:t xml:space="preserve">Quarterly row-count/latency check (WP-0003); per-release automated denormalization check (WP-0004)</w:t>
            </w:r>
          </w:p>
        </w:tc>
        <w:tc>
          <w:tcPr>
            <w:tcW w:type="dxa" w:w="1600"/>
            <w:vAlign w:val="center"/>
          </w:tcPr>
          <w:p>
            <w:r>
              <w:rPr>
                <w:b w:val="false"/>
                <w:bCs w:val="false"/>
                <w:sz w:val="18"/>
                <w:szCs w:val="18"/>
              </w:rPr>
              <w:t xml:space="preserve">Trigger-gated (WP-0003); scheduled (WP-0004)</w:t>
            </w:r>
          </w:p>
        </w:tc>
        <w:tc>
          <w:tcPr>
            <w:tcW w:type="dxa" w:w="1560"/>
            <w:vAlign w:val="center"/>
          </w:tcPr>
          <w:p>
            <w:r>
              <w:rPr>
                <w:b w:val="false"/>
                <w:bCs w:val="false"/>
                <w:sz w:val="18"/>
                <w:szCs w:val="18"/>
              </w:rPr>
              <w:t xml:space="preserve">Conformant; both methods defined, neither yet executed</w:t>
            </w:r>
          </w:p>
        </w:tc>
      </w:tr>
      <w:tr>
        <w:tc>
          <w:tcPr>
            <w:tcW w:type="dxa" w:w="1500"/>
            <w:shd w:fill="F2F2F2" w:val="clear"/>
            <w:vAlign w:val="center"/>
          </w:tcPr>
          <w:p>
            <w:r>
              <w:rPr>
                <w:b w:val="false"/>
                <w:bCs w:val="false"/>
                <w:sz w:val="18"/>
                <w:szCs w:val="18"/>
              </w:rPr>
              <w:t xml:space="preserve">Documentation Verification</w:t>
            </w:r>
          </w:p>
        </w:tc>
        <w:tc>
          <w:tcPr>
            <w:tcW w:type="dxa" w:w="1600"/>
            <w:shd w:fill="F2F2F2" w:val="clear"/>
            <w:vAlign w:val="center"/>
          </w:tcPr>
          <w:p>
            <w:r>
              <w:rPr>
                <w:b w:val="false"/>
                <w:bCs w:val="false"/>
                <w:sz w:val="18"/>
                <w:szCs w:val="18"/>
              </w:rPr>
              <w:t xml:space="preserve">Section 7 §WP-0001</w:t>
            </w:r>
          </w:p>
        </w:tc>
        <w:tc>
          <w:tcPr>
            <w:tcW w:type="dxa" w:w="1600"/>
            <w:shd w:fill="F2F2F2" w:val="clear"/>
            <w:vAlign w:val="center"/>
          </w:tcPr>
          <w:p>
            <w:r>
              <w:rPr>
                <w:b w:val="false"/>
                <w:bCs w:val="false"/>
                <w:sz w:val="18"/>
                <w:szCs w:val="18"/>
              </w:rPr>
              <w:t xml:space="preserve">AR-0002</w:t>
            </w:r>
          </w:p>
        </w:tc>
        <w:tc>
          <w:tcPr>
            <w:tcW w:type="dxa" w:w="1900"/>
            <w:shd w:fill="F2F2F2" w:val="clear"/>
            <w:vAlign w:val="center"/>
          </w:tcPr>
          <w:p>
            <w:r>
              <w:rPr>
                <w:b w:val="false"/>
                <w:bCs w:val="false"/>
                <w:sz w:val="18"/>
                <w:szCs w:val="18"/>
              </w:rPr>
              <w:t xml:space="preserve">Table-inventory diff vs. live schema, zero-discrepancy target</w:t>
            </w:r>
          </w:p>
        </w:tc>
        <w:tc>
          <w:tcPr>
            <w:tcW w:type="dxa" w:w="1600"/>
            <w:shd w:fill="F2F2F2" w:val="clear"/>
            <w:vAlign w:val="center"/>
          </w:tcPr>
          <w:p>
            <w:r>
              <w:rPr>
                <w:b w:val="false"/>
                <w:bCs w:val="false"/>
                <w:sz w:val="18"/>
                <w:szCs w:val="18"/>
              </w:rPr>
              <w:t xml:space="preserve">Not yet started; method fully defined</w:t>
            </w:r>
          </w:p>
        </w:tc>
        <w:tc>
          <w:tcPr>
            <w:tcW w:type="dxa" w:w="1560"/>
            <w:shd w:fill="F2F2F2" w:val="clear"/>
            <w:vAlign w:val="center"/>
          </w:tcPr>
          <w:p>
            <w:r>
              <w:rPr>
                <w:b w:val="false"/>
                <w:bCs w:val="false"/>
                <w:sz w:val="18"/>
                <w:szCs w:val="18"/>
              </w:rPr>
              <w:t xml:space="preserve">Top-priority open verification item in the baseline</w:t>
            </w:r>
          </w:p>
        </w:tc>
      </w:tr>
      <w:tr>
        <w:tc>
          <w:tcPr>
            <w:tcW w:type="dxa" w:w="1500"/>
            <w:vAlign w:val="center"/>
          </w:tcPr>
          <w:p>
            <w:r>
              <w:rPr>
                <w:b w:val="false"/>
                <w:bCs w:val="false"/>
                <w:sz w:val="18"/>
                <w:szCs w:val="18"/>
              </w:rPr>
              <w:t xml:space="preserve">Acceptance Verification</w:t>
            </w:r>
          </w:p>
        </w:tc>
        <w:tc>
          <w:tcPr>
            <w:tcW w:type="dxa" w:w="1600"/>
            <w:vAlign w:val="center"/>
          </w:tcPr>
          <w:p>
            <w:r>
              <w:rPr>
                <w:b w:val="false"/>
                <w:bCs w:val="false"/>
                <w:sz w:val="18"/>
                <w:szCs w:val="18"/>
              </w:rPr>
              <w:t xml:space="preserve">Section 9</w:t>
            </w:r>
          </w:p>
        </w:tc>
        <w:tc>
          <w:tcPr>
            <w:tcW w:type="dxa" w:w="1600"/>
            <w:vAlign w:val="center"/>
          </w:tcPr>
          <w:p>
            <w:r>
              <w:rPr>
                <w:b w:val="false"/>
                <w:bCs w:val="false"/>
                <w:sz w:val="18"/>
                <w:szCs w:val="18"/>
              </w:rPr>
              <w:t xml:space="preserve">WP-0001–WP-0006 acceptance criteria</w:t>
            </w:r>
          </w:p>
        </w:tc>
        <w:tc>
          <w:tcPr>
            <w:tcW w:type="dxa" w:w="1900"/>
            <w:vAlign w:val="center"/>
          </w:tcPr>
          <w:p>
            <w:r>
              <w:rPr>
                <w:b w:val="false"/>
                <w:bCs w:val="false"/>
                <w:sz w:val="18"/>
                <w:szCs w:val="18"/>
              </w:rPr>
              <w:t xml:space="preserve">Entry/Exit/Acceptance criteria review</w:t>
            </w:r>
          </w:p>
        </w:tc>
        <w:tc>
          <w:tcPr>
            <w:tcW w:type="dxa" w:w="1600"/>
            <w:vAlign w:val="center"/>
          </w:tcPr>
          <w:p>
            <w:r>
              <w:rPr>
                <w:b w:val="false"/>
                <w:bCs w:val="false"/>
                <w:sz w:val="18"/>
                <w:szCs w:val="18"/>
              </w:rPr>
              <w:t xml:space="preserve">READY WITH CONDITIONS</w:t>
            </w:r>
          </w:p>
        </w:tc>
        <w:tc>
          <w:tcPr>
            <w:tcW w:type="dxa" w:w="1560"/>
            <w:vAlign w:val="center"/>
          </w:tcPr>
          <w:p>
            <w:r>
              <w:rPr>
                <w:b w:val="false"/>
                <w:bCs w:val="false"/>
                <w:sz w:val="18"/>
                <w:szCs w:val="18"/>
              </w:rPr>
              <w:t xml:space="preserve">Conditions trace to ownership (KPI-08), not verification-method gaps</w:t>
            </w:r>
          </w:p>
        </w:tc>
      </w:tr>
    </w:tbl>
    <w:p>
      <w:r>
        <w:br w:type="page"/>
      </w:r>
    </w:p>
    <w:p>
      <w:pPr>
        <w:pStyle w:val="Heading2"/>
        <w:spacing w:after="120" w:before="240"/>
      </w:pPr>
      <w:r>
        <w:t xml:space="preserve">10.8.3 — Work Package Verification Dashboard</w:t>
      </w:r>
    </w:p>
    <w:p>
      <w:pPr>
        <w:spacing w:after="160"/>
      </w:pPr>
      <w:r>
        <w:rPr>
          <w:b w:val="false"/>
          <w:bCs w:val="false"/>
          <w:i/>
          <w:iCs/>
        </w:rPr>
        <w:t xml:space="preserve">Source: Section 7, per-Work-Package Verification Objective, Method, and Evidence subsections (§§A–D). Reused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1900"/>
        <w:gridCol w:w="1560"/>
        <w:gridCol w:w="1000"/>
        <w:gridCol w:w="900"/>
        <w:gridCol w:w="1000"/>
        <w:gridCol w:w="1200"/>
      </w:tblGrid>
      <w:tr>
        <w:trPr>
          <w:tblHeader/>
        </w:trPr>
        <w:tc>
          <w:tcPr>
            <w:tcW w:type="dxa" w:w="700"/>
            <w:shd w:fill="1F3864" w:val="clear"/>
            <w:vAlign w:val="center"/>
          </w:tcPr>
          <w:p>
            <w:r>
              <w:rPr>
                <w:b/>
                <w:bCs/>
                <w:color w:val="FFFFFF"/>
                <w:sz w:val="18"/>
                <w:szCs w:val="18"/>
              </w:rPr>
              <w:t xml:space="preserve">WP</w:t>
            </w:r>
          </w:p>
        </w:tc>
        <w:tc>
          <w:tcPr>
            <w:tcW w:type="dxa" w:w="2100"/>
            <w:shd w:fill="1F3864" w:val="clear"/>
            <w:vAlign w:val="center"/>
          </w:tcPr>
          <w:p>
            <w:r>
              <w:rPr>
                <w:b/>
                <w:bCs/>
                <w:color w:val="FFFFFF"/>
                <w:sz w:val="18"/>
                <w:szCs w:val="18"/>
              </w:rPr>
              <w:t xml:space="preserve">Verification Objective</w:t>
            </w:r>
          </w:p>
        </w:tc>
        <w:tc>
          <w:tcPr>
            <w:tcW w:type="dxa" w:w="1900"/>
            <w:shd w:fill="1F3864" w:val="clear"/>
            <w:vAlign w:val="center"/>
          </w:tcPr>
          <w:p>
            <w:r>
              <w:rPr>
                <w:b/>
                <w:bCs/>
                <w:color w:val="FFFFFF"/>
                <w:sz w:val="18"/>
                <w:szCs w:val="18"/>
              </w:rPr>
              <w:t xml:space="preserve">Verification Method</w:t>
            </w:r>
          </w:p>
        </w:tc>
        <w:tc>
          <w:tcPr>
            <w:tcW w:type="dxa" w:w="1560"/>
            <w:shd w:fill="1F3864" w:val="clear"/>
            <w:vAlign w:val="center"/>
          </w:tcPr>
          <w:p>
            <w:r>
              <w:rPr>
                <w:b/>
                <w:bCs/>
                <w:color w:val="FFFFFF"/>
                <w:sz w:val="18"/>
                <w:szCs w:val="18"/>
              </w:rPr>
              <w:t xml:space="preserve">Evidence Required</w:t>
            </w:r>
          </w:p>
        </w:tc>
        <w:tc>
          <w:tcPr>
            <w:tcW w:type="dxa" w:w="1000"/>
            <w:shd w:fill="1F3864" w:val="clear"/>
            <w:vAlign w:val="center"/>
          </w:tcPr>
          <w:p>
            <w:r>
              <w:rPr>
                <w:b/>
                <w:bCs/>
                <w:color w:val="FFFFFF"/>
                <w:sz w:val="18"/>
                <w:szCs w:val="18"/>
              </w:rPr>
              <w:t xml:space="preserve">Repository</w:t>
            </w:r>
          </w:p>
        </w:tc>
        <w:tc>
          <w:tcPr>
            <w:tcW w:type="dxa" w:w="900"/>
            <w:shd w:fill="1F3864" w:val="clear"/>
            <w:vAlign w:val="center"/>
          </w:tcPr>
          <w:p>
            <w:r>
              <w:rPr>
                <w:b/>
                <w:bCs/>
                <w:color w:val="FFFFFF"/>
                <w:sz w:val="18"/>
                <w:szCs w:val="18"/>
              </w:rPr>
              <w:t xml:space="preserve">Wave</w:t>
            </w:r>
          </w:p>
        </w:tc>
        <w:tc>
          <w:tcPr>
            <w:tcW w:type="dxa" w:w="1000"/>
            <w:shd w:fill="1F3864" w:val="clear"/>
            <w:vAlign w:val="center"/>
          </w:tcPr>
          <w:p>
            <w:r>
              <w:rPr>
                <w:b/>
                <w:bCs/>
                <w:color w:val="FFFFFF"/>
                <w:sz w:val="18"/>
                <w:szCs w:val="18"/>
              </w:rPr>
              <w:t xml:space="preserve">Verification Status</w:t>
            </w:r>
          </w:p>
        </w:tc>
        <w:tc>
          <w:tcPr>
            <w:tcW w:type="dxa" w:w="1200"/>
            <w:shd w:fill="1F3864" w:val="clear"/>
            <w:vAlign w:val="center"/>
          </w:tcPr>
          <w:p>
            <w:r>
              <w:rPr>
                <w:b/>
                <w:bCs/>
                <w:color w:val="FFFFFF"/>
                <w:sz w:val="18"/>
                <w:szCs w:val="18"/>
              </w:rPr>
              <w:t xml:space="preserve">Executive Assessment</w:t>
            </w:r>
          </w:p>
        </w:tc>
      </w:tr>
      <w:tr>
        <w:tc>
          <w:tcPr>
            <w:tcW w:type="dxa" w:w="700"/>
            <w:vAlign w:val="center"/>
          </w:tcPr>
          <w:p>
            <w:r>
              <w:rPr>
                <w:b w:val="false"/>
                <w:bCs w:val="false"/>
                <w:sz w:val="18"/>
                <w:szCs w:val="18"/>
              </w:rPr>
              <w:t xml:space="preserve">WP-0001</w:t>
            </w:r>
          </w:p>
        </w:tc>
        <w:tc>
          <w:tcPr>
            <w:tcW w:type="dxa" w:w="2100"/>
            <w:vAlign w:val="center"/>
          </w:tcPr>
          <w:p>
            <w:r>
              <w:rPr>
                <w:b w:val="false"/>
                <w:bCs w:val="false"/>
                <w:sz w:val="18"/>
                <w:szCs w:val="18"/>
              </w:rPr>
              <w:t xml:space="preserve">Verify the revised architecture document matches the live schema (AR-0002)</w:t>
            </w:r>
          </w:p>
        </w:tc>
        <w:tc>
          <w:tcPr>
            <w:tcW w:type="dxa" w:w="1900"/>
            <w:vAlign w:val="center"/>
          </w:tcPr>
          <w:p>
            <w:r>
              <w:rPr>
                <w:b w:val="false"/>
                <w:bCs w:val="false"/>
                <w:sz w:val="18"/>
                <w:szCs w:val="18"/>
              </w:rPr>
              <w:t xml:space="preserve">Zero-discrepancy table-inventory diff vs. \dt public.*</w:t>
            </w:r>
          </w:p>
        </w:tc>
        <w:tc>
          <w:tcPr>
            <w:tcW w:type="dxa" w:w="1560"/>
            <w:vAlign w:val="center"/>
          </w:tcPr>
          <w:p>
            <w:r>
              <w:rPr>
                <w:b w:val="false"/>
                <w:bCs w:val="false"/>
                <w:sz w:val="18"/>
                <w:szCs w:val="18"/>
              </w:rPr>
              <w:t xml:space="preserve">Table-inventory diff record; revised document itself</w:t>
            </w:r>
          </w:p>
        </w:tc>
        <w:tc>
          <w:tcPr>
            <w:tcW w:type="dxa" w:w="1000"/>
            <w:vAlign w:val="center"/>
          </w:tcPr>
          <w:p>
            <w:r>
              <w:rPr>
                <w:b w:val="false"/>
                <w:bCs w:val="false"/>
                <w:sz w:val="18"/>
                <w:szCs w:val="18"/>
              </w:rPr>
              <w:t xml:space="preserve">Documentation</w:t>
            </w:r>
          </w:p>
        </w:tc>
        <w:tc>
          <w:tcPr>
            <w:tcW w:type="dxa" w:w="900"/>
            <w:vAlign w:val="center"/>
          </w:tcPr>
          <w:p>
            <w:r>
              <w:rPr>
                <w:b w:val="false"/>
                <w:bCs w:val="false"/>
                <w:sz w:val="18"/>
                <w:szCs w:val="18"/>
              </w:rPr>
              <w:t xml:space="preserve">Wave 2</w:t>
            </w:r>
          </w:p>
        </w:tc>
        <w:tc>
          <w:tcPr>
            <w:tcW w:type="dxa" w:w="1000"/>
            <w:vAlign w:val="center"/>
          </w:tcPr>
          <w:p>
            <w:r>
              <w:rPr>
                <w:b w:val="false"/>
                <w:bCs w:val="false"/>
                <w:sz w:val="18"/>
                <w:szCs w:val="18"/>
              </w:rPr>
              <w:t xml:space="preserve">Not yet started</w:t>
            </w:r>
          </w:p>
        </w:tc>
        <w:tc>
          <w:tcPr>
            <w:tcW w:type="dxa" w:w="1200"/>
            <w:vAlign w:val="center"/>
          </w:tcPr>
          <w:p>
            <w:r>
              <w:rPr>
                <w:b w:val="false"/>
                <w:bCs w:val="false"/>
                <w:sz w:val="18"/>
                <w:szCs w:val="18"/>
              </w:rPr>
              <w:t xml:space="preserve">Top-rated confirmed risk; method fully defined, awaiting execution</w:t>
            </w:r>
          </w:p>
        </w:tc>
      </w:tr>
      <w:tr>
        <w:tc>
          <w:tcPr>
            <w:tcW w:type="dxa" w:w="700"/>
            <w:shd w:fill="F2F2F2" w:val="clear"/>
            <w:vAlign w:val="center"/>
          </w:tcPr>
          <w:p>
            <w:r>
              <w:rPr>
                <w:b w:val="false"/>
                <w:bCs w:val="false"/>
                <w:sz w:val="18"/>
                <w:szCs w:val="18"/>
              </w:rPr>
              <w:t xml:space="preserve">WP-0002</w:t>
            </w:r>
          </w:p>
        </w:tc>
        <w:tc>
          <w:tcPr>
            <w:tcW w:type="dxa" w:w="2100"/>
            <w:shd w:fill="F2F2F2" w:val="clear"/>
            <w:vAlign w:val="center"/>
          </w:tcPr>
          <w:p>
            <w:r>
              <w:rPr>
                <w:b w:val="false"/>
                <w:bCs w:val="false"/>
                <w:sz w:val="18"/>
                <w:szCs w:val="18"/>
              </w:rPr>
              <w:t xml:space="preserve">Verify RLS ownership-check coverage on all student-owned tables (AR-0007)</w:t>
            </w:r>
          </w:p>
        </w:tc>
        <w:tc>
          <w:tcPr>
            <w:tcW w:type="dxa" w:w="1900"/>
            <w:shd w:fill="F2F2F2" w:val="clear"/>
            <w:vAlign w:val="center"/>
          </w:tcPr>
          <w:p>
            <w:r>
              <w:rPr>
                <w:b w:val="false"/>
                <w:bCs w:val="false"/>
                <w:sz w:val="18"/>
                <w:szCs w:val="18"/>
              </w:rPr>
              <w:t xml:space="preserve">Written RLS status + per-table policy list (query-based)</w:t>
            </w:r>
          </w:p>
        </w:tc>
        <w:tc>
          <w:tcPr>
            <w:tcW w:type="dxa" w:w="1560"/>
            <w:shd w:fill="F2F2F2" w:val="clear"/>
            <w:vAlign w:val="center"/>
          </w:tcPr>
          <w:p>
            <w:r>
              <w:rPr>
                <w:b w:val="false"/>
                <w:bCs w:val="false"/>
                <w:sz w:val="18"/>
                <w:szCs w:val="18"/>
              </w:rPr>
              <w:t xml:space="preserve">Per-table RLS coverage ledger</w:t>
            </w:r>
          </w:p>
        </w:tc>
        <w:tc>
          <w:tcPr>
            <w:tcW w:type="dxa" w:w="1000"/>
            <w:shd w:fill="F2F2F2" w:val="clear"/>
            <w:vAlign w:val="center"/>
          </w:tcPr>
          <w:p>
            <w:r>
              <w:rPr>
                <w:b w:val="false"/>
                <w:bCs w:val="false"/>
                <w:sz w:val="18"/>
                <w:szCs w:val="18"/>
              </w:rPr>
              <w:t xml:space="preserve">Database, Test</w:t>
            </w:r>
          </w:p>
        </w:tc>
        <w:tc>
          <w:tcPr>
            <w:tcW w:type="dxa" w:w="900"/>
            <w:shd w:fill="F2F2F2" w:val="clear"/>
            <w:vAlign w:val="center"/>
          </w:tcPr>
          <w:p>
            <w:r>
              <w:rPr>
                <w:b w:val="false"/>
                <w:bCs w:val="false"/>
                <w:sz w:val="18"/>
                <w:szCs w:val="18"/>
              </w:rPr>
              <w:t xml:space="preserve">Wave 1</w:t>
            </w:r>
          </w:p>
        </w:tc>
        <w:tc>
          <w:tcPr>
            <w:tcW w:type="dxa" w:w="1000"/>
            <w:shd w:fill="F2F2F2" w:val="clear"/>
            <w:vAlign w:val="center"/>
          </w:tcPr>
          <w:p>
            <w:r>
              <w:rPr>
                <w:b w:val="false"/>
                <w:bCs w:val="false"/>
                <w:sz w:val="18"/>
                <w:szCs w:val="18"/>
              </w:rPr>
              <w:t xml:space="preserve">Ready to execute; adopted as standing verification template</w:t>
            </w:r>
          </w:p>
        </w:tc>
        <w:tc>
          <w:tcPr>
            <w:tcW w:type="dxa" w:w="1200"/>
            <w:shd w:fill="F2F2F2" w:val="clear"/>
            <w:vAlign w:val="center"/>
          </w:tcPr>
          <w:p>
            <w:r>
              <w:rPr>
                <w:b w:val="false"/>
                <w:bCs w:val="false"/>
                <w:sz w:val="18"/>
                <w:szCs w:val="18"/>
              </w:rPr>
              <w:t xml:space="preserve">Critical path; closes the baseline's one open security unknown</w:t>
            </w:r>
          </w:p>
        </w:tc>
      </w:tr>
      <w:tr>
        <w:tc>
          <w:tcPr>
            <w:tcW w:type="dxa" w:w="700"/>
            <w:vAlign w:val="center"/>
          </w:tcPr>
          <w:p>
            <w:r>
              <w:rPr>
                <w:b w:val="false"/>
                <w:bCs w:val="false"/>
                <w:sz w:val="18"/>
                <w:szCs w:val="18"/>
              </w:rPr>
              <w:t xml:space="preserve">WP-0003</w:t>
            </w:r>
          </w:p>
        </w:tc>
        <w:tc>
          <w:tcPr>
            <w:tcW w:type="dxa" w:w="2100"/>
            <w:vAlign w:val="center"/>
          </w:tcPr>
          <w:p>
            <w:r>
              <w:rPr>
                <w:b w:val="false"/>
                <w:bCs w:val="false"/>
                <w:sz w:val="18"/>
                <w:szCs w:val="18"/>
              </w:rPr>
              <w:t xml:space="preserve">Verify current row-count and query-latency against the partitioning trigger (AR-0004, AR-0010)</w:t>
            </w:r>
          </w:p>
        </w:tc>
        <w:tc>
          <w:tcPr>
            <w:tcW w:type="dxa" w:w="1900"/>
            <w:vAlign w:val="center"/>
          </w:tcPr>
          <w:p>
            <w:r>
              <w:rPr>
                <w:b w:val="false"/>
                <w:bCs w:val="false"/>
                <w:sz w:val="18"/>
                <w:szCs w:val="18"/>
              </w:rPr>
              <w:t xml:space="preserve">Quarterly row-count/latency check</w:t>
            </w:r>
          </w:p>
        </w:tc>
        <w:tc>
          <w:tcPr>
            <w:tcW w:type="dxa" w:w="1560"/>
            <w:vAlign w:val="center"/>
          </w:tcPr>
          <w:p>
            <w:r>
              <w:rPr>
                <w:b w:val="false"/>
                <w:bCs w:val="false"/>
                <w:sz w:val="18"/>
                <w:szCs w:val="18"/>
              </w:rPr>
              <w:t xml:space="preserve">Quarterly monitoring report</w:t>
            </w:r>
          </w:p>
        </w:tc>
        <w:tc>
          <w:tcPr>
            <w:tcW w:type="dxa" w:w="1000"/>
            <w:vAlign w:val="center"/>
          </w:tcPr>
          <w:p>
            <w:r>
              <w:rPr>
                <w:b w:val="false"/>
                <w:bCs w:val="false"/>
                <w:sz w:val="18"/>
                <w:szCs w:val="18"/>
              </w:rPr>
              <w:t xml:space="preserve">Database</w:t>
            </w:r>
          </w:p>
        </w:tc>
        <w:tc>
          <w:tcPr>
            <w:tcW w:type="dxa" w:w="900"/>
            <w:vAlign w:val="center"/>
          </w:tcPr>
          <w:p>
            <w:r>
              <w:rPr>
                <w:b w:val="false"/>
                <w:bCs w:val="false"/>
                <w:sz w:val="18"/>
                <w:szCs w:val="18"/>
              </w:rPr>
              <w:t xml:space="preserve">Wave 3</w:t>
            </w:r>
          </w:p>
        </w:tc>
        <w:tc>
          <w:tcPr>
            <w:tcW w:type="dxa" w:w="1000"/>
            <w:vAlign w:val="center"/>
          </w:tcPr>
          <w:p>
            <w:r>
              <w:rPr>
                <w:b w:val="false"/>
                <w:bCs w:val="false"/>
                <w:sz w:val="18"/>
                <w:szCs w:val="18"/>
              </w:rPr>
              <w:t xml:space="preserve">Trigger-gated; not yet executed</w:t>
            </w:r>
          </w:p>
        </w:tc>
        <w:tc>
          <w:tcPr>
            <w:tcW w:type="dxa" w:w="1200"/>
            <w:vAlign w:val="center"/>
          </w:tcPr>
          <w:p>
            <w:r>
              <w:rPr>
                <w:b w:val="false"/>
                <w:bCs w:val="false"/>
                <w:sz w:val="18"/>
                <w:szCs w:val="18"/>
              </w:rPr>
              <w:t xml:space="preserve">Conformant; no action required until growth data warrants it</w:t>
            </w:r>
          </w:p>
        </w:tc>
      </w:tr>
      <w:tr>
        <w:tc>
          <w:tcPr>
            <w:tcW w:type="dxa" w:w="700"/>
            <w:shd w:fill="F2F2F2" w:val="clear"/>
            <w:vAlign w:val="center"/>
          </w:tcPr>
          <w:p>
            <w:r>
              <w:rPr>
                <w:b w:val="false"/>
                <w:bCs w:val="false"/>
                <w:sz w:val="18"/>
                <w:szCs w:val="18"/>
              </w:rPr>
              <w:t xml:space="preserve">WP-0004</w:t>
            </w:r>
          </w:p>
        </w:tc>
        <w:tc>
          <w:tcPr>
            <w:tcW w:type="dxa" w:w="2100"/>
            <w:shd w:fill="F2F2F2" w:val="clear"/>
            <w:vAlign w:val="center"/>
          </w:tcPr>
          <w:p>
            <w:r>
              <w:rPr>
                <w:b w:val="false"/>
                <w:bCs w:val="false"/>
                <w:sz w:val="18"/>
                <w:szCs w:val="18"/>
              </w:rPr>
              <w:t xml:space="preserve">Verify no student-owned table denormalizes a taxonomy fact outside the accepted pattern (AR-0003)</w:t>
            </w:r>
          </w:p>
        </w:tc>
        <w:tc>
          <w:tcPr>
            <w:tcW w:type="dxa" w:w="1900"/>
            <w:shd w:fill="F2F2F2" w:val="clear"/>
            <w:vAlign w:val="center"/>
          </w:tcPr>
          <w:p>
            <w:r>
              <w:rPr>
                <w:b w:val="false"/>
                <w:bCs w:val="false"/>
                <w:sz w:val="18"/>
                <w:szCs w:val="18"/>
              </w:rPr>
              <w:t xml:space="preserve">Per-release automated denormalization check</w:t>
            </w:r>
          </w:p>
        </w:tc>
        <w:tc>
          <w:tcPr>
            <w:tcW w:type="dxa" w:w="1560"/>
            <w:shd w:fill="F2F2F2" w:val="clear"/>
            <w:vAlign w:val="center"/>
          </w:tcPr>
          <w:p>
            <w:r>
              <w:rPr>
                <w:b w:val="false"/>
                <w:bCs w:val="false"/>
                <w:sz w:val="18"/>
                <w:szCs w:val="18"/>
              </w:rPr>
              <w:t xml:space="preserve">Per-release check record; published pattern documentation</w:t>
            </w:r>
          </w:p>
        </w:tc>
        <w:tc>
          <w:tcPr>
            <w:tcW w:type="dxa" w:w="1000"/>
            <w:shd w:fill="F2F2F2" w:val="clear"/>
            <w:vAlign w:val="center"/>
          </w:tcPr>
          <w:p>
            <w:r>
              <w:rPr>
                <w:b w:val="false"/>
                <w:bCs w:val="false"/>
                <w:sz w:val="18"/>
                <w:szCs w:val="18"/>
              </w:rPr>
              <w:t xml:space="preserve">Documentation, Test</w:t>
            </w:r>
          </w:p>
        </w:tc>
        <w:tc>
          <w:tcPr>
            <w:tcW w:type="dxa" w:w="900"/>
            <w:shd w:fill="F2F2F2" w:val="clear"/>
            <w:vAlign w:val="center"/>
          </w:tcPr>
          <w:p>
            <w:r>
              <w:rPr>
                <w:b w:val="false"/>
                <w:bCs w:val="false"/>
                <w:sz w:val="18"/>
                <w:szCs w:val="18"/>
              </w:rPr>
              <w:t xml:space="preserve">Wave 2</w:t>
            </w:r>
          </w:p>
        </w:tc>
        <w:tc>
          <w:tcPr>
            <w:tcW w:type="dxa" w:w="1000"/>
            <w:shd w:fill="F2F2F2" w:val="clear"/>
            <w:vAlign w:val="center"/>
          </w:tcPr>
          <w:p>
            <w:r>
              <w:rPr>
                <w:b w:val="false"/>
                <w:bCs w:val="false"/>
                <w:sz w:val="18"/>
                <w:szCs w:val="18"/>
              </w:rPr>
              <w:t xml:space="preserve">Scheduled; method defined, not yet operating</w:t>
            </w:r>
          </w:p>
        </w:tc>
        <w:tc>
          <w:tcPr>
            <w:tcW w:type="dxa" w:w="1200"/>
            <w:shd w:fill="F2F2F2" w:val="clear"/>
            <w:vAlign w:val="center"/>
          </w:tcPr>
          <w:p>
            <w:r>
              <w:rPr>
                <w:b w:val="false"/>
                <w:bCs w:val="false"/>
                <w:sz w:val="18"/>
                <w:szCs w:val="18"/>
              </w:rPr>
              <w:t xml:space="preserve">Conformant with condition; benefits from WP-0001 naming clarity</w:t>
            </w:r>
          </w:p>
        </w:tc>
      </w:tr>
      <w:tr>
        <w:tc>
          <w:tcPr>
            <w:tcW w:type="dxa" w:w="700"/>
            <w:vAlign w:val="center"/>
          </w:tcPr>
          <w:p>
            <w:r>
              <w:rPr>
                <w:b w:val="false"/>
                <w:bCs w:val="false"/>
                <w:sz w:val="18"/>
                <w:szCs w:val="18"/>
              </w:rPr>
              <w:t xml:space="preserve">WP-0005</w:t>
            </w:r>
          </w:p>
        </w:tc>
        <w:tc>
          <w:tcPr>
            <w:tcW w:type="dxa" w:w="2100"/>
            <w:vAlign w:val="center"/>
          </w:tcPr>
          <w:p>
            <w:r>
              <w:rPr>
                <w:b w:val="false"/>
                <w:bCs w:val="false"/>
                <w:sz w:val="18"/>
                <w:szCs w:val="18"/>
              </w:rPr>
              <w:t xml:space="preserve">Verify, per free-text/JSON payload column, whether WP-0002's RLS property extends (AR-0007 extension)</w:t>
            </w:r>
          </w:p>
        </w:tc>
        <w:tc>
          <w:tcPr>
            <w:tcW w:type="dxa" w:w="1900"/>
            <w:vAlign w:val="center"/>
          </w:tcPr>
          <w:p>
            <w:r>
              <w:rPr>
                <w:b w:val="false"/>
                <w:bCs w:val="false"/>
                <w:sz w:val="18"/>
                <w:szCs w:val="18"/>
              </w:rPr>
              <w:t xml:space="preserve">Manual review reusing the WP-0002 verification template at column granularity</w:t>
            </w:r>
          </w:p>
        </w:tc>
        <w:tc>
          <w:tcPr>
            <w:tcW w:type="dxa" w:w="1560"/>
            <w:vAlign w:val="center"/>
          </w:tcPr>
          <w:p>
            <w:r>
              <w:rPr>
                <w:b w:val="false"/>
                <w:bCs w:val="false"/>
                <w:sz w:val="18"/>
                <w:szCs w:val="18"/>
              </w:rPr>
              <w:t xml:space="preserve">Documented decision per column; published column-level review report</w:t>
            </w:r>
          </w:p>
        </w:tc>
        <w:tc>
          <w:tcPr>
            <w:tcW w:type="dxa" w:w="1000"/>
            <w:vAlign w:val="center"/>
          </w:tcPr>
          <w:p>
            <w:r>
              <w:rPr>
                <w:b w:val="false"/>
                <w:bCs w:val="false"/>
                <w:sz w:val="18"/>
                <w:szCs w:val="18"/>
              </w:rPr>
              <w:t xml:space="preserve">Database, Test</w:t>
            </w:r>
          </w:p>
        </w:tc>
        <w:tc>
          <w:tcPr>
            <w:tcW w:type="dxa" w:w="900"/>
            <w:vAlign w:val="center"/>
          </w:tcPr>
          <w:p>
            <w:r>
              <w:rPr>
                <w:b w:val="false"/>
                <w:bCs w:val="false"/>
                <w:sz w:val="18"/>
                <w:szCs w:val="18"/>
              </w:rPr>
              <w:t xml:space="preserve">Wave 2 (sequenced after WP-0002)</w:t>
            </w:r>
          </w:p>
        </w:tc>
        <w:tc>
          <w:tcPr>
            <w:tcW w:type="dxa" w:w="1000"/>
            <w:vAlign w:val="center"/>
          </w:tcPr>
          <w:p>
            <w:r>
              <w:rPr>
                <w:b w:val="false"/>
                <w:bCs w:val="false"/>
                <w:sz w:val="18"/>
                <w:szCs w:val="18"/>
              </w:rPr>
              <w:t xml:space="preserve">Not yet started; dependent on WP-0002 completion</w:t>
            </w:r>
          </w:p>
        </w:tc>
        <w:tc>
          <w:tcPr>
            <w:tcW w:type="dxa" w:w="1200"/>
            <w:vAlign w:val="center"/>
          </w:tcPr>
          <w:p>
            <w:r>
              <w:rPr>
                <w:b w:val="false"/>
                <w:bCs w:val="false"/>
                <w:sz w:val="18"/>
                <w:szCs w:val="18"/>
              </w:rPr>
              <w:t xml:space="preserve">Low–medium latent risk; extension of an already-defined method</w:t>
            </w:r>
          </w:p>
        </w:tc>
      </w:tr>
      <w:tr>
        <w:tc>
          <w:tcPr>
            <w:tcW w:type="dxa" w:w="700"/>
            <w:shd w:fill="F2F2F2" w:val="clear"/>
            <w:vAlign w:val="center"/>
          </w:tcPr>
          <w:p>
            <w:r>
              <w:rPr>
                <w:b w:val="false"/>
                <w:bCs w:val="false"/>
                <w:sz w:val="18"/>
                <w:szCs w:val="18"/>
              </w:rPr>
              <w:t xml:space="preserve">WP-0006</w:t>
            </w:r>
          </w:p>
        </w:tc>
        <w:tc>
          <w:tcPr>
            <w:tcW w:type="dxa" w:w="2100"/>
            <w:shd w:fill="F2F2F2" w:val="clear"/>
            <w:vAlign w:val="center"/>
          </w:tcPr>
          <w:p>
            <w:r>
              <w:rPr>
                <w:b w:val="false"/>
                <w:bCs w:val="false"/>
                <w:sz w:val="18"/>
                <w:szCs w:val="18"/>
              </w:rPr>
              <w:t xml:space="preserve">Verify each of the five roles Phase B §9 identifies has a named, accountable individual (AP-009)</w:t>
            </w:r>
          </w:p>
        </w:tc>
        <w:tc>
          <w:tcPr>
            <w:tcW w:type="dxa" w:w="1900"/>
            <w:shd w:fill="F2F2F2" w:val="clear"/>
            <w:vAlign w:val="center"/>
          </w:tcPr>
          <w:p>
            <w:r>
              <w:rPr>
                <w:b w:val="false"/>
                <w:bCs w:val="false"/>
                <w:sz w:val="18"/>
                <w:szCs w:val="18"/>
              </w:rPr>
              <w:t xml:space="preserve">Direct measurement against KPI-08</w:t>
            </w:r>
          </w:p>
        </w:tc>
        <w:tc>
          <w:tcPr>
            <w:tcW w:type="dxa" w:w="1560"/>
            <w:shd w:fill="F2F2F2" w:val="clear"/>
            <w:vAlign w:val="center"/>
          </w:tcPr>
          <w:p>
            <w:r>
              <w:rPr>
                <w:b w:val="false"/>
                <w:bCs w:val="false"/>
                <w:sz w:val="18"/>
                <w:szCs w:val="18"/>
              </w:rPr>
              <w:t xml:space="preserve">Named-owner governance record; KPI-08 measurement record; AP-009 closure record</w:t>
            </w:r>
          </w:p>
        </w:tc>
        <w:tc>
          <w:tcPr>
            <w:tcW w:type="dxa" w:w="1000"/>
            <w:shd w:fill="F2F2F2" w:val="clear"/>
            <w:vAlign w:val="center"/>
          </w:tcPr>
          <w:p>
            <w:r>
              <w:rPr>
                <w:b w:val="false"/>
                <w:bCs w:val="false"/>
                <w:sz w:val="18"/>
                <w:szCs w:val="18"/>
              </w:rPr>
              <w:t xml:space="preserve">Not Applicable — governance record only</w:t>
            </w:r>
          </w:p>
        </w:tc>
        <w:tc>
          <w:tcPr>
            <w:tcW w:type="dxa" w:w="900"/>
            <w:shd w:fill="F2F2F2" w:val="clear"/>
            <w:vAlign w:val="center"/>
          </w:tcPr>
          <w:p>
            <w:r>
              <w:rPr>
                <w:b w:val="false"/>
                <w:bCs w:val="false"/>
                <w:sz w:val="18"/>
                <w:szCs w:val="18"/>
              </w:rPr>
              <w:t xml:space="preserve">Wave 1</w:t>
            </w:r>
          </w:p>
        </w:tc>
        <w:tc>
          <w:tcPr>
            <w:tcW w:type="dxa" w:w="1000"/>
            <w:shd w:fill="F2F2F2" w:val="clear"/>
            <w:vAlign w:val="center"/>
          </w:tcPr>
          <w:p>
            <w:r>
              <w:rPr>
                <w:b w:val="false"/>
                <w:bCs w:val="false"/>
                <w:sz w:val="18"/>
                <w:szCs w:val="18"/>
              </w:rPr>
              <w:t xml:space="preserve">Not yet started; 0% assigned</w:t>
            </w:r>
          </w:p>
        </w:tc>
        <w:tc>
          <w:tcPr>
            <w:tcW w:type="dxa" w:w="1200"/>
            <w:shd w:fill="F2F2F2" w:val="clear"/>
            <w:vAlign w:val="center"/>
          </w:tcPr>
          <w:p>
            <w:r>
              <w:rPr>
                <w:b w:val="false"/>
                <w:bCs w:val="false"/>
                <w:sz w:val="18"/>
                <w:szCs w:val="18"/>
              </w:rPr>
              <w:t xml:space="preserve">Blocks execution accountability for every other Work Package; no defect-management cycle beyond naming</w:t>
            </w:r>
          </w:p>
        </w:tc>
      </w:tr>
    </w:tbl>
    <w:p>
      <w:pPr>
        <w:spacing w:after="160"/>
      </w:pPr>
      <w:r>
        <w:rPr>
          <w:b w:val="false"/>
          <w:bCs w:val="false"/>
          <w:i/>
          <w:iCs/>
        </w:rPr>
        <w:t xml:space="preserve">Do NOT create new verification methods — this table reproduces Section 7 §§WP-0001–WP-0006 exactly; six Work Packages remain the complete and permanent verification catalog.</w:t>
      </w:r>
    </w:p>
    <w:p>
      <w:pPr>
        <w:pStyle w:val="Heading2"/>
        <w:spacing w:after="120" w:before="240"/>
      </w:pPr>
      <w:r>
        <w:t xml:space="preserve">10.8.4 — Verification Coverage Dashboard</w:t>
      </w:r>
    </w:p>
    <w:p>
      <w:pPr>
        <w:spacing w:after="160"/>
      </w:pPr>
      <w:r>
        <w:rPr>
          <w:b w:val="false"/>
          <w:bCs w:val="false"/>
          <w:i/>
          <w:iCs/>
        </w:rPr>
        <w:t xml:space="preserve">Source: Phase A.3 §7; Sections 3, 7, 10.4–10.7. Reused verbatim; no new coverage metric is calculated.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300"/>
        <w:gridCol w:w="2260"/>
      </w:tblGrid>
      <w:tr>
        <w:trPr>
          <w:tblHeader/>
        </w:trPr>
        <w:tc>
          <w:tcPr>
            <w:tcW w:type="dxa" w:w="2200"/>
            <w:shd w:fill="1F3864" w:val="clear"/>
            <w:vAlign w:val="center"/>
          </w:tcPr>
          <w:p>
            <w:r>
              <w:rPr>
                <w:b/>
                <w:bCs/>
                <w:color w:val="FFFFFF"/>
                <w:sz w:val="18"/>
                <w:szCs w:val="18"/>
              </w:rPr>
              <w:t xml:space="preserve">Coverage Object</w:t>
            </w:r>
          </w:p>
        </w:tc>
        <w:tc>
          <w:tcPr>
            <w:tcW w:type="dxa" w:w="2600"/>
            <w:shd w:fill="1F3864" w:val="clear"/>
            <w:vAlign w:val="center"/>
          </w:tcPr>
          <w:p>
            <w:r>
              <w:rPr>
                <w:b/>
                <w:bCs/>
                <w:color w:val="FFFFFF"/>
                <w:sz w:val="18"/>
                <w:szCs w:val="18"/>
              </w:rPr>
              <w:t xml:space="preserve">Coverage Status</w:t>
            </w:r>
          </w:p>
        </w:tc>
        <w:tc>
          <w:tcPr>
            <w:tcW w:type="dxa" w:w="2300"/>
            <w:shd w:fill="1F3864" w:val="clear"/>
            <w:vAlign w:val="center"/>
          </w:tcPr>
          <w:p>
            <w:r>
              <w:rPr>
                <w:b/>
                <w:bCs/>
                <w:color w:val="FFFFFF"/>
                <w:sz w:val="18"/>
                <w:szCs w:val="18"/>
              </w:rPr>
              <w:t xml:space="preserve">Verification Completeness</w:t>
            </w:r>
          </w:p>
        </w:tc>
        <w:tc>
          <w:tcPr>
            <w:tcW w:type="dxa" w:w="2260"/>
            <w:shd w:fill="1F3864" w:val="clear"/>
            <w:vAlign w:val="center"/>
          </w:tcPr>
          <w:p>
            <w:r>
              <w:rPr>
                <w:b/>
                <w:bCs/>
                <w:color w:val="FFFFFF"/>
                <w:sz w:val="18"/>
                <w:szCs w:val="18"/>
              </w:rPr>
              <w:t xml:space="preserve">Outstanding Verification Conditions</w:t>
            </w:r>
          </w:p>
        </w:tc>
      </w:tr>
      <w:tr>
        <w:tc>
          <w:tcPr>
            <w:tcW w:type="dxa" w:w="2200"/>
            <w:vAlign w:val="center"/>
          </w:tcPr>
          <w:p>
            <w:r>
              <w:rPr>
                <w:b w:val="false"/>
                <w:bCs w:val="false"/>
                <w:sz w:val="18"/>
                <w:szCs w:val="18"/>
              </w:rPr>
              <w:t xml:space="preserve">Architecture Requirements (AR-0001–0010)</w:t>
            </w:r>
          </w:p>
        </w:tc>
        <w:tc>
          <w:tcPr>
            <w:tcW w:type="dxa" w:w="2600"/>
            <w:vAlign w:val="center"/>
          </w:tcPr>
          <w:p>
            <w:r>
              <w:rPr>
                <w:b w:val="false"/>
                <w:bCs w:val="false"/>
                <w:sz w:val="18"/>
                <w:szCs w:val="18"/>
              </w:rPr>
              <w:t xml:space="preserve">10 of 10 traced to a verification method or explicit Not Applicable / standing status</w:t>
            </w:r>
          </w:p>
        </w:tc>
        <w:tc>
          <w:tcPr>
            <w:tcW w:type="dxa" w:w="2300"/>
            <w:vAlign w:val="center"/>
          </w:tcPr>
          <w:p>
            <w:r>
              <w:rPr>
                <w:b w:val="false"/>
                <w:bCs w:val="false"/>
                <w:sz w:val="18"/>
                <w:szCs w:val="18"/>
              </w:rPr>
              <w:t xml:space="preserve">Complete at the traceability level; 2 of 10 (AR-0002, AR-0007) pending execution</w:t>
            </w:r>
          </w:p>
        </w:tc>
        <w:tc>
          <w:tcPr>
            <w:tcW w:type="dxa" w:w="2260"/>
            <w:vAlign w:val="center"/>
          </w:tcPr>
          <w:p>
            <w:r>
              <w:rPr>
                <w:b w:val="false"/>
                <w:bCs w:val="false"/>
                <w:sz w:val="18"/>
                <w:szCs w:val="18"/>
              </w:rPr>
              <w:t xml:space="preserve">WP-0001, WP-0002 written completion outstanding</w:t>
            </w:r>
          </w:p>
        </w:tc>
      </w:tr>
      <w:tr>
        <w:tc>
          <w:tcPr>
            <w:tcW w:type="dxa" w:w="2200"/>
            <w:shd w:fill="F2F2F2" w:val="clear"/>
            <w:vAlign w:val="center"/>
          </w:tcPr>
          <w:p>
            <w:r>
              <w:rPr>
                <w:b w:val="false"/>
                <w:bCs w:val="false"/>
                <w:sz w:val="18"/>
                <w:szCs w:val="18"/>
              </w:rPr>
              <w:t xml:space="preserve">Enterprise Governance Decisions (EGD-0001–0009)</w:t>
            </w:r>
          </w:p>
        </w:tc>
        <w:tc>
          <w:tcPr>
            <w:tcW w:type="dxa" w:w="2600"/>
            <w:shd w:fill="F2F2F2" w:val="clear"/>
            <w:vAlign w:val="center"/>
          </w:tcPr>
          <w:p>
            <w:r>
              <w:rPr>
                <w:b w:val="false"/>
                <w:bCs w:val="false"/>
                <w:sz w:val="18"/>
                <w:szCs w:val="18"/>
              </w:rPr>
              <w:t xml:space="preserve">9 of 9 dispositioned; verification requirement flows from each EGD's linked AR</w:t>
            </w:r>
          </w:p>
        </w:tc>
        <w:tc>
          <w:tcPr>
            <w:tcW w:type="dxa" w:w="2300"/>
            <w:shd w:fill="F2F2F2" w:val="clear"/>
            <w:vAlign w:val="center"/>
          </w:tcPr>
          <w:p>
            <w:r>
              <w:rPr>
                <w:b w:val="false"/>
                <w:bCs w:val="false"/>
                <w:sz w:val="18"/>
                <w:szCs w:val="18"/>
              </w:rPr>
              <w:t xml:space="preserve">Complete — no EGD lacks a corresponding verification path</w:t>
            </w:r>
          </w:p>
        </w:tc>
        <w:tc>
          <w:tcPr>
            <w:tcW w:type="dxa" w:w="2260"/>
            <w:shd w:fill="F2F2F2" w:val="clear"/>
            <w:vAlign w:val="center"/>
          </w:tcPr>
          <w:p>
            <w:r>
              <w:rPr>
                <w:b w:val="false"/>
                <w:bCs w:val="false"/>
                <w:sz w:val="18"/>
                <w:szCs w:val="18"/>
              </w:rPr>
              <w:t xml:space="preserve">None beyond the AR-level conditions above</w:t>
            </w:r>
          </w:p>
        </w:tc>
      </w:tr>
      <w:tr>
        <w:tc>
          <w:tcPr>
            <w:tcW w:type="dxa" w:w="2200"/>
            <w:vAlign w:val="center"/>
          </w:tcPr>
          <w:p>
            <w:r>
              <w:rPr>
                <w:b w:val="false"/>
                <w:bCs w:val="false"/>
                <w:sz w:val="18"/>
                <w:szCs w:val="18"/>
              </w:rPr>
              <w:t xml:space="preserve">Enterprise Resolutions (ER-0001–0010)</w:t>
            </w:r>
          </w:p>
        </w:tc>
        <w:tc>
          <w:tcPr>
            <w:tcW w:type="dxa" w:w="2600"/>
            <w:vAlign w:val="center"/>
          </w:tcPr>
          <w:p>
            <w:r>
              <w:rPr>
                <w:b w:val="false"/>
                <w:bCs w:val="false"/>
                <w:sz w:val="18"/>
                <w:szCs w:val="18"/>
              </w:rPr>
              <w:t xml:space="preserve">10 of 10 have a defined resolution status; 3 (ER-0008–0010) require no further verification (implemented, standing)</w:t>
            </w:r>
          </w:p>
        </w:tc>
        <w:tc>
          <w:tcPr>
            <w:tcW w:type="dxa" w:w="2300"/>
            <w:vAlign w:val="center"/>
          </w:tcPr>
          <w:p>
            <w:r>
              <w:rPr>
                <w:b w:val="false"/>
                <w:bCs w:val="false"/>
                <w:sz w:val="18"/>
                <w:szCs w:val="18"/>
              </w:rPr>
              <w:t xml:space="preserve">Complete</w:t>
            </w:r>
          </w:p>
        </w:tc>
        <w:tc>
          <w:tcPr>
            <w:tcW w:type="dxa" w:w="2260"/>
            <w:vAlign w:val="center"/>
          </w:tcPr>
          <w:p>
            <w:r>
              <w:rPr>
                <w:b w:val="false"/>
                <w:bCs w:val="false"/>
                <w:sz w:val="18"/>
                <w:szCs w:val="18"/>
              </w:rPr>
              <w:t xml:space="preserve">ER-0002, ER-0007 verification pending WP-0001, WP-0002 respectively</w:t>
            </w:r>
          </w:p>
        </w:tc>
      </w:tr>
      <w:tr>
        <w:tc>
          <w:tcPr>
            <w:tcW w:type="dxa" w:w="2200"/>
            <w:shd w:fill="F2F2F2" w:val="clear"/>
            <w:vAlign w:val="center"/>
          </w:tcPr>
          <w:p>
            <w:r>
              <w:rPr>
                <w:b w:val="false"/>
                <w:bCs w:val="false"/>
                <w:sz w:val="18"/>
                <w:szCs w:val="18"/>
              </w:rPr>
              <w:t xml:space="preserve">Variances (VAR-01–04)</w:t>
            </w:r>
          </w:p>
        </w:tc>
        <w:tc>
          <w:tcPr>
            <w:tcW w:type="dxa" w:w="2600"/>
            <w:shd w:fill="F2F2F2" w:val="clear"/>
            <w:vAlign w:val="center"/>
          </w:tcPr>
          <w:p>
            <w:r>
              <w:rPr>
                <w:b w:val="false"/>
                <w:bCs w:val="false"/>
                <w:sz w:val="18"/>
                <w:szCs w:val="18"/>
              </w:rPr>
              <w:t xml:space="preserve">4 of 4 carry a defined review frequency (quarterly or per-release)</w:t>
            </w:r>
          </w:p>
        </w:tc>
        <w:tc>
          <w:tcPr>
            <w:tcW w:type="dxa" w:w="2300"/>
            <w:shd w:fill="F2F2F2" w:val="clear"/>
            <w:vAlign w:val="center"/>
          </w:tcPr>
          <w:p>
            <w:r>
              <w:rPr>
                <w:b w:val="false"/>
                <w:bCs w:val="false"/>
                <w:sz w:val="18"/>
                <w:szCs w:val="18"/>
              </w:rPr>
              <w:t xml:space="preserve">Complete — every variance has an active monitoring cadence</w:t>
            </w:r>
          </w:p>
        </w:tc>
        <w:tc>
          <w:tcPr>
            <w:tcW w:type="dxa" w:w="2260"/>
            <w:shd w:fill="F2F2F2" w:val="clear"/>
            <w:vAlign w:val="center"/>
          </w:tcPr>
          <w:p>
            <w:r>
              <w:rPr>
                <w:b w:val="false"/>
                <w:bCs w:val="false"/>
                <w:sz w:val="18"/>
                <w:szCs w:val="18"/>
              </w:rPr>
              <w:t xml:space="preserve">None; all four under active review per Section 10.7.5</w:t>
            </w:r>
          </w:p>
        </w:tc>
      </w:tr>
      <w:tr>
        <w:tc>
          <w:tcPr>
            <w:tcW w:type="dxa" w:w="2200"/>
            <w:vAlign w:val="center"/>
          </w:tcPr>
          <w:p>
            <w:r>
              <w:rPr>
                <w:b w:val="false"/>
                <w:bCs w:val="false"/>
                <w:sz w:val="18"/>
                <w:szCs w:val="18"/>
              </w:rPr>
              <w:t xml:space="preserve">Repositories</w:t>
            </w:r>
          </w:p>
        </w:tc>
        <w:tc>
          <w:tcPr>
            <w:tcW w:type="dxa" w:w="2600"/>
            <w:vAlign w:val="center"/>
          </w:tcPr>
          <w:p>
            <w:r>
              <w:rPr>
                <w:b w:val="false"/>
                <w:bCs w:val="false"/>
                <w:sz w:val="18"/>
                <w:szCs w:val="18"/>
              </w:rPr>
              <w:t xml:space="preserve">Verification evidenced for Documentation, Database, Test; Not Evidenced for Backend, Frontend, Infrastructure; Reserved for Integration, AI, Operations</w:t>
            </w:r>
          </w:p>
        </w:tc>
        <w:tc>
          <w:tcPr>
            <w:tcW w:type="dxa" w:w="2300"/>
            <w:vAlign w:val="center"/>
          </w:tcPr>
          <w:p>
            <w:r>
              <w:rPr>
                <w:b w:val="false"/>
                <w:bCs w:val="false"/>
                <w:sz w:val="18"/>
                <w:szCs w:val="18"/>
              </w:rPr>
              <w:t xml:space="preserve">3 of 8 categories carry evidenced verification scope</w:t>
            </w:r>
          </w:p>
        </w:tc>
        <w:tc>
          <w:tcPr>
            <w:tcW w:type="dxa" w:w="2260"/>
            <w:vAlign w:val="center"/>
          </w:tcPr>
          <w:p>
            <w:r>
              <w:rPr>
                <w:b w:val="false"/>
                <w:bCs w:val="false"/>
                <w:sz w:val="18"/>
                <w:szCs w:val="18"/>
              </w:rPr>
              <w:t xml:space="preserve">No verification claim is made for the 5 non-evidenced/reserved categories</w:t>
            </w:r>
          </w:p>
        </w:tc>
      </w:tr>
      <w:tr>
        <w:tc>
          <w:tcPr>
            <w:tcW w:type="dxa" w:w="2200"/>
            <w:shd w:fill="F2F2F2" w:val="clear"/>
            <w:vAlign w:val="center"/>
          </w:tcPr>
          <w:p>
            <w:r>
              <w:rPr>
                <w:b w:val="false"/>
                <w:bCs w:val="false"/>
                <w:sz w:val="18"/>
                <w:szCs w:val="18"/>
              </w:rPr>
              <w:t xml:space="preserve">Portfolios</w:t>
            </w:r>
          </w:p>
        </w:tc>
        <w:tc>
          <w:tcPr>
            <w:tcW w:type="dxa" w:w="2600"/>
            <w:shd w:fill="F2F2F2" w:val="clear"/>
            <w:vAlign w:val="center"/>
          </w:tcPr>
          <w:p>
            <w:r>
              <w:rPr>
                <w:b w:val="false"/>
                <w:bCs w:val="false"/>
                <w:sz w:val="18"/>
                <w:szCs w:val="18"/>
              </w:rPr>
              <w:t xml:space="preserve">Verification evidenced for Portfolios 1, 2, 8; Reserved for Portfolios 3–7</w:t>
            </w:r>
          </w:p>
        </w:tc>
        <w:tc>
          <w:tcPr>
            <w:tcW w:type="dxa" w:w="2300"/>
            <w:shd w:fill="F2F2F2" w:val="clear"/>
            <w:vAlign w:val="center"/>
          </w:tcPr>
          <w:p>
            <w:r>
              <w:rPr>
                <w:b w:val="false"/>
                <w:bCs w:val="false"/>
                <w:sz w:val="18"/>
                <w:szCs w:val="18"/>
              </w:rPr>
              <w:t xml:space="preserve">3 of 8 in scope</w:t>
            </w:r>
          </w:p>
        </w:tc>
        <w:tc>
          <w:tcPr>
            <w:tcW w:type="dxa" w:w="2260"/>
            <w:shd w:fill="F2F2F2" w:val="clear"/>
            <w:vAlign w:val="center"/>
          </w:tcPr>
          <w:p>
            <w:r>
              <w:rPr>
                <w:b w:val="false"/>
                <w:bCs w:val="false"/>
                <w:sz w:val="18"/>
                <w:szCs w:val="18"/>
              </w:rPr>
              <w:t xml:space="preserve">Reserved portfolios carry no AR/EGD evidence to verify against</w:t>
            </w:r>
          </w:p>
        </w:tc>
      </w:tr>
      <w:tr>
        <w:tc>
          <w:tcPr>
            <w:tcW w:type="dxa" w:w="2200"/>
            <w:vAlign w:val="center"/>
          </w:tcPr>
          <w:p>
            <w:r>
              <w:rPr>
                <w:b w:val="false"/>
                <w:bCs w:val="false"/>
                <w:sz w:val="18"/>
                <w:szCs w:val="18"/>
              </w:rPr>
              <w:t xml:space="preserve">Waves</w:t>
            </w:r>
          </w:p>
        </w:tc>
        <w:tc>
          <w:tcPr>
            <w:tcW w:type="dxa" w:w="2600"/>
            <w:vAlign w:val="center"/>
          </w:tcPr>
          <w:p>
            <w:r>
              <w:rPr>
                <w:b w:val="false"/>
                <w:bCs w:val="false"/>
                <w:sz w:val="18"/>
                <w:szCs w:val="18"/>
              </w:rPr>
              <w:t xml:space="preserve">Verification sequenced for Waves 1–3; Reserved for Waves 4–5</w:t>
            </w:r>
          </w:p>
        </w:tc>
        <w:tc>
          <w:tcPr>
            <w:tcW w:type="dxa" w:w="2300"/>
            <w:vAlign w:val="center"/>
          </w:tcPr>
          <w:p>
            <w:r>
              <w:rPr>
                <w:b w:val="false"/>
                <w:bCs w:val="false"/>
                <w:sz w:val="18"/>
                <w:szCs w:val="18"/>
              </w:rPr>
              <w:t xml:space="preserve">3 of 5 in scope</w:t>
            </w:r>
          </w:p>
        </w:tc>
        <w:tc>
          <w:tcPr>
            <w:tcW w:type="dxa" w:w="2260"/>
            <w:vAlign w:val="center"/>
          </w:tcPr>
          <w:p>
            <w:r>
              <w:rPr>
                <w:b w:val="false"/>
                <w:bCs w:val="false"/>
                <w:sz w:val="18"/>
                <w:szCs w:val="18"/>
              </w:rPr>
              <w:t xml:space="preserve">Wave 3 verification (WP-0003) remains trigger-gated pending growth data</w:t>
            </w:r>
          </w:p>
        </w:tc>
      </w:tr>
    </w:tbl>
    <w:p>
      <w:pPr>
        <w:pStyle w:val="Heading2"/>
        <w:spacing w:after="120" w:before="240"/>
      </w:pPr>
      <w:r>
        <w:t xml:space="preserve">10.8.5 — Verification Governance Dashboard</w:t>
      </w:r>
    </w:p>
    <w:p>
      <w:pPr>
        <w:spacing w:after="160"/>
      </w:pPr>
      <w:r>
        <w:rPr>
          <w:b w:val="false"/>
          <w:bCs w:val="false"/>
          <w:i/>
          <w:iCs/>
        </w:rPr>
        <w:t xml:space="preserve">Source: Section 7; Phase A.3 §§4, 12; Section 10.7 §10.7.4. Reused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CE6F1" w:val="clear"/>
            <w:vAlign w:val="center"/>
          </w:tcPr>
          <w:p>
            <w:r>
              <w:rPr>
                <w:b w:val="false"/>
                <w:bCs w:val="false"/>
                <w:sz w:val="18"/>
                <w:szCs w:val="18"/>
              </w:rPr>
              <w:t xml:space="preserve">Verification Ownership</w:t>
            </w:r>
          </w:p>
        </w:tc>
        <w:tc>
          <w:tcPr>
            <w:tcW w:type="dxa" w:w="7160"/>
            <w:vAlign w:val="center"/>
          </w:tcPr>
          <w:p>
            <w:r>
              <w:rPr>
                <w:b w:val="false"/>
                <w:bCs w:val="false"/>
                <w:sz w:val="18"/>
                <w:szCs w:val="18"/>
              </w:rPr>
              <w:t xml:space="preserve">Not Evidenced in Current Baseline as named individuals — every EGD and Work Package owner field remains unassigned pending WP-0006 (KPI-08 = 0%, Phase A.2 §12). Verification methods themselves are fully defined (Section 7) independent of who executes them.</w:t>
            </w:r>
          </w:p>
        </w:tc>
      </w:tr>
      <w:tr>
        <w:tc>
          <w:tcPr>
            <w:tcW w:type="dxa" w:w="2200"/>
            <w:shd w:fill="DCE6F1" w:val="clear"/>
            <w:vAlign w:val="center"/>
          </w:tcPr>
          <w:p>
            <w:r>
              <w:rPr>
                <w:b w:val="false"/>
                <w:bCs w:val="false"/>
                <w:sz w:val="18"/>
                <w:szCs w:val="18"/>
              </w:rPr>
              <w:t xml:space="preserve">Verification Accountability</w:t>
            </w:r>
          </w:p>
        </w:tc>
        <w:tc>
          <w:tcPr>
            <w:tcW w:type="dxa" w:w="7160"/>
            <w:vAlign w:val="center"/>
          </w:tcPr>
          <w:p>
            <w:r>
              <w:rPr>
                <w:b w:val="false"/>
                <w:bCs w:val="false"/>
                <w:sz w:val="18"/>
                <w:szCs w:val="18"/>
              </w:rPr>
              <w:t xml:space="preserve">Accountability structure is target-state: verification results are designed to report to the Enterprise Architecture Board and Executive Steering Committee (target-state), consistent with Section 10's governance framing. No operating governance body has exercised this accountability to date.</w:t>
            </w:r>
          </w:p>
        </w:tc>
      </w:tr>
      <w:tr>
        <w:tc>
          <w:tcPr>
            <w:tcW w:type="dxa" w:w="2200"/>
            <w:shd w:fill="DCE6F1" w:val="clear"/>
            <w:vAlign w:val="center"/>
          </w:tcPr>
          <w:p>
            <w:r>
              <w:rPr>
                <w:b w:val="false"/>
                <w:bCs w:val="false"/>
                <w:sz w:val="18"/>
                <w:szCs w:val="18"/>
              </w:rPr>
              <w:t xml:space="preserve">Verification Traceability</w:t>
            </w:r>
          </w:p>
        </w:tc>
        <w:tc>
          <w:tcPr>
            <w:tcW w:type="dxa" w:w="7160"/>
            <w:vAlign w:val="center"/>
          </w:tcPr>
          <w:p>
            <w:r>
              <w:rPr>
                <w:b w:val="false"/>
                <w:bCs w:val="false"/>
                <w:sz w:val="18"/>
                <w:szCs w:val="18"/>
              </w:rPr>
              <w:t xml:space="preserve">Complete at the method level — every Work Package's verification method traces to a specific Architecture Requirement and Enterprise Governance Decision (Section 7 §§A–B, per WP). Section 10.7.6's traceability matrix confirms no verification method operates outside its AR/EGD boundary.</w:t>
            </w:r>
          </w:p>
        </w:tc>
      </w:tr>
      <w:tr>
        <w:tc>
          <w:tcPr>
            <w:tcW w:type="dxa" w:w="2200"/>
            <w:shd w:fill="DCE6F1" w:val="clear"/>
            <w:vAlign w:val="center"/>
          </w:tcPr>
          <w:p>
            <w:r>
              <w:rPr>
                <w:b w:val="false"/>
                <w:bCs w:val="false"/>
                <w:sz w:val="18"/>
                <w:szCs w:val="18"/>
              </w:rPr>
              <w:t xml:space="preserve">Verification Documentation</w:t>
            </w:r>
          </w:p>
        </w:tc>
        <w:tc>
          <w:tcPr>
            <w:tcW w:type="dxa" w:w="7160"/>
            <w:vAlign w:val="center"/>
          </w:tcPr>
          <w:p>
            <w:r>
              <w:rPr>
                <w:b w:val="false"/>
                <w:bCs w:val="false"/>
                <w:sz w:val="18"/>
                <w:szCs w:val="18"/>
              </w:rPr>
              <w:t xml:space="preserve">Section 7 constitutes the authoritative, single verification-strategy document for this baseline; no parallel or superseding verification documentation exists. Per-WP evidence artifacts (table-inventory diffs, RLS ledgers, quarterly reports) are defined but, apart from WP-0002's design, not yet produced.</w:t>
            </w:r>
          </w:p>
        </w:tc>
      </w:tr>
      <w:tr>
        <w:tc>
          <w:tcPr>
            <w:tcW w:type="dxa" w:w="2200"/>
            <w:shd w:fill="DCE6F1" w:val="clear"/>
            <w:vAlign w:val="center"/>
          </w:tcPr>
          <w:p>
            <w:r>
              <w:rPr>
                <w:b w:val="false"/>
                <w:bCs w:val="false"/>
                <w:sz w:val="18"/>
                <w:szCs w:val="18"/>
              </w:rPr>
              <w:t xml:space="preserve">Outstanding Governance Conditions</w:t>
            </w:r>
          </w:p>
        </w:tc>
        <w:tc>
          <w:tcPr>
            <w:tcW w:type="dxa" w:w="7160"/>
            <w:vAlign w:val="center"/>
          </w:tcPr>
          <w:p>
            <w:r>
              <w:rPr>
                <w:b w:val="false"/>
                <w:bCs w:val="false"/>
                <w:sz w:val="18"/>
                <w:szCs w:val="18"/>
              </w:rPr>
              <w:t xml:space="preserve">KPI-08 (Ownership Assignment %) at 0% is the single cross-cutting governance condition affecting verification accountability across all six Work Packages; it is an accountability gap, not a verification-method gap.</w:t>
            </w:r>
          </w:p>
        </w:tc>
      </w:tr>
    </w:tbl>
    <w:p>
      <w:r>
        <w:br w:type="page"/>
      </w:r>
    </w:p>
    <w:p>
      <w:pPr>
        <w:pStyle w:val="Heading2"/>
        <w:spacing w:after="120" w:before="240"/>
      </w:pPr>
      <w:r>
        <w:t xml:space="preserve">10.8.6 — Verification Evidence Dashboard</w:t>
      </w:r>
    </w:p>
    <w:p>
      <w:pPr>
        <w:spacing w:after="160"/>
      </w:pPr>
      <w:r>
        <w:rPr>
          <w:b w:val="false"/>
          <w:bCs w:val="false"/>
          <w:i/>
          <w:iCs/>
        </w:rPr>
        <w:t xml:space="preserve">Source: Section 7 §§C–D, per Work Package. Reused verbatim; no new evidence is asserted as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200"/>
        <w:gridCol w:w="1900"/>
        <w:gridCol w:w="1360"/>
        <w:gridCol w:w="1300"/>
      </w:tblGrid>
      <w:tr>
        <w:trPr>
          <w:tblHeader/>
        </w:trPr>
        <w:tc>
          <w:tcPr>
            <w:tcW w:type="dxa" w:w="1900"/>
            <w:shd w:fill="1F3864" w:val="clear"/>
            <w:vAlign w:val="center"/>
          </w:tcPr>
          <w:p>
            <w:r>
              <w:rPr>
                <w:b/>
                <w:bCs/>
                <w:color w:val="FFFFFF"/>
                <w:sz w:val="18"/>
                <w:szCs w:val="18"/>
              </w:rPr>
              <w:t xml:space="preserve">Verification Activity</w:t>
            </w:r>
          </w:p>
        </w:tc>
        <w:tc>
          <w:tcPr>
            <w:tcW w:type="dxa" w:w="1700"/>
            <w:shd w:fill="1F3864" w:val="clear"/>
            <w:vAlign w:val="center"/>
          </w:tcPr>
          <w:p>
            <w:r>
              <w:rPr>
                <w:b/>
                <w:bCs/>
                <w:color w:val="FFFFFF"/>
                <w:sz w:val="18"/>
                <w:szCs w:val="18"/>
              </w:rPr>
              <w:t xml:space="preserve">Evidence Type</w:t>
            </w:r>
          </w:p>
        </w:tc>
        <w:tc>
          <w:tcPr>
            <w:tcW w:type="dxa" w:w="1200"/>
            <w:shd w:fill="1F3864" w:val="clear"/>
            <w:vAlign w:val="center"/>
          </w:tcPr>
          <w:p>
            <w:r>
              <w:rPr>
                <w:b/>
                <w:bCs/>
                <w:color w:val="FFFFFF"/>
                <w:sz w:val="18"/>
                <w:szCs w:val="18"/>
              </w:rPr>
              <w:t xml:space="preserve">Source Repository</w:t>
            </w:r>
          </w:p>
        </w:tc>
        <w:tc>
          <w:tcPr>
            <w:tcW w:type="dxa" w:w="1900"/>
            <w:shd w:fill="1F3864" w:val="clear"/>
            <w:vAlign w:val="center"/>
          </w:tcPr>
          <w:p>
            <w:r>
              <w:rPr>
                <w:b/>
                <w:bCs/>
                <w:color w:val="FFFFFF"/>
                <w:sz w:val="18"/>
                <w:szCs w:val="18"/>
              </w:rPr>
              <w:t xml:space="preserve">Verification Method</w:t>
            </w:r>
          </w:p>
        </w:tc>
        <w:tc>
          <w:tcPr>
            <w:tcW w:type="dxa" w:w="1360"/>
            <w:shd w:fill="1F3864" w:val="clear"/>
            <w:vAlign w:val="center"/>
          </w:tcPr>
          <w:p>
            <w:r>
              <w:rPr>
                <w:b/>
                <w:bCs/>
                <w:color w:val="FFFFFF"/>
                <w:sz w:val="18"/>
                <w:szCs w:val="18"/>
              </w:rPr>
              <w:t xml:space="preserve">Current Status</w:t>
            </w:r>
          </w:p>
        </w:tc>
        <w:tc>
          <w:tcPr>
            <w:tcW w:type="dxa" w:w="1300"/>
            <w:shd w:fill="1F3864" w:val="clear"/>
            <w:vAlign w:val="center"/>
          </w:tcPr>
          <w:p>
            <w:r>
              <w:rPr>
                <w:b/>
                <w:bCs/>
                <w:color w:val="FFFFFF"/>
                <w:sz w:val="18"/>
                <w:szCs w:val="18"/>
              </w:rPr>
              <w:t xml:space="preserve">Executive Assessment</w:t>
            </w:r>
          </w:p>
        </w:tc>
      </w:tr>
      <w:tr>
        <w:tc>
          <w:tcPr>
            <w:tcW w:type="dxa" w:w="1900"/>
            <w:vAlign w:val="center"/>
          </w:tcPr>
          <w:p>
            <w:r>
              <w:rPr>
                <w:b w:val="false"/>
                <w:bCs w:val="false"/>
                <w:sz w:val="18"/>
                <w:szCs w:val="18"/>
              </w:rPr>
              <w:t xml:space="preserve">Architecture document revision confirmation (WP-0001)</w:t>
            </w:r>
          </w:p>
        </w:tc>
        <w:tc>
          <w:tcPr>
            <w:tcW w:type="dxa" w:w="1700"/>
            <w:vAlign w:val="center"/>
          </w:tcPr>
          <w:p>
            <w:r>
              <w:rPr>
                <w:b w:val="false"/>
                <w:bCs w:val="false"/>
                <w:sz w:val="18"/>
                <w:szCs w:val="18"/>
              </w:rPr>
              <w:t xml:space="preserve">Table-inventory diff record</w:t>
            </w:r>
          </w:p>
        </w:tc>
        <w:tc>
          <w:tcPr>
            <w:tcW w:type="dxa" w:w="1200"/>
            <w:vAlign w:val="center"/>
          </w:tcPr>
          <w:p>
            <w:r>
              <w:rPr>
                <w:b w:val="false"/>
                <w:bCs w:val="false"/>
                <w:sz w:val="18"/>
                <w:szCs w:val="18"/>
              </w:rPr>
              <w:t xml:space="preserve">Documentation</w:t>
            </w:r>
          </w:p>
        </w:tc>
        <w:tc>
          <w:tcPr>
            <w:tcW w:type="dxa" w:w="1900"/>
            <w:vAlign w:val="center"/>
          </w:tcPr>
          <w:p>
            <w:r>
              <w:rPr>
                <w:b w:val="false"/>
                <w:bCs w:val="false"/>
                <w:sz w:val="18"/>
                <w:szCs w:val="18"/>
              </w:rPr>
              <w:t xml:space="preserve">Zero-discrepancy diff vs. live schema</w:t>
            </w:r>
          </w:p>
        </w:tc>
        <w:tc>
          <w:tcPr>
            <w:tcW w:type="dxa" w:w="1360"/>
            <w:vAlign w:val="center"/>
          </w:tcPr>
          <w:p>
            <w:r>
              <w:rPr>
                <w:b w:val="false"/>
                <w:bCs w:val="false"/>
                <w:sz w:val="18"/>
                <w:szCs w:val="18"/>
              </w:rPr>
              <w:t xml:space="preserve">Not yet produced</w:t>
            </w:r>
          </w:p>
        </w:tc>
        <w:tc>
          <w:tcPr>
            <w:tcW w:type="dxa" w:w="1300"/>
            <w:vAlign w:val="center"/>
          </w:tcPr>
          <w:p>
            <w:r>
              <w:rPr>
                <w:b w:val="false"/>
                <w:bCs w:val="false"/>
                <w:sz w:val="18"/>
                <w:szCs w:val="18"/>
              </w:rPr>
              <w:t xml:space="preserve">Awaiting WP-0001 execution</w:t>
            </w:r>
          </w:p>
        </w:tc>
      </w:tr>
      <w:tr>
        <w:tc>
          <w:tcPr>
            <w:tcW w:type="dxa" w:w="1900"/>
            <w:shd w:fill="F2F2F2" w:val="clear"/>
            <w:vAlign w:val="center"/>
          </w:tcPr>
          <w:p>
            <w:r>
              <w:rPr>
                <w:b w:val="false"/>
                <w:bCs w:val="false"/>
                <w:sz w:val="18"/>
                <w:szCs w:val="18"/>
              </w:rPr>
              <w:t xml:space="preserve">RLS coverage confirmation (WP-0002)</w:t>
            </w:r>
          </w:p>
        </w:tc>
        <w:tc>
          <w:tcPr>
            <w:tcW w:type="dxa" w:w="1700"/>
            <w:shd w:fill="F2F2F2" w:val="clear"/>
            <w:vAlign w:val="center"/>
          </w:tcPr>
          <w:p>
            <w:r>
              <w:rPr>
                <w:b w:val="false"/>
                <w:bCs w:val="false"/>
                <w:sz w:val="18"/>
                <w:szCs w:val="18"/>
              </w:rPr>
              <w:t xml:space="preserve">Per-table RLS coverage ledger</w:t>
            </w:r>
          </w:p>
        </w:tc>
        <w:tc>
          <w:tcPr>
            <w:tcW w:type="dxa" w:w="1200"/>
            <w:shd w:fill="F2F2F2" w:val="clear"/>
            <w:vAlign w:val="center"/>
          </w:tcPr>
          <w:p>
            <w:r>
              <w:rPr>
                <w:b w:val="false"/>
                <w:bCs w:val="false"/>
                <w:sz w:val="18"/>
                <w:szCs w:val="18"/>
              </w:rPr>
              <w:t xml:space="preserve">Database, Test</w:t>
            </w:r>
          </w:p>
        </w:tc>
        <w:tc>
          <w:tcPr>
            <w:tcW w:type="dxa" w:w="1900"/>
            <w:shd w:fill="F2F2F2" w:val="clear"/>
            <w:vAlign w:val="center"/>
          </w:tcPr>
          <w:p>
            <w:r>
              <w:rPr>
                <w:b w:val="false"/>
                <w:bCs w:val="false"/>
                <w:sz w:val="18"/>
                <w:szCs w:val="18"/>
              </w:rPr>
              <w:t xml:space="preserve">Query-based policy-presence and policy-function check</w:t>
            </w:r>
          </w:p>
        </w:tc>
        <w:tc>
          <w:tcPr>
            <w:tcW w:type="dxa" w:w="1360"/>
            <w:shd w:fill="F2F2F2" w:val="clear"/>
            <w:vAlign w:val="center"/>
          </w:tcPr>
          <w:p>
            <w:r>
              <w:rPr>
                <w:b w:val="false"/>
                <w:bCs w:val="false"/>
                <w:sz w:val="18"/>
                <w:szCs w:val="18"/>
              </w:rPr>
              <w:t xml:space="preserve">Method designed; ledger not yet produced</w:t>
            </w:r>
          </w:p>
        </w:tc>
        <w:tc>
          <w:tcPr>
            <w:tcW w:type="dxa" w:w="1300"/>
            <w:shd w:fill="F2F2F2" w:val="clear"/>
            <w:vAlign w:val="center"/>
          </w:tcPr>
          <w:p>
            <w:r>
              <w:rPr>
                <w:b w:val="false"/>
                <w:bCs w:val="false"/>
                <w:sz w:val="18"/>
                <w:szCs w:val="18"/>
              </w:rPr>
              <w:t xml:space="preserve">Adopted as standing template for future verification</w:t>
            </w:r>
          </w:p>
        </w:tc>
      </w:tr>
      <w:tr>
        <w:tc>
          <w:tcPr>
            <w:tcW w:type="dxa" w:w="1900"/>
            <w:vAlign w:val="center"/>
          </w:tcPr>
          <w:p>
            <w:r>
              <w:rPr>
                <w:b w:val="false"/>
                <w:bCs w:val="false"/>
                <w:sz w:val="18"/>
                <w:szCs w:val="18"/>
              </w:rPr>
              <w:t xml:space="preserve">Partitioning trigger monitoring (WP-0003)</w:t>
            </w:r>
          </w:p>
        </w:tc>
        <w:tc>
          <w:tcPr>
            <w:tcW w:type="dxa" w:w="1700"/>
            <w:vAlign w:val="center"/>
          </w:tcPr>
          <w:p>
            <w:r>
              <w:rPr>
                <w:b w:val="false"/>
                <w:bCs w:val="false"/>
                <w:sz w:val="18"/>
                <w:szCs w:val="18"/>
              </w:rPr>
              <w:t xml:space="preserve">Quarterly monitoring report</w:t>
            </w:r>
          </w:p>
        </w:tc>
        <w:tc>
          <w:tcPr>
            <w:tcW w:type="dxa" w:w="1200"/>
            <w:vAlign w:val="center"/>
          </w:tcPr>
          <w:p>
            <w:r>
              <w:rPr>
                <w:b w:val="false"/>
                <w:bCs w:val="false"/>
                <w:sz w:val="18"/>
                <w:szCs w:val="18"/>
              </w:rPr>
              <w:t xml:space="preserve">Database</w:t>
            </w:r>
          </w:p>
        </w:tc>
        <w:tc>
          <w:tcPr>
            <w:tcW w:type="dxa" w:w="1900"/>
            <w:vAlign w:val="center"/>
          </w:tcPr>
          <w:p>
            <w:r>
              <w:rPr>
                <w:b w:val="false"/>
                <w:bCs w:val="false"/>
                <w:sz w:val="18"/>
                <w:szCs w:val="18"/>
              </w:rPr>
              <w:t xml:space="preserve">Row-count/latency check</w:t>
            </w:r>
          </w:p>
        </w:tc>
        <w:tc>
          <w:tcPr>
            <w:tcW w:type="dxa" w:w="1360"/>
            <w:vAlign w:val="center"/>
          </w:tcPr>
          <w:p>
            <w:r>
              <w:rPr>
                <w:b w:val="false"/>
                <w:bCs w:val="false"/>
                <w:sz w:val="18"/>
                <w:szCs w:val="18"/>
              </w:rPr>
              <w:t xml:space="preserve">Not yet produced; trigger-gated</w:t>
            </w:r>
          </w:p>
        </w:tc>
        <w:tc>
          <w:tcPr>
            <w:tcW w:type="dxa" w:w="1300"/>
            <w:vAlign w:val="center"/>
          </w:tcPr>
          <w:p>
            <w:r>
              <w:rPr>
                <w:b w:val="false"/>
                <w:bCs w:val="false"/>
                <w:sz w:val="18"/>
                <w:szCs w:val="18"/>
              </w:rPr>
              <w:t xml:space="preserve">No action required until trigger condition met</w:t>
            </w:r>
          </w:p>
        </w:tc>
      </w:tr>
      <w:tr>
        <w:tc>
          <w:tcPr>
            <w:tcW w:type="dxa" w:w="1900"/>
            <w:shd w:fill="F2F2F2" w:val="clear"/>
            <w:vAlign w:val="center"/>
          </w:tcPr>
          <w:p>
            <w:r>
              <w:rPr>
                <w:b w:val="false"/>
                <w:bCs w:val="false"/>
                <w:sz w:val="18"/>
                <w:szCs w:val="18"/>
              </w:rPr>
              <w:t xml:space="preserve">Taxonomy pattern conformance (WP-0004)</w:t>
            </w:r>
          </w:p>
        </w:tc>
        <w:tc>
          <w:tcPr>
            <w:tcW w:type="dxa" w:w="1700"/>
            <w:shd w:fill="F2F2F2" w:val="clear"/>
            <w:vAlign w:val="center"/>
          </w:tcPr>
          <w:p>
            <w:r>
              <w:rPr>
                <w:b w:val="false"/>
                <w:bCs w:val="false"/>
                <w:sz w:val="18"/>
                <w:szCs w:val="18"/>
              </w:rPr>
              <w:t xml:space="preserve">Per-release check record; published pattern documentation</w:t>
            </w:r>
          </w:p>
        </w:tc>
        <w:tc>
          <w:tcPr>
            <w:tcW w:type="dxa" w:w="1200"/>
            <w:shd w:fill="F2F2F2" w:val="clear"/>
            <w:vAlign w:val="center"/>
          </w:tcPr>
          <w:p>
            <w:r>
              <w:rPr>
                <w:b w:val="false"/>
                <w:bCs w:val="false"/>
                <w:sz w:val="18"/>
                <w:szCs w:val="18"/>
              </w:rPr>
              <w:t xml:space="preserve">Documentation, Test</w:t>
            </w:r>
          </w:p>
        </w:tc>
        <w:tc>
          <w:tcPr>
            <w:tcW w:type="dxa" w:w="1900"/>
            <w:shd w:fill="F2F2F2" w:val="clear"/>
            <w:vAlign w:val="center"/>
          </w:tcPr>
          <w:p>
            <w:r>
              <w:rPr>
                <w:b w:val="false"/>
                <w:bCs w:val="false"/>
                <w:sz w:val="18"/>
                <w:szCs w:val="18"/>
              </w:rPr>
              <w:t xml:space="preserve">Automated denormalization check</w:t>
            </w:r>
          </w:p>
        </w:tc>
        <w:tc>
          <w:tcPr>
            <w:tcW w:type="dxa" w:w="1360"/>
            <w:shd w:fill="F2F2F2" w:val="clear"/>
            <w:vAlign w:val="center"/>
          </w:tcPr>
          <w:p>
            <w:r>
              <w:rPr>
                <w:b w:val="false"/>
                <w:bCs w:val="false"/>
                <w:sz w:val="18"/>
                <w:szCs w:val="18"/>
              </w:rPr>
              <w:t xml:space="preserve">Not yet produced</w:t>
            </w:r>
          </w:p>
        </w:tc>
        <w:tc>
          <w:tcPr>
            <w:tcW w:type="dxa" w:w="1300"/>
            <w:shd w:fill="F2F2F2" w:val="clear"/>
            <w:vAlign w:val="center"/>
          </w:tcPr>
          <w:p>
            <w:r>
              <w:rPr>
                <w:b w:val="false"/>
                <w:bCs w:val="false"/>
                <w:sz w:val="18"/>
                <w:szCs w:val="18"/>
              </w:rPr>
              <w:t xml:space="preserve">Scheduled; benefits from WP-0001 sequencing</w:t>
            </w:r>
          </w:p>
        </w:tc>
      </w:tr>
      <w:tr>
        <w:tc>
          <w:tcPr>
            <w:tcW w:type="dxa" w:w="1900"/>
            <w:vAlign w:val="center"/>
          </w:tcPr>
          <w:p>
            <w:r>
              <w:rPr>
                <w:b w:val="false"/>
                <w:bCs w:val="false"/>
                <w:sz w:val="18"/>
                <w:szCs w:val="18"/>
              </w:rPr>
              <w:t xml:space="preserve">Column-level access review (WP-0005)</w:t>
            </w:r>
          </w:p>
        </w:tc>
        <w:tc>
          <w:tcPr>
            <w:tcW w:type="dxa" w:w="1700"/>
            <w:vAlign w:val="center"/>
          </w:tcPr>
          <w:p>
            <w:r>
              <w:rPr>
                <w:b w:val="false"/>
                <w:bCs w:val="false"/>
                <w:sz w:val="18"/>
                <w:szCs w:val="18"/>
              </w:rPr>
              <w:t xml:space="preserve">Documented per-column decision; published review report</w:t>
            </w:r>
          </w:p>
        </w:tc>
        <w:tc>
          <w:tcPr>
            <w:tcW w:type="dxa" w:w="1200"/>
            <w:vAlign w:val="center"/>
          </w:tcPr>
          <w:p>
            <w:r>
              <w:rPr>
                <w:b w:val="false"/>
                <w:bCs w:val="false"/>
                <w:sz w:val="18"/>
                <w:szCs w:val="18"/>
              </w:rPr>
              <w:t xml:space="preserve">Database, Test</w:t>
            </w:r>
          </w:p>
        </w:tc>
        <w:tc>
          <w:tcPr>
            <w:tcW w:type="dxa" w:w="1900"/>
            <w:vAlign w:val="center"/>
          </w:tcPr>
          <w:p>
            <w:r>
              <w:rPr>
                <w:b w:val="false"/>
                <w:bCs w:val="false"/>
                <w:sz w:val="18"/>
                <w:szCs w:val="18"/>
              </w:rPr>
              <w:t xml:space="preserve">Manual review, WP-0002 template reused</w:t>
            </w:r>
          </w:p>
        </w:tc>
        <w:tc>
          <w:tcPr>
            <w:tcW w:type="dxa" w:w="1360"/>
            <w:vAlign w:val="center"/>
          </w:tcPr>
          <w:p>
            <w:r>
              <w:rPr>
                <w:b w:val="false"/>
                <w:bCs w:val="false"/>
                <w:sz w:val="18"/>
                <w:szCs w:val="18"/>
              </w:rPr>
              <w:t xml:space="preserve">Not yet produced; sequenced after WP-0002</w:t>
            </w:r>
          </w:p>
        </w:tc>
        <w:tc>
          <w:tcPr>
            <w:tcW w:type="dxa" w:w="1300"/>
            <w:vAlign w:val="center"/>
          </w:tcPr>
          <w:p>
            <w:r>
              <w:rPr>
                <w:b w:val="false"/>
                <w:bCs w:val="false"/>
                <w:sz w:val="18"/>
                <w:szCs w:val="18"/>
              </w:rPr>
              <w:t xml:space="preserve">Extension of an already-defined verification method</w:t>
            </w:r>
          </w:p>
        </w:tc>
      </w:tr>
      <w:tr>
        <w:tc>
          <w:tcPr>
            <w:tcW w:type="dxa" w:w="1900"/>
            <w:shd w:fill="F2F2F2" w:val="clear"/>
            <w:vAlign w:val="center"/>
          </w:tcPr>
          <w:p>
            <w:r>
              <w:rPr>
                <w:b w:val="false"/>
                <w:bCs w:val="false"/>
                <w:sz w:val="18"/>
                <w:szCs w:val="18"/>
              </w:rPr>
              <w:t xml:space="preserve">Ownership assignment confirmation (WP-0006)</w:t>
            </w:r>
          </w:p>
        </w:tc>
        <w:tc>
          <w:tcPr>
            <w:tcW w:type="dxa" w:w="1700"/>
            <w:shd w:fill="F2F2F2" w:val="clear"/>
            <w:vAlign w:val="center"/>
          </w:tcPr>
          <w:p>
            <w:r>
              <w:rPr>
                <w:b w:val="false"/>
                <w:bCs w:val="false"/>
                <w:sz w:val="18"/>
                <w:szCs w:val="18"/>
              </w:rPr>
              <w:t xml:space="preserve">Named-owner governance record; KPI-08 measurement; AP-009 closure record</w:t>
            </w:r>
          </w:p>
        </w:tc>
        <w:tc>
          <w:tcPr>
            <w:tcW w:type="dxa" w:w="1200"/>
            <w:shd w:fill="F2F2F2" w:val="clear"/>
            <w:vAlign w:val="center"/>
          </w:tcPr>
          <w:p>
            <w:r>
              <w:rPr>
                <w:b w:val="false"/>
                <w:bCs w:val="false"/>
                <w:sz w:val="18"/>
                <w:szCs w:val="18"/>
              </w:rPr>
              <w:t xml:space="preserve">Not Applicable</w:t>
            </w:r>
          </w:p>
        </w:tc>
        <w:tc>
          <w:tcPr>
            <w:tcW w:type="dxa" w:w="1900"/>
            <w:shd w:fill="F2F2F2" w:val="clear"/>
            <w:vAlign w:val="center"/>
          </w:tcPr>
          <w:p>
            <w:r>
              <w:rPr>
                <w:b w:val="false"/>
                <w:bCs w:val="false"/>
                <w:sz w:val="18"/>
                <w:szCs w:val="18"/>
              </w:rPr>
              <w:t xml:space="preserve">Direct measurement</w:t>
            </w:r>
          </w:p>
        </w:tc>
        <w:tc>
          <w:tcPr>
            <w:tcW w:type="dxa" w:w="1360"/>
            <w:shd w:fill="F2F2F2" w:val="clear"/>
            <w:vAlign w:val="center"/>
          </w:tcPr>
          <w:p>
            <w:r>
              <w:rPr>
                <w:b w:val="false"/>
                <w:bCs w:val="false"/>
                <w:sz w:val="18"/>
                <w:szCs w:val="18"/>
              </w:rPr>
              <w:t xml:space="preserve">Not yet produced; 0% assigned</w:t>
            </w:r>
          </w:p>
        </w:tc>
        <w:tc>
          <w:tcPr>
            <w:tcW w:type="dxa" w:w="1300"/>
            <w:shd w:fill="F2F2F2" w:val="clear"/>
            <w:vAlign w:val="center"/>
          </w:tcPr>
          <w:p>
            <w:r>
              <w:rPr>
                <w:b w:val="false"/>
                <w:bCs w:val="false"/>
                <w:sz w:val="18"/>
                <w:szCs w:val="18"/>
              </w:rPr>
              <w:t xml:space="preserve">Precondition for accountable execution of every other verification activity</w:t>
            </w:r>
          </w:p>
        </w:tc>
      </w:tr>
    </w:tbl>
    <w:p>
      <w:pPr>
        <w:pStyle w:val="Heading2"/>
        <w:spacing w:after="120" w:before="240"/>
      </w:pPr>
      <w:r>
        <w:t xml:space="preserve">10.8.7 — Verification Risk Dashboard</w:t>
      </w:r>
    </w:p>
    <w:p>
      <w:pPr>
        <w:spacing w:after="160"/>
      </w:pPr>
      <w:r>
        <w:rPr>
          <w:b w:val="false"/>
          <w:bCs w:val="false"/>
          <w:i/>
          <w:iCs/>
        </w:rPr>
        <w:t xml:space="preserve">Source: Section 8 (Enterprise Risk-Control Matrix), scope-limited to Portfolios 1, 2, 8 and Waves 1–3. Reused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000"/>
        <w:gridCol w:w="1900"/>
        <w:gridCol w:w="1660"/>
      </w:tblGrid>
      <w:tr>
        <w:trPr>
          <w:tblHeader/>
        </w:trPr>
        <w:tc>
          <w:tcPr>
            <w:tcW w:type="dxa" w:w="2300"/>
            <w:shd w:fill="1F3864" w:val="clear"/>
            <w:vAlign w:val="center"/>
          </w:tcPr>
          <w:p>
            <w:r>
              <w:rPr>
                <w:b/>
                <w:bCs/>
                <w:color w:val="FFFFFF"/>
                <w:sz w:val="18"/>
                <w:szCs w:val="18"/>
              </w:rPr>
              <w:t xml:space="preserve">Verification Risk</w:t>
            </w:r>
          </w:p>
        </w:tc>
        <w:tc>
          <w:tcPr>
            <w:tcW w:type="dxa" w:w="1500"/>
            <w:shd w:fill="1F3864" w:val="clear"/>
            <w:vAlign w:val="center"/>
          </w:tcPr>
          <w:p>
            <w:r>
              <w:rPr>
                <w:b/>
                <w:bCs/>
                <w:color w:val="FFFFFF"/>
                <w:sz w:val="18"/>
                <w:szCs w:val="18"/>
              </w:rPr>
              <w:t xml:space="preserve">Affected Domain</w:t>
            </w:r>
          </w:p>
        </w:tc>
        <w:tc>
          <w:tcPr>
            <w:tcW w:type="dxa" w:w="2000"/>
            <w:shd w:fill="1F3864" w:val="clear"/>
            <w:vAlign w:val="center"/>
          </w:tcPr>
          <w:p>
            <w:r>
              <w:rPr>
                <w:b/>
                <w:bCs/>
                <w:color w:val="FFFFFF"/>
                <w:sz w:val="18"/>
                <w:szCs w:val="18"/>
              </w:rPr>
              <w:t xml:space="preserve">Existing Mitigation</w:t>
            </w:r>
          </w:p>
        </w:tc>
        <w:tc>
          <w:tcPr>
            <w:tcW w:type="dxa" w:w="1900"/>
            <w:shd w:fill="1F3864" w:val="clear"/>
            <w:vAlign w:val="center"/>
          </w:tcPr>
          <w:p>
            <w:r>
              <w:rPr>
                <w:b/>
                <w:bCs/>
                <w:color w:val="FFFFFF"/>
                <w:sz w:val="18"/>
                <w:szCs w:val="18"/>
              </w:rPr>
              <w:t xml:space="preserve">Remaining Condition</w:t>
            </w:r>
          </w:p>
        </w:tc>
        <w:tc>
          <w:tcPr>
            <w:tcW w:type="dxa" w:w="1660"/>
            <w:shd w:fill="1F3864" w:val="clear"/>
            <w:vAlign w:val="center"/>
          </w:tcPr>
          <w:p>
            <w:r>
              <w:rPr>
                <w:b/>
                <w:bCs/>
                <w:color w:val="FFFFFF"/>
                <w:sz w:val="18"/>
                <w:szCs w:val="18"/>
              </w:rPr>
              <w:t xml:space="preserve">Executive Assessment</w:t>
            </w:r>
          </w:p>
        </w:tc>
      </w:tr>
      <w:tr>
        <w:tc>
          <w:tcPr>
            <w:tcW w:type="dxa" w:w="2300"/>
            <w:vAlign w:val="center"/>
          </w:tcPr>
          <w:p>
            <w:r>
              <w:rPr>
                <w:b w:val="false"/>
                <w:bCs w:val="false"/>
                <w:sz w:val="18"/>
                <w:szCs w:val="18"/>
              </w:rPr>
              <w:t xml:space="preserve">No verification evidence yet produced for any of the six Work Packages</w:t>
            </w:r>
          </w:p>
        </w:tc>
        <w:tc>
          <w:tcPr>
            <w:tcW w:type="dxa" w:w="1500"/>
            <w:vAlign w:val="center"/>
          </w:tcPr>
          <w:p>
            <w:r>
              <w:rPr>
                <w:b w:val="false"/>
                <w:bCs w:val="false"/>
                <w:sz w:val="18"/>
                <w:szCs w:val="18"/>
              </w:rPr>
              <w:t xml:space="preserve">Work Package Verification (all)</w:t>
            </w:r>
          </w:p>
        </w:tc>
        <w:tc>
          <w:tcPr>
            <w:tcW w:type="dxa" w:w="2000"/>
            <w:vAlign w:val="center"/>
          </w:tcPr>
          <w:p>
            <w:r>
              <w:rPr>
                <w:b w:val="false"/>
                <w:bCs w:val="false"/>
                <w:sz w:val="18"/>
                <w:szCs w:val="18"/>
              </w:rPr>
              <w:t xml:space="preserve">All six verification methods are fully designed (Section 7)</w:t>
            </w:r>
          </w:p>
        </w:tc>
        <w:tc>
          <w:tcPr>
            <w:tcW w:type="dxa" w:w="1900"/>
            <w:vAlign w:val="center"/>
          </w:tcPr>
          <w:p>
            <w:r>
              <w:rPr>
                <w:b w:val="false"/>
                <w:bCs w:val="false"/>
                <w:sz w:val="18"/>
                <w:szCs w:val="18"/>
              </w:rPr>
              <w:t xml:space="preserve">Execution and evidence production outstanding for all six</w:t>
            </w:r>
          </w:p>
        </w:tc>
        <w:tc>
          <w:tcPr>
            <w:tcW w:type="dxa" w:w="1660"/>
            <w:vAlign w:val="center"/>
          </w:tcPr>
          <w:p>
            <w:r>
              <w:rPr>
                <w:b w:val="false"/>
                <w:bCs w:val="false"/>
                <w:sz w:val="18"/>
                <w:szCs w:val="18"/>
              </w:rPr>
              <w:t xml:space="preserve">Design-complete, execution-pending across the baseline</w:t>
            </w:r>
          </w:p>
        </w:tc>
      </w:tr>
      <w:tr>
        <w:tc>
          <w:tcPr>
            <w:tcW w:type="dxa" w:w="2300"/>
            <w:shd w:fill="F2F2F2" w:val="clear"/>
            <w:vAlign w:val="center"/>
          </w:tcPr>
          <w:p>
            <w:r>
              <w:rPr>
                <w:b w:val="false"/>
                <w:bCs w:val="false"/>
                <w:sz w:val="18"/>
                <w:szCs w:val="18"/>
              </w:rPr>
              <w:t xml:space="preserve">RLS coverage unverified beyond 2 tables (AR-0007)</w:t>
            </w:r>
          </w:p>
        </w:tc>
        <w:tc>
          <w:tcPr>
            <w:tcW w:type="dxa" w:w="1500"/>
            <w:shd w:fill="F2F2F2" w:val="clear"/>
            <w:vAlign w:val="center"/>
          </w:tcPr>
          <w:p>
            <w:r>
              <w:rPr>
                <w:b w:val="false"/>
                <w:bCs w:val="false"/>
                <w:sz w:val="18"/>
                <w:szCs w:val="18"/>
              </w:rPr>
              <w:t xml:space="preserve">Security Verification</w:t>
            </w:r>
          </w:p>
        </w:tc>
        <w:tc>
          <w:tcPr>
            <w:tcW w:type="dxa" w:w="2000"/>
            <w:shd w:fill="F2F2F2" w:val="clear"/>
            <w:vAlign w:val="center"/>
          </w:tcPr>
          <w:p>
            <w:r>
              <w:rPr>
                <w:b w:val="false"/>
                <w:bCs w:val="false"/>
                <w:sz w:val="18"/>
                <w:szCs w:val="18"/>
              </w:rPr>
              <w:t xml:space="preserve">WP-0002 method fully defined, sequenced Wave 1</w:t>
            </w:r>
          </w:p>
        </w:tc>
        <w:tc>
          <w:tcPr>
            <w:tcW w:type="dxa" w:w="1900"/>
            <w:shd w:fill="F2F2F2" w:val="clear"/>
            <w:vAlign w:val="center"/>
          </w:tcPr>
          <w:p>
            <w:r>
              <w:rPr>
                <w:b w:val="false"/>
                <w:bCs w:val="false"/>
                <w:sz w:val="18"/>
                <w:szCs w:val="18"/>
              </w:rPr>
              <w:t xml:space="preserve">Written confirmation across all student-owned tables outstanding</w:t>
            </w:r>
          </w:p>
        </w:tc>
        <w:tc>
          <w:tcPr>
            <w:tcW w:type="dxa" w:w="1660"/>
            <w:shd w:fill="F2F2F2" w:val="clear"/>
            <w:vAlign w:val="center"/>
          </w:tcPr>
          <w:p>
            <w:r>
              <w:rPr>
                <w:b w:val="false"/>
                <w:bCs w:val="false"/>
                <w:sz w:val="18"/>
                <w:szCs w:val="18"/>
              </w:rPr>
              <w:t xml:space="preserve">Critical-until-verified; the baseline's one open security unknown</w:t>
            </w:r>
          </w:p>
        </w:tc>
      </w:tr>
      <w:tr>
        <w:tc>
          <w:tcPr>
            <w:tcW w:type="dxa" w:w="2300"/>
            <w:vAlign w:val="center"/>
          </w:tcPr>
          <w:p>
            <w:r>
              <w:rPr>
                <w:b w:val="false"/>
                <w:bCs w:val="false"/>
                <w:sz w:val="18"/>
                <w:szCs w:val="18"/>
              </w:rPr>
              <w:t xml:space="preserve">Documentation-to-implementation drift unconfirmed (AR-0002)</w:t>
            </w:r>
          </w:p>
        </w:tc>
        <w:tc>
          <w:tcPr>
            <w:tcW w:type="dxa" w:w="1500"/>
            <w:vAlign w:val="center"/>
          </w:tcPr>
          <w:p>
            <w:r>
              <w:rPr>
                <w:b w:val="false"/>
                <w:bCs w:val="false"/>
                <w:sz w:val="18"/>
                <w:szCs w:val="18"/>
              </w:rPr>
              <w:t xml:space="preserve">Documentation Verification</w:t>
            </w:r>
          </w:p>
        </w:tc>
        <w:tc>
          <w:tcPr>
            <w:tcW w:type="dxa" w:w="2000"/>
            <w:vAlign w:val="center"/>
          </w:tcPr>
          <w:p>
            <w:r>
              <w:rPr>
                <w:b w:val="false"/>
                <w:bCs w:val="false"/>
                <w:sz w:val="18"/>
                <w:szCs w:val="18"/>
              </w:rPr>
              <w:t xml:space="preserve">WP-0001 method fully defined, sequenced Wave 2</w:t>
            </w:r>
          </w:p>
        </w:tc>
        <w:tc>
          <w:tcPr>
            <w:tcW w:type="dxa" w:w="1900"/>
            <w:vAlign w:val="center"/>
          </w:tcPr>
          <w:p>
            <w:r>
              <w:rPr>
                <w:b w:val="false"/>
                <w:bCs w:val="false"/>
                <w:sz w:val="18"/>
                <w:szCs w:val="18"/>
              </w:rPr>
              <w:t xml:space="preserve">Table-inventory diff not yet executed</w:t>
            </w:r>
          </w:p>
        </w:tc>
        <w:tc>
          <w:tcPr>
            <w:tcW w:type="dxa" w:w="1660"/>
            <w:vAlign w:val="center"/>
          </w:tcPr>
          <w:p>
            <w:r>
              <w:rPr>
                <w:b w:val="false"/>
                <w:bCs w:val="false"/>
                <w:sz w:val="18"/>
                <w:szCs w:val="18"/>
              </w:rPr>
              <w:t xml:space="preserve">Top-rated confirmed risk pending verification</w:t>
            </w:r>
          </w:p>
        </w:tc>
      </w:tr>
      <w:tr>
        <w:tc>
          <w:tcPr>
            <w:tcW w:type="dxa" w:w="2300"/>
            <w:shd w:fill="F2F2F2" w:val="clear"/>
            <w:vAlign w:val="center"/>
          </w:tcPr>
          <w:p>
            <w:r>
              <w:rPr>
                <w:b w:val="false"/>
                <w:bCs w:val="false"/>
                <w:sz w:val="18"/>
                <w:szCs w:val="18"/>
              </w:rPr>
              <w:t xml:space="preserve">No verification method executed for partitioning trigger (AR-0004)</w:t>
            </w:r>
          </w:p>
        </w:tc>
        <w:tc>
          <w:tcPr>
            <w:tcW w:type="dxa" w:w="1500"/>
            <w:shd w:fill="F2F2F2" w:val="clear"/>
            <w:vAlign w:val="center"/>
          </w:tcPr>
          <w:p>
            <w:r>
              <w:rPr>
                <w:b w:val="false"/>
                <w:bCs w:val="false"/>
                <w:sz w:val="18"/>
                <w:szCs w:val="18"/>
              </w:rPr>
              <w:t xml:space="preserve">Database Verification</w:t>
            </w:r>
          </w:p>
        </w:tc>
        <w:tc>
          <w:tcPr>
            <w:tcW w:type="dxa" w:w="2000"/>
            <w:shd w:fill="F2F2F2" w:val="clear"/>
            <w:vAlign w:val="center"/>
          </w:tcPr>
          <w:p>
            <w:r>
              <w:rPr>
                <w:b w:val="false"/>
                <w:bCs w:val="false"/>
                <w:sz w:val="18"/>
                <w:szCs w:val="18"/>
              </w:rPr>
              <w:t xml:space="preserve">WP-0003 method defined, trigger-gated</w:t>
            </w:r>
          </w:p>
        </w:tc>
        <w:tc>
          <w:tcPr>
            <w:tcW w:type="dxa" w:w="1900"/>
            <w:shd w:fill="F2F2F2" w:val="clear"/>
            <w:vAlign w:val="center"/>
          </w:tcPr>
          <w:p>
            <w:r>
              <w:rPr>
                <w:b w:val="false"/>
                <w:bCs w:val="false"/>
                <w:sz w:val="18"/>
                <w:szCs w:val="18"/>
              </w:rPr>
              <w:t xml:space="preserve">Growth/volume data not yet gathered</w:t>
            </w:r>
          </w:p>
        </w:tc>
        <w:tc>
          <w:tcPr>
            <w:tcW w:type="dxa" w:w="1660"/>
            <w:shd w:fill="F2F2F2" w:val="clear"/>
            <w:vAlign w:val="center"/>
          </w:tcPr>
          <w:p>
            <w:r>
              <w:rPr>
                <w:b w:val="false"/>
                <w:bCs w:val="false"/>
                <w:sz w:val="18"/>
                <w:szCs w:val="18"/>
              </w:rPr>
              <w:t xml:space="preserve">Medium, growing; not immediate</w:t>
            </w:r>
          </w:p>
        </w:tc>
      </w:tr>
      <w:tr>
        <w:tc>
          <w:tcPr>
            <w:tcW w:type="dxa" w:w="2300"/>
            <w:vAlign w:val="center"/>
          </w:tcPr>
          <w:p>
            <w:r>
              <w:rPr>
                <w:b w:val="false"/>
                <w:bCs w:val="false"/>
                <w:sz w:val="18"/>
                <w:szCs w:val="18"/>
              </w:rPr>
              <w:t xml:space="preserve">Zero named, accountable verification owners (KPI-08 = 0%)</w:t>
            </w:r>
          </w:p>
        </w:tc>
        <w:tc>
          <w:tcPr>
            <w:tcW w:type="dxa" w:w="1500"/>
            <w:vAlign w:val="center"/>
          </w:tcPr>
          <w:p>
            <w:r>
              <w:rPr>
                <w:b w:val="false"/>
                <w:bCs w:val="false"/>
                <w:sz w:val="18"/>
                <w:szCs w:val="18"/>
              </w:rPr>
              <w:t xml:space="preserve">Verification Governance (all domains)</w:t>
            </w:r>
          </w:p>
        </w:tc>
        <w:tc>
          <w:tcPr>
            <w:tcW w:type="dxa" w:w="2000"/>
            <w:vAlign w:val="center"/>
          </w:tcPr>
          <w:p>
            <w:r>
              <w:rPr>
                <w:b w:val="false"/>
                <w:bCs w:val="false"/>
                <w:sz w:val="18"/>
                <w:szCs w:val="18"/>
              </w:rPr>
              <w:t xml:space="preserve">WP-0006 scoped, sequenced Wave 1, critical priority</w:t>
            </w:r>
          </w:p>
        </w:tc>
        <w:tc>
          <w:tcPr>
            <w:tcW w:type="dxa" w:w="1900"/>
            <w:vAlign w:val="center"/>
          </w:tcPr>
          <w:p>
            <w:r>
              <w:rPr>
                <w:b w:val="false"/>
                <w:bCs w:val="false"/>
                <w:sz w:val="18"/>
                <w:szCs w:val="18"/>
              </w:rPr>
              <w:t xml:space="preserve">No owner yet assigned</w:t>
            </w:r>
          </w:p>
        </w:tc>
        <w:tc>
          <w:tcPr>
            <w:tcW w:type="dxa" w:w="1660"/>
            <w:vAlign w:val="center"/>
          </w:tcPr>
          <w:p>
            <w:r>
              <w:rPr>
                <w:b w:val="false"/>
                <w:bCs w:val="false"/>
                <w:sz w:val="18"/>
                <w:szCs w:val="18"/>
              </w:rPr>
              <w:t xml:space="preserve">Blocks accountable execution of every verification method; structural precondition risk</w:t>
            </w:r>
          </w:p>
        </w:tc>
      </w:tr>
    </w:tbl>
    <w:p>
      <w:pPr>
        <w:spacing w:after="160"/>
      </w:pPr>
      <w:r>
        <w:rPr>
          <w:b w:val="false"/>
          <w:bCs w:val="false"/>
          <w:i/>
          <w:iCs/>
        </w:rPr>
        <w:t xml:space="preserve">Consistent with Section 8's scope, verification risk authority over Portfolios 3–7 and Waves 4–5 is Reserved for Future Realization Phases.</w:t>
      </w:r>
    </w:p>
    <w:p>
      <w:pPr>
        <w:pStyle w:val="Heading2"/>
        <w:spacing w:after="120" w:before="240"/>
      </w:pPr>
      <w:r>
        <w:t xml:space="preserve">10.8.8 — Executive Verification Decision Matrix</w:t>
      </w:r>
    </w:p>
    <w:p>
      <w:pPr>
        <w:spacing w:after="160"/>
      </w:pPr>
      <w:r>
        <w:rPr>
          <w:b w:val="false"/>
          <w:bCs w:val="false"/>
          <w:i/>
          <w:iCs/>
        </w:rPr>
        <w:t xml:space="preserve">Source: Sections 7–9 and 10.1–10.7, consolidated. Reused verbatim; no new governance outcome is asserted.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1560"/>
        <w:gridCol w:w="1500"/>
        <w:gridCol w:w="1300"/>
      </w:tblGrid>
      <w:tr>
        <w:trPr>
          <w:tblHeader/>
        </w:trPr>
        <w:tc>
          <w:tcPr>
            <w:tcW w:type="dxa" w:w="1500"/>
            <w:shd w:fill="1F3864" w:val="clear"/>
            <w:vAlign w:val="center"/>
          </w:tcPr>
          <w:p>
            <w:r>
              <w:rPr>
                <w:b/>
                <w:bCs/>
                <w:color w:val="FFFFFF"/>
                <w:sz w:val="18"/>
                <w:szCs w:val="18"/>
              </w:rPr>
              <w:t xml:space="preserve">Verification Domain</w:t>
            </w:r>
          </w:p>
        </w:tc>
        <w:tc>
          <w:tcPr>
            <w:tcW w:type="dxa" w:w="2000"/>
            <w:shd w:fill="1F3864" w:val="clear"/>
            <w:vAlign w:val="center"/>
          </w:tcPr>
          <w:p>
            <w:r>
              <w:rPr>
                <w:b/>
                <w:bCs/>
                <w:color w:val="FFFFFF"/>
                <w:sz w:val="18"/>
                <w:szCs w:val="18"/>
              </w:rPr>
              <w:t xml:space="preserve">Executive Decision</w:t>
            </w:r>
          </w:p>
        </w:tc>
        <w:tc>
          <w:tcPr>
            <w:tcW w:type="dxa" w:w="1500"/>
            <w:shd w:fill="1F3864" w:val="clear"/>
            <w:vAlign w:val="center"/>
          </w:tcPr>
          <w:p>
            <w:r>
              <w:rPr>
                <w:b/>
                <w:bCs/>
                <w:color w:val="FFFFFF"/>
                <w:sz w:val="18"/>
                <w:szCs w:val="18"/>
              </w:rPr>
              <w:t xml:space="preserve">Supporting Evidence</w:t>
            </w:r>
          </w:p>
        </w:tc>
        <w:tc>
          <w:tcPr>
            <w:tcW w:type="dxa" w:w="1560"/>
            <w:shd w:fill="1F3864" w:val="clear"/>
            <w:vAlign w:val="center"/>
          </w:tcPr>
          <w:p>
            <w:r>
              <w:rPr>
                <w:b/>
                <w:bCs/>
                <w:color w:val="FFFFFF"/>
                <w:sz w:val="18"/>
                <w:szCs w:val="18"/>
              </w:rPr>
              <w:t xml:space="preserve">Blocking Conditions</w:t>
            </w:r>
          </w:p>
        </w:tc>
        <w:tc>
          <w:tcPr>
            <w:tcW w:type="dxa" w:w="1500"/>
            <w:shd w:fill="1F3864" w:val="clear"/>
            <w:vAlign w:val="center"/>
          </w:tcPr>
          <w:p>
            <w:r>
              <w:rPr>
                <w:b/>
                <w:bCs/>
                <w:color w:val="FFFFFF"/>
                <w:sz w:val="18"/>
                <w:szCs w:val="18"/>
              </w:rPr>
              <w:t xml:space="preserve">Immediate Next Approved Action</w:t>
            </w:r>
          </w:p>
        </w:tc>
        <w:tc>
          <w:tcPr>
            <w:tcW w:type="dxa" w:w="1300"/>
            <w:shd w:fill="1F3864" w:val="clear"/>
            <w:vAlign w:val="center"/>
          </w:tcPr>
          <w:p>
            <w:r>
              <w:rPr>
                <w:b/>
                <w:bCs/>
                <w:color w:val="FFFFFF"/>
                <w:sz w:val="18"/>
                <w:szCs w:val="18"/>
              </w:rPr>
              <w:t xml:space="preserve">Executive Recommendation</w:t>
            </w:r>
          </w:p>
        </w:tc>
      </w:tr>
      <w:tr>
        <w:tc>
          <w:tcPr>
            <w:tcW w:type="dxa" w:w="1500"/>
            <w:vAlign w:val="center"/>
          </w:tcPr>
          <w:p>
            <w:r>
              <w:rPr>
                <w:b w:val="false"/>
                <w:bCs w:val="false"/>
                <w:sz w:val="18"/>
                <w:szCs w:val="18"/>
              </w:rPr>
              <w:t xml:space="preserve">Security Verification</w:t>
            </w:r>
          </w:p>
        </w:tc>
        <w:tc>
          <w:tcPr>
            <w:tcW w:type="dxa" w:w="2000"/>
            <w:vAlign w:val="center"/>
          </w:tcPr>
          <w:p>
            <w:r>
              <w:rPr>
                <w:b w:val="false"/>
                <w:bCs w:val="false"/>
                <w:sz w:val="18"/>
                <w:szCs w:val="18"/>
              </w:rPr>
              <w:t xml:space="preserve">Execute WP-0002 as the immediate verification priority</w:t>
            </w:r>
          </w:p>
        </w:tc>
        <w:tc>
          <w:tcPr>
            <w:tcW w:type="dxa" w:w="1500"/>
            <w:vAlign w:val="center"/>
          </w:tcPr>
          <w:p>
            <w:r>
              <w:rPr>
                <w:b w:val="false"/>
                <w:bCs w:val="false"/>
                <w:sz w:val="18"/>
                <w:szCs w:val="18"/>
              </w:rPr>
              <w:t xml:space="preserve">Section 7 §WP-0002; Section 10.7.7</w:t>
            </w:r>
          </w:p>
        </w:tc>
        <w:tc>
          <w:tcPr>
            <w:tcW w:type="dxa" w:w="1560"/>
            <w:vAlign w:val="center"/>
          </w:tcPr>
          <w:p>
            <w:r>
              <w:rPr>
                <w:b w:val="false"/>
                <w:bCs w:val="false"/>
                <w:sz w:val="18"/>
                <w:szCs w:val="18"/>
              </w:rPr>
              <w:t xml:space="preserve">None — startable now</w:t>
            </w:r>
          </w:p>
        </w:tc>
        <w:tc>
          <w:tcPr>
            <w:tcW w:type="dxa" w:w="1500"/>
            <w:vAlign w:val="center"/>
          </w:tcPr>
          <w:p>
            <w:r>
              <w:rPr>
                <w:b w:val="false"/>
                <w:bCs w:val="false"/>
                <w:sz w:val="18"/>
                <w:szCs w:val="18"/>
              </w:rPr>
              <w:t xml:space="preserve">Produce per-table RLS coverage ledger</w:t>
            </w:r>
          </w:p>
        </w:tc>
        <w:tc>
          <w:tcPr>
            <w:tcW w:type="dxa" w:w="1300"/>
            <w:vAlign w:val="center"/>
          </w:tcPr>
          <w:p>
            <w:r>
              <w:rPr>
                <w:b w:val="false"/>
                <w:bCs w:val="false"/>
                <w:sz w:val="18"/>
                <w:szCs w:val="18"/>
              </w:rPr>
              <w:t xml:space="preserve">Approve immediate execution; adopt as standing template</w:t>
            </w:r>
          </w:p>
        </w:tc>
      </w:tr>
      <w:tr>
        <w:tc>
          <w:tcPr>
            <w:tcW w:type="dxa" w:w="1500"/>
            <w:shd w:fill="F2F2F2" w:val="clear"/>
            <w:vAlign w:val="center"/>
          </w:tcPr>
          <w:p>
            <w:r>
              <w:rPr>
                <w:b w:val="false"/>
                <w:bCs w:val="false"/>
                <w:sz w:val="18"/>
                <w:szCs w:val="18"/>
              </w:rPr>
              <w:t xml:space="preserve">Documentation Verification</w:t>
            </w:r>
          </w:p>
        </w:tc>
        <w:tc>
          <w:tcPr>
            <w:tcW w:type="dxa" w:w="2000"/>
            <w:shd w:fill="F2F2F2" w:val="clear"/>
            <w:vAlign w:val="center"/>
          </w:tcPr>
          <w:p>
            <w:r>
              <w:rPr>
                <w:b w:val="false"/>
                <w:bCs w:val="false"/>
                <w:sz w:val="18"/>
                <w:szCs w:val="18"/>
              </w:rPr>
              <w:t xml:space="preserve">Execute WP-0001 following or alongside WP-0006</w:t>
            </w:r>
          </w:p>
        </w:tc>
        <w:tc>
          <w:tcPr>
            <w:tcW w:type="dxa" w:w="1500"/>
            <w:shd w:fill="F2F2F2" w:val="clear"/>
            <w:vAlign w:val="center"/>
          </w:tcPr>
          <w:p>
            <w:r>
              <w:rPr>
                <w:b w:val="false"/>
                <w:bCs w:val="false"/>
                <w:sz w:val="18"/>
                <w:szCs w:val="18"/>
              </w:rPr>
              <w:t xml:space="preserve">Section 7 §WP-0001; Section 10.7.8</w:t>
            </w:r>
          </w:p>
        </w:tc>
        <w:tc>
          <w:tcPr>
            <w:tcW w:type="dxa" w:w="1560"/>
            <w:shd w:fill="F2F2F2" w:val="clear"/>
            <w:vAlign w:val="center"/>
          </w:tcPr>
          <w:p>
            <w:r>
              <w:rPr>
                <w:b w:val="false"/>
                <w:bCs w:val="false"/>
                <w:sz w:val="18"/>
                <w:szCs w:val="18"/>
              </w:rPr>
              <w:t xml:space="preserve">None — startable now</w:t>
            </w:r>
          </w:p>
        </w:tc>
        <w:tc>
          <w:tcPr>
            <w:tcW w:type="dxa" w:w="1500"/>
            <w:shd w:fill="F2F2F2" w:val="clear"/>
            <w:vAlign w:val="center"/>
          </w:tcPr>
          <w:p>
            <w:r>
              <w:rPr>
                <w:b w:val="false"/>
                <w:bCs w:val="false"/>
                <w:sz w:val="18"/>
                <w:szCs w:val="18"/>
              </w:rPr>
              <w:t xml:space="preserve">Produce zero-discrepancy table-inventory diff</w:t>
            </w:r>
          </w:p>
        </w:tc>
        <w:tc>
          <w:tcPr>
            <w:tcW w:type="dxa" w:w="1300"/>
            <w:shd w:fill="F2F2F2" w:val="clear"/>
            <w:vAlign w:val="center"/>
          </w:tcPr>
          <w:p>
            <w:r>
              <w:rPr>
                <w:b w:val="false"/>
                <w:bCs w:val="false"/>
                <w:sz w:val="18"/>
                <w:szCs w:val="18"/>
              </w:rPr>
              <w:t xml:space="preserve">Approve immediate execution</w:t>
            </w:r>
          </w:p>
        </w:tc>
      </w:tr>
      <w:tr>
        <w:tc>
          <w:tcPr>
            <w:tcW w:type="dxa" w:w="1500"/>
            <w:vAlign w:val="center"/>
          </w:tcPr>
          <w:p>
            <w:r>
              <w:rPr>
                <w:b w:val="false"/>
                <w:bCs w:val="false"/>
                <w:sz w:val="18"/>
                <w:szCs w:val="18"/>
              </w:rPr>
              <w:t xml:space="preserve">Database Verification</w:t>
            </w:r>
          </w:p>
        </w:tc>
        <w:tc>
          <w:tcPr>
            <w:tcW w:type="dxa" w:w="2000"/>
            <w:vAlign w:val="center"/>
          </w:tcPr>
          <w:p>
            <w:r>
              <w:rPr>
                <w:b w:val="false"/>
                <w:bCs w:val="false"/>
                <w:sz w:val="18"/>
                <w:szCs w:val="18"/>
              </w:rPr>
              <w:t xml:space="preserve">Defer WP-0003 execution pending trigger data; proceed with WP-0004 as scheduled</w:t>
            </w:r>
          </w:p>
        </w:tc>
        <w:tc>
          <w:tcPr>
            <w:tcW w:type="dxa" w:w="1500"/>
            <w:vAlign w:val="center"/>
          </w:tcPr>
          <w:p>
            <w:r>
              <w:rPr>
                <w:b w:val="false"/>
                <w:bCs w:val="false"/>
                <w:sz w:val="18"/>
                <w:szCs w:val="18"/>
              </w:rPr>
              <w:t xml:space="preserve">Section 7 §§WP-0003–WP-0004</w:t>
            </w:r>
          </w:p>
        </w:tc>
        <w:tc>
          <w:tcPr>
            <w:tcW w:type="dxa" w:w="1560"/>
            <w:vAlign w:val="center"/>
          </w:tcPr>
          <w:p>
            <w:r>
              <w:rPr>
                <w:b w:val="false"/>
                <w:bCs w:val="false"/>
                <w:sz w:val="18"/>
                <w:szCs w:val="18"/>
              </w:rPr>
              <w:t xml:space="preserve">WP-0003 gated on growth/volume data not yet gathered</w:t>
            </w:r>
          </w:p>
        </w:tc>
        <w:tc>
          <w:tcPr>
            <w:tcW w:type="dxa" w:w="1500"/>
            <w:vAlign w:val="center"/>
          </w:tcPr>
          <w:p>
            <w:r>
              <w:rPr>
                <w:b w:val="false"/>
                <w:bCs w:val="false"/>
                <w:sz w:val="18"/>
                <w:szCs w:val="18"/>
              </w:rPr>
              <w:t xml:space="preserve">Begin WP-0004 per-release check design rollout</w:t>
            </w:r>
          </w:p>
        </w:tc>
        <w:tc>
          <w:tcPr>
            <w:tcW w:type="dxa" w:w="1300"/>
            <w:vAlign w:val="center"/>
          </w:tcPr>
          <w:p>
            <w:r>
              <w:rPr>
                <w:b w:val="false"/>
                <w:bCs w:val="false"/>
                <w:sz w:val="18"/>
                <w:szCs w:val="18"/>
              </w:rPr>
              <w:t xml:space="preserve">Approve WP-0004 now; monitor WP-0003 trigger quarterly</w:t>
            </w:r>
          </w:p>
        </w:tc>
      </w:tr>
      <w:tr>
        <w:tc>
          <w:tcPr>
            <w:tcW w:type="dxa" w:w="1500"/>
            <w:shd w:fill="F2F2F2" w:val="clear"/>
            <w:vAlign w:val="center"/>
          </w:tcPr>
          <w:p>
            <w:r>
              <w:rPr>
                <w:b w:val="false"/>
                <w:bCs w:val="false"/>
                <w:sz w:val="18"/>
                <w:szCs w:val="18"/>
              </w:rPr>
              <w:t xml:space="preserve">Verification Governance</w:t>
            </w:r>
          </w:p>
        </w:tc>
        <w:tc>
          <w:tcPr>
            <w:tcW w:type="dxa" w:w="2000"/>
            <w:shd w:fill="F2F2F2" w:val="clear"/>
            <w:vAlign w:val="center"/>
          </w:tcPr>
          <w:p>
            <w:r>
              <w:rPr>
                <w:b w:val="false"/>
                <w:bCs w:val="false"/>
                <w:sz w:val="18"/>
                <w:szCs w:val="18"/>
              </w:rPr>
              <w:t xml:space="preserve">Prioritize WP-0006 (ownership assignment) as a parallel, non-blocking precondition</w:t>
            </w:r>
          </w:p>
        </w:tc>
        <w:tc>
          <w:tcPr>
            <w:tcW w:type="dxa" w:w="1500"/>
            <w:shd w:fill="F2F2F2" w:val="clear"/>
            <w:vAlign w:val="center"/>
          </w:tcPr>
          <w:p>
            <w:r>
              <w:rPr>
                <w:b w:val="false"/>
                <w:bCs w:val="false"/>
                <w:sz w:val="18"/>
                <w:szCs w:val="18"/>
              </w:rPr>
              <w:t xml:space="preserve">Section 7 §WP-0006; Phase A.2 §12</w:t>
            </w:r>
          </w:p>
        </w:tc>
        <w:tc>
          <w:tcPr>
            <w:tcW w:type="dxa" w:w="1560"/>
            <w:shd w:fill="F2F2F2" w:val="clear"/>
            <w:vAlign w:val="center"/>
          </w:tcPr>
          <w:p>
            <w:r>
              <w:rPr>
                <w:b w:val="false"/>
                <w:bCs w:val="false"/>
                <w:sz w:val="18"/>
                <w:szCs w:val="18"/>
              </w:rPr>
              <w:t xml:space="preserve">KPI-08 = 0%</w:t>
            </w:r>
          </w:p>
        </w:tc>
        <w:tc>
          <w:tcPr>
            <w:tcW w:type="dxa" w:w="1500"/>
            <w:shd w:fill="F2F2F2" w:val="clear"/>
            <w:vAlign w:val="center"/>
          </w:tcPr>
          <w:p>
            <w:r>
              <w:rPr>
                <w:b w:val="false"/>
                <w:bCs w:val="false"/>
                <w:sz w:val="18"/>
                <w:szCs w:val="18"/>
              </w:rPr>
              <w:t xml:space="preserve">Assign named owners to all five roles identified in Phase B §9</w:t>
            </w:r>
          </w:p>
        </w:tc>
        <w:tc>
          <w:tcPr>
            <w:tcW w:type="dxa" w:w="1300"/>
            <w:shd w:fill="F2F2F2" w:val="clear"/>
            <w:vAlign w:val="center"/>
          </w:tcPr>
          <w:p>
            <w:r>
              <w:rPr>
                <w:b w:val="false"/>
                <w:bCs w:val="false"/>
                <w:sz w:val="18"/>
                <w:szCs w:val="18"/>
              </w:rPr>
              <w:t xml:space="preserve">Approve WP-0006 as an immediate, parallel-track action</w:t>
            </w:r>
          </w:p>
        </w:tc>
      </w:tr>
      <w:tr>
        <w:tc>
          <w:tcPr>
            <w:tcW w:type="dxa" w:w="1500"/>
            <w:vAlign w:val="center"/>
          </w:tcPr>
          <w:p>
            <w:r>
              <w:rPr>
                <w:b w:val="false"/>
                <w:bCs w:val="false"/>
                <w:sz w:val="18"/>
                <w:szCs w:val="18"/>
              </w:rPr>
              <w:t xml:space="preserve">Acceptance / Coverage</w:t>
            </w:r>
          </w:p>
        </w:tc>
        <w:tc>
          <w:tcPr>
            <w:tcW w:type="dxa" w:w="2000"/>
            <w:vAlign w:val="center"/>
          </w:tcPr>
          <w:p>
            <w:r>
              <w:rPr>
                <w:b w:val="false"/>
                <w:bCs w:val="false"/>
                <w:sz w:val="18"/>
                <w:szCs w:val="18"/>
              </w:rPr>
              <w:t xml:space="preserve">Accept Section 9's READY WITH CONDITIONS determination as sufficient to proceed</w:t>
            </w:r>
          </w:p>
        </w:tc>
        <w:tc>
          <w:tcPr>
            <w:tcW w:type="dxa" w:w="1500"/>
            <w:vAlign w:val="center"/>
          </w:tcPr>
          <w:p>
            <w:r>
              <w:rPr>
                <w:b w:val="false"/>
                <w:bCs w:val="false"/>
                <w:sz w:val="18"/>
                <w:szCs w:val="18"/>
              </w:rPr>
              <w:t xml:space="preserve">Section 9; Section 10.8.4</w:t>
            </w:r>
          </w:p>
        </w:tc>
        <w:tc>
          <w:tcPr>
            <w:tcW w:type="dxa" w:w="1560"/>
            <w:vAlign w:val="center"/>
          </w:tcPr>
          <w:p>
            <w:r>
              <w:rPr>
                <w:b w:val="false"/>
                <w:bCs w:val="false"/>
                <w:sz w:val="18"/>
                <w:szCs w:val="18"/>
              </w:rPr>
              <w:t xml:space="preserve">Conditions trace to ownership, not verification-method design gaps</w:t>
            </w:r>
          </w:p>
        </w:tc>
        <w:tc>
          <w:tcPr>
            <w:tcW w:type="dxa" w:w="1500"/>
            <w:vAlign w:val="center"/>
          </w:tcPr>
          <w:p>
            <w:r>
              <w:rPr>
                <w:b w:val="false"/>
                <w:bCs w:val="false"/>
                <w:sz w:val="18"/>
                <w:szCs w:val="18"/>
              </w:rPr>
              <w:t xml:space="preserve">Maintain current verification method set; no redesign</w:t>
            </w:r>
          </w:p>
        </w:tc>
        <w:tc>
          <w:tcPr>
            <w:tcW w:type="dxa" w:w="1300"/>
            <w:vAlign w:val="center"/>
          </w:tcPr>
          <w:p>
            <w:r>
              <w:rPr>
                <w:b w:val="false"/>
                <w:bCs w:val="false"/>
                <w:sz w:val="18"/>
                <w:szCs w:val="18"/>
              </w:rPr>
              <w:t xml:space="preserve">Approve conditional readiness; do not treat as a blocker to Wave 1</w:t>
            </w:r>
          </w:p>
        </w:tc>
      </w:tr>
    </w:tbl>
    <w:p>
      <w:pPr>
        <w:pStyle w:val="Heading2"/>
        <w:spacing w:after="120" w:before="240"/>
      </w:pPr>
      <w:r>
        <w:t xml:space="preserve">10.8.9 — Executive Summary</w:t>
      </w:r>
    </w:p>
    <w:p>
      <w:pPr>
        <w:pStyle w:val="Heading3"/>
        <w:spacing w:after="100" w:before="200"/>
      </w:pPr>
      <w:r>
        <w:t xml:space="preserve">Overall Verification Posture</w:t>
      </w:r>
    </w:p>
    <w:p>
      <w:pPr>
        <w:spacing w:after="160"/>
      </w:pPr>
      <w:r>
        <w:rPr>
          <w:b w:val="false"/>
          <w:bCs w:val="false"/>
          <w:i w:val="false"/>
          <w:iCs w:val="false"/>
        </w:rPr>
        <w:t xml:space="preserve">Every approved Work Package (WP-0001–WP-0006) carries a fully defined verification objective, method, and evidence requirement (Section 7). No Work Package lacks a verification path. Execution and evidence production remain outstanding for all six; one (WP-0002) is ready to execute immediately and has been adopted as the standing verification template for the remainder of the baseline.</w:t>
      </w:r>
    </w:p>
    <w:p>
      <w:pPr>
        <w:pStyle w:val="Heading3"/>
        <w:spacing w:after="100" w:before="200"/>
      </w:pPr>
      <w:r>
        <w:t xml:space="preserve">Verification Coverage</w:t>
      </w:r>
    </w:p>
    <w:p>
      <w:pPr>
        <w:spacing w:after="160"/>
      </w:pPr>
      <w:r>
        <w:rPr>
          <w:b w:val="false"/>
          <w:bCs w:val="false"/>
          <w:i w:val="false"/>
          <w:iCs w:val="false"/>
        </w:rPr>
        <w:t xml:space="preserve">All 10 Architecture Requirements, all 9 Enterprise Governance Decisions, all 10 Enterprise Resolutions, and all 4 Variances carry a defined verification path or an explicit Not Applicable / standing designation. Coverage is complete at the design level across Portfolios 1, 2, and 8 and Waves 1–3; Portfolios 3–7 and Waves 4–5 remain Reserved for Future Realization Phases.</w:t>
      </w:r>
    </w:p>
    <w:p>
      <w:pPr>
        <w:pStyle w:val="Heading3"/>
        <w:spacing w:after="100" w:before="200"/>
      </w:pPr>
      <w:r>
        <w:t xml:space="preserve">Verification Governance</w:t>
      </w:r>
    </w:p>
    <w:p>
      <w:pPr>
        <w:spacing w:after="160"/>
      </w:pPr>
      <w:r>
        <w:rPr>
          <w:b w:val="false"/>
          <w:bCs w:val="false"/>
          <w:i w:val="false"/>
          <w:iCs w:val="false"/>
        </w:rPr>
        <w:t xml:space="preserve">Verification methods are fully governed at the design level — every method traces to a specific AR and EGD. Operational governance — named ownership, accountable execution, and standing oversight by the target-state Enterprise Architecture Board and Executive Steering Committee — is Not Evidenced in Current Baseline, pending WP-0006.</w:t>
      </w:r>
    </w:p>
    <w:p>
      <w:pPr>
        <w:pStyle w:val="Heading3"/>
        <w:spacing w:after="100" w:before="200"/>
      </w:pPr>
      <w:r>
        <w:t xml:space="preserve">Verification Traceability</w:t>
      </w:r>
    </w:p>
    <w:p>
      <w:pPr>
        <w:spacing w:after="160"/>
      </w:pPr>
      <w:r>
        <w:rPr>
          <w:b w:val="false"/>
          <w:bCs w:val="false"/>
          <w:i w:val="false"/>
          <w:iCs w:val="false"/>
        </w:rPr>
        <w:t xml:space="preserve">Traceability from Architecture Requirement to verification method is complete for all 10 ARs (Section 10.7.6; Section 7 §§A–B per WP). No verification method has been defined, or would need to be defined, outside an already-dispositioned EGD.</w:t>
      </w:r>
    </w:p>
    <w:p>
      <w:pPr>
        <w:pStyle w:val="Heading3"/>
        <w:spacing w:after="100" w:before="200"/>
      </w:pPr>
      <w:r>
        <w:t xml:space="preserve">Outstanding Verification Conditions</w:t>
      </w:r>
    </w:p>
    <w:p>
      <w:pPr>
        <w:pStyle w:val="ListParagraph"/>
        <w:numPr>
          <w:ilvl w:val="0"/>
          <w:numId w:val="1"/>
        </w:numPr>
        <w:spacing w:after="100"/>
      </w:pPr>
      <w:r>
        <w:t xml:space="preserve">WP-0002 (RLS coverage ledger) — ready to execute; the baseline's most immediate verification action.</w:t>
      </w:r>
    </w:p>
    <w:p>
      <w:pPr>
        <w:pStyle w:val="ListParagraph"/>
        <w:numPr>
          <w:ilvl w:val="0"/>
          <w:numId w:val="1"/>
        </w:numPr>
        <w:spacing w:after="100"/>
      </w:pPr>
      <w:r>
        <w:t xml:space="preserve">WP-0001 (table-inventory diff) — ready to execute; resolves the baseline's top-rated confirmed risk.</w:t>
      </w:r>
    </w:p>
    <w:p>
      <w:pPr>
        <w:pStyle w:val="ListParagraph"/>
        <w:numPr>
          <w:ilvl w:val="0"/>
          <w:numId w:val="1"/>
        </w:numPr>
        <w:spacing w:after="100"/>
      </w:pPr>
      <w:r>
        <w:t xml:space="preserve">WP-0006 (named ownership) — KPI-08 = 0%; blocks accountable execution of every verification activity, though it is a governance gap, not a verification-design gap.</w:t>
      </w:r>
    </w:p>
    <w:p>
      <w:pPr>
        <w:pStyle w:val="ListParagraph"/>
        <w:numPr>
          <w:ilvl w:val="0"/>
          <w:numId w:val="1"/>
        </w:numPr>
        <w:spacing w:after="100"/>
      </w:pPr>
      <w:r>
        <w:t xml:space="preserve">WP-0003 remains trigger-gated pending growth/volume data; no verification action is due.</w:t>
      </w:r>
    </w:p>
    <w:p>
      <w:pPr>
        <w:pStyle w:val="Heading3"/>
        <w:spacing w:after="100" w:before="200"/>
      </w:pPr>
      <w:r>
        <w:t xml:space="preserve">Verification Readiness for Continued Realization</w:t>
      </w:r>
    </w:p>
    <w:p>
      <w:pPr>
        <w:spacing w:after="160"/>
      </w:pPr>
      <w:r>
        <w:rPr>
          <w:b w:val="false"/>
          <w:bCs w:val="false"/>
          <w:i w:val="false"/>
          <w:iCs w:val="false"/>
        </w:rPr>
        <w:t xml:space="preserve">The evidenced portion of the baseline is verification-ready to proceed into Wave 1 execution without further methodological design work. No verification condition blocks Wave 1 (WP-0002, WP-0006); the only cross-cutting condition is unassigned ownership (KPI-08), an accountability gap rather than a verification readiness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CE6F1" w:val="clear"/>
            <w:vAlign w:val="center"/>
          </w:tcPr>
          <w:p>
            <w:r>
              <w:rPr>
                <w:b w:val="false"/>
                <w:bCs w:val="false"/>
                <w:sz w:val="18"/>
                <w:szCs w:val="18"/>
              </w:rPr>
              <w:t xml:space="preserve">Overall Verification Assessment</w:t>
            </w:r>
          </w:p>
        </w:tc>
        <w:tc>
          <w:tcPr>
            <w:tcW w:type="dxa" w:w="7160"/>
            <w:vAlign w:val="center"/>
          </w:tcPr>
          <w:p>
            <w:r>
              <w:rPr>
                <w:b w:val="false"/>
                <w:bCs w:val="false"/>
                <w:sz w:val="18"/>
                <w:szCs w:val="18"/>
              </w:rPr>
              <w:t xml:space="preserve">Design-complete, execution-pending. All six Work Packages carry a fully defined verification method; none has yet produced evidence. WP-0002 is ready to execute immediately as the adopted standing template.</w:t>
            </w:r>
          </w:p>
        </w:tc>
      </w:tr>
      <w:tr>
        <w:tc>
          <w:tcPr>
            <w:tcW w:type="dxa" w:w="2200"/>
            <w:shd w:fill="DCE6F1" w:val="clear"/>
            <w:vAlign w:val="center"/>
          </w:tcPr>
          <w:p>
            <w:r>
              <w:rPr>
                <w:b w:val="false"/>
                <w:bCs w:val="false"/>
                <w:sz w:val="18"/>
                <w:szCs w:val="18"/>
              </w:rPr>
              <w:t xml:space="preserve">Executive Verification Assessment</w:t>
            </w:r>
          </w:p>
        </w:tc>
        <w:tc>
          <w:tcPr>
            <w:tcW w:type="dxa" w:w="7160"/>
            <w:vAlign w:val="center"/>
          </w:tcPr>
          <w:p>
            <w:r>
              <w:rPr>
                <w:b w:val="false"/>
                <w:bCs w:val="false"/>
                <w:sz w:val="18"/>
                <w:szCs w:val="18"/>
              </w:rPr>
              <w:t xml:space="preserve">Verification coverage and traceability established in Section 7 remain intact through Section 10.7. No verification gap, redesign, or new metric is required; the sole outstanding condition is execution, gated on named ownership (WP-0006).</w:t>
            </w:r>
          </w:p>
        </w:tc>
      </w:tr>
      <w:tr>
        <w:tc>
          <w:tcPr>
            <w:tcW w:type="dxa" w:w="2200"/>
            <w:shd w:fill="DCE6F1" w:val="clear"/>
            <w:vAlign w:val="center"/>
          </w:tcPr>
          <w:p>
            <w:r>
              <w:rPr>
                <w:b w:val="false"/>
                <w:bCs w:val="false"/>
                <w:sz w:val="18"/>
                <w:szCs w:val="18"/>
              </w:rPr>
              <w:t xml:space="preserve">Verification Transition Readiness</w:t>
            </w:r>
          </w:p>
        </w:tc>
        <w:tc>
          <w:tcPr>
            <w:tcW w:type="dxa" w:w="7160"/>
            <w:vAlign w:val="center"/>
          </w:tcPr>
          <w:p>
            <w:r>
              <w:rPr>
                <w:b w:val="false"/>
                <w:bCs w:val="false"/>
                <w:sz w:val="18"/>
                <w:szCs w:val="18"/>
              </w:rPr>
              <w:t xml:space="preserve">Reserved for Future Realization Phases.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2026-07-09T20:05:38.690Z</dcterms:created>
  <dcterms:modified xsi:type="dcterms:W3CDTF">2026-07-09T20:05:38.702Z</dcterms:modified>
</cp:coreProperties>
</file>

<file path=docProps/custom.xml><?xml version="1.0" encoding="utf-8"?>
<Properties xmlns="http://schemas.openxmlformats.org/officeDocument/2006/custom-properties" xmlns:vt="http://schemas.openxmlformats.org/officeDocument/2006/docPropsVTypes"/>
</file>