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ERP-01 — Phase C</w:t>
      </w:r>
    </w:p>
    <w:p>
      <w:pPr>
        <w:spacing w:after="60"/>
        <w:jc w:val="center"/>
      </w:pPr>
      <w:r>
        <w:rPr>
          <w:b/>
          <w:bCs/>
          <w:sz w:val="32"/>
          <w:szCs w:val="32"/>
        </w:rPr>
        <w:t xml:space="preserve">Section 10.9 — Enterprise Risk Dashboard</w:t>
      </w:r>
    </w:p>
    <w:p>
      <w:pPr>
        <w:spacing w:after="60"/>
        <w:jc w:val="center"/>
      </w:pPr>
      <w:r>
        <w:rPr>
          <w:i/>
          <w:iCs/>
          <w:sz w:val="22"/>
          <w:szCs w:val="22"/>
        </w:rPr>
        <w:t xml:space="preserve">HireRise Career Intelligence Platform</w:t>
      </w:r>
    </w:p>
    <w:p>
      <w:pPr>
        <w:spacing w:after="60"/>
        <w:jc w:val="center"/>
      </w:pPr>
      <w:r>
        <w:rPr>
          <w:sz w:val="20"/>
          <w:szCs w:val="20"/>
        </w:rPr>
        <w:t xml:space="preserve">Executive Enterprise Risk View Across the Approved ERP-01 Engineering Baseline</w:t>
      </w:r>
    </w:p>
    <w:p>
      <w:pPr>
        <w:spacing w:after="200"/>
        <w:jc w:val="center"/>
      </w:pPr>
      <w:r>
        <w:rPr>
          <w:sz w:val="18"/>
          <w:szCs w:val="18"/>
        </w:rPr>
        <w:t xml:space="preserve">Version 1.0 | Status: DRAFT FOR REVIEW</w:t>
      </w:r>
    </w:p>
    <w:p>
      <w:pPr>
        <w:spacing w:after="200"/>
        <w:jc w:val="center"/>
      </w:pPr>
      <w:r>
        <w:rPr>
          <w:b/>
          <w:bCs/>
          <w:sz w:val="18"/>
          <w:szCs w:val="18"/>
        </w:rPr>
        <w:t xml:space="preserve">Target-State Architecture &amp; Engineering Planning Artifact — Not Evidence of an Operating Governance Body</w:t>
      </w:r>
    </w:p>
    <w:p>
      <w:pPr>
        <w:pStyle w:val="Heading3"/>
        <w:spacing w:after="100" w:before="200"/>
      </w:pPr>
      <w:r>
        <w:t xml:space="preserve">A Note on Governance Framing</w:t>
      </w:r>
    </w:p>
    <w:p>
      <w:pPr>
        <w:shd w:fill="F2F2F2" w:val="clear"/>
        <w:spacing w:after="200"/>
      </w:pPr>
      <w:r>
        <w:rPr>
          <w:i/>
          <w:iCs/>
        </w:rPr>
        <w:t xml:space="preserve">This document is an architecture and engineering planning artifact. The Enterprise Architecture Board, Executive Steering Committee, Portfolio Governance Board, CIO, CTO, and PMO referenced below describe target-state governance roles for the HireRise platform — a structure this program is designed to grow into — not evidence that any of these bodies currently exists or has conducted operational governance. Every governance role referenced is a defined future responsibility, consistent with ERP-01 Phase A.3's permanent-identifier and evidence-first principles. Every element in this dashboard is reused, unchanged, from ERP-01 Phase A.1 through Section 10.8. This document introduces no new risk, mitigation, governance decision, risk metric, or scoring model. Where evidence does not exist, this document states "Not Evidenced in Current Baseline." Where content depends on a future realization phase, this document states "Reserved for Future Realization Phases."</w:t>
      </w:r>
    </w:p>
    <w:p>
      <w:pPr>
        <w:pStyle w:val="Heading1"/>
        <w:spacing w:after="150" w:before="300"/>
      </w:pPr>
      <w:r>
        <w:t xml:space="preserve">10.9 Enterprise Risk Dashboard</w:t>
      </w:r>
    </w:p>
    <w:p>
      <w:pPr>
        <w:pStyle w:val="Heading2"/>
        <w:spacing w:after="120" w:before="240"/>
      </w:pPr>
      <w:r>
        <w:t xml:space="preserve">10.9.1 — Executive Risk Overview</w:t>
      </w:r>
    </w:p>
    <w:p>
      <w:pPr>
        <w:pStyle w:val="Heading3"/>
        <w:spacing w:after="100" w:before="200"/>
      </w:pPr>
      <w:r>
        <w:t xml:space="preserve">Purpose of Enterprise Risk Governance</w:t>
      </w:r>
    </w:p>
    <w:p>
      <w:pPr>
        <w:spacing w:after="160"/>
      </w:pPr>
      <w:r>
        <w:rPr>
          <w:b w:val="false"/>
          <w:bCs w:val="false"/>
          <w:i w:val="false"/>
          <w:iCs w:val="false"/>
        </w:rPr>
        <w:t xml:space="preserve">Enterprise risk governance consolidates every risk already evidenced across Phase A.1–A.3, Phase B, and Sections 1–8 into a single executive-facing view, without inventing new risks, rescoring existing ones, or proposing new mitigation strategies. Its purpose is decision support: giving the target-state Executive Steering Committee and Enterprise Architecture Board one place to see which risks are active, what is already mitigating them, and what remains outstanding.</w:t>
      </w:r>
    </w:p>
    <w:p>
      <w:pPr>
        <w:pStyle w:val="Heading3"/>
        <w:spacing w:after="100" w:before="200"/>
      </w:pPr>
      <w:r>
        <w:t xml:space="preserve">Relationship with Section 10.8</w:t>
      </w:r>
    </w:p>
    <w:p>
      <w:pPr>
        <w:spacing w:after="160"/>
      </w:pPr>
      <w:r>
        <w:rPr>
          <w:b w:val="false"/>
          <w:bCs w:val="false"/>
          <w:i w:val="false"/>
          <w:iCs w:val="false"/>
        </w:rPr>
        <w:t xml:space="preserve">Section 10.8 (Enterprise Verification Dashboard) reported whether a verification method exists and what evidence it has produced. Section 10.9 reports a different axis of the same evidence: the risk that remains where verification, implementation, or governance is incomplete. Where 10.8 answers "can this be verified," 10.9 answers "what is exposed until it is." Every risk in this section already appears in Section 8 (Enterprise Risk-Control Matrix) or in the risk dashboards carried through Sections 10.7 and 10.8; none is newly identified here.</w:t>
      </w:r>
    </w:p>
    <w:p>
      <w:pPr>
        <w:pStyle w:val="Heading3"/>
        <w:spacing w:after="100" w:before="200"/>
      </w:pPr>
      <w:r>
        <w:t xml:space="preserve">Risk Governance Philosophy</w:t>
      </w:r>
    </w:p>
    <w:p>
      <w:pPr>
        <w:spacing w:after="160"/>
      </w:pPr>
      <w:r>
        <w:rPr>
          <w:b w:val="false"/>
          <w:bCs w:val="false"/>
          <w:i w:val="false"/>
          <w:iCs w:val="false"/>
        </w:rPr>
        <w:t xml:space="preserve">Consistent with Section 8's risk-first sequencing principle, this baseline distinguishes confirmed/occurring risk (e.g., documentation drift under AR-0002) from latent/monitored risk (e.g., VAR-01, VAR-03, VAR-04) from unresolved/unknown risk (e.g., AR-0007 pending WP-0002 verification). Section 8's normative scope — Portfolios 1, 2, and 8; Waves 1–3 — remains the boundary of this section; Portfolios 3–7 and Waves 4–5 are Reserved for Future Realization Phases, consistent with Section 8 §Scope.</w:t>
      </w:r>
    </w:p>
    <w:p>
      <w:pPr>
        <w:pStyle w:val="Heading3"/>
        <w:spacing w:after="100" w:before="200"/>
      </w:pPr>
      <w:r>
        <w:t xml:space="preserve">Executive Risk Oversight</w:t>
      </w:r>
    </w:p>
    <w:p>
      <w:pPr>
        <w:spacing w:after="160"/>
      </w:pPr>
      <w:r>
        <w:rPr>
          <w:b w:val="false"/>
          <w:bCs w:val="false"/>
          <w:i w:val="false"/>
          <w:iCs w:val="false"/>
        </w:rPr>
        <w:t xml:space="preserve">Risk oversight in this baseline is target-state: Section 8 confirms that a formally named risk-severity classification scheme, a dedicated risk register distinct from the EGD/VAR registers, and an escalation SLA are Not Evidenced in Current Baseline. Executive oversight of the risks below is designed to run through the Enterprise Architecture Board and Executive Steering Committee once chartered; no operating body has exercised this oversight to date.</w:t>
      </w:r>
    </w:p>
    <w:p>
      <w:pPr>
        <w:pStyle w:val="Heading3"/>
        <w:spacing w:after="100" w:before="200"/>
      </w:pPr>
      <w:r>
        <w:t xml:space="preserve">Evidence-First Reporting Principles</w:t>
      </w:r>
    </w:p>
    <w:p>
      <w:pPr>
        <w:spacing w:after="160"/>
      </w:pPr>
      <w:r>
        <w:rPr>
          <w:b w:val="false"/>
          <w:bCs w:val="false"/>
          <w:i w:val="false"/>
          <w:iCs w:val="false"/>
        </w:rPr>
        <w:t xml:space="preserve">This section performs no new risk analysis, assigns no new severity score, and proposes no new mitigation. Every risk below traces to a specific prior section, principally Section 8. Where the ERP-01 template calls for a risk element this baseline does not evidence, this section states "Not Evidenced in Current Baseline." Where the element depends on a future realization phase, this section states "Reserved for Future Realization Phases."</w:t>
      </w:r>
    </w:p>
    <w:p>
      <w:pPr>
        <w:pStyle w:val="Heading2"/>
        <w:spacing w:after="120" w:before="240"/>
      </w:pPr>
      <w:r>
        <w:t xml:space="preserve">10.9.2 — Enterprise Risk Summary Dashboard</w:t>
      </w:r>
    </w:p>
    <w:p>
      <w:pPr>
        <w:spacing w:after="160"/>
      </w:pPr>
      <w:r>
        <w:rPr>
          <w:b w:val="false"/>
          <w:bCs w:val="false"/>
          <w:i/>
          <w:iCs/>
        </w:rPr>
        <w:t xml:space="preserve">Source: Section 8 (Enterprise Risk-Control Matrix); Sections 10.7.7 and 10.8.7. Reused verbatim; risks are identified by their governing WP/AR/EGD/VAR combination, consistent with Section 8's approach (no standalone risk-ID register exists in this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300"/>
        <w:gridCol w:w="1360"/>
        <w:gridCol w:w="1300"/>
        <w:gridCol w:w="1200"/>
      </w:tblGrid>
      <w:tr>
        <w:trPr>
          <w:tblHeader/>
        </w:trPr>
        <w:tc>
          <w:tcPr>
            <w:tcW w:type="dxa" w:w="2400"/>
            <w:shd w:fill="1F3864" w:val="clear"/>
            <w:vAlign w:val="center"/>
          </w:tcPr>
          <w:p>
            <w:r>
              <w:rPr>
                <w:b/>
                <w:bCs/>
                <w:color w:val="FFFFFF"/>
                <w:sz w:val="18"/>
                <w:szCs w:val="18"/>
              </w:rPr>
              <w:t xml:space="preserve">Risk Identifier</w:t>
            </w:r>
          </w:p>
        </w:tc>
        <w:tc>
          <w:tcPr>
            <w:tcW w:type="dxa" w:w="1800"/>
            <w:shd w:fill="1F3864" w:val="clear"/>
            <w:vAlign w:val="center"/>
          </w:tcPr>
          <w:p>
            <w:r>
              <w:rPr>
                <w:b/>
                <w:bCs/>
                <w:color w:val="FFFFFF"/>
                <w:sz w:val="18"/>
                <w:szCs w:val="18"/>
              </w:rPr>
              <w:t xml:space="preserve">Risk Domain</w:t>
            </w:r>
          </w:p>
        </w:tc>
        <w:tc>
          <w:tcPr>
            <w:tcW w:type="dxa" w:w="1300"/>
            <w:shd w:fill="1F3864" w:val="clear"/>
            <w:vAlign w:val="center"/>
          </w:tcPr>
          <w:p>
            <w:r>
              <w:rPr>
                <w:b/>
                <w:bCs/>
                <w:color w:val="FFFFFF"/>
                <w:sz w:val="18"/>
                <w:szCs w:val="18"/>
              </w:rPr>
              <w:t xml:space="preserve">Source Repository</w:t>
            </w:r>
          </w:p>
        </w:tc>
        <w:tc>
          <w:tcPr>
            <w:tcW w:type="dxa" w:w="1360"/>
            <w:shd w:fill="1F3864" w:val="clear"/>
            <w:vAlign w:val="center"/>
          </w:tcPr>
          <w:p>
            <w:r>
              <w:rPr>
                <w:b/>
                <w:bCs/>
                <w:color w:val="FFFFFF"/>
                <w:sz w:val="18"/>
                <w:szCs w:val="18"/>
              </w:rPr>
              <w:t xml:space="preserve">Current Status</w:t>
            </w:r>
          </w:p>
        </w:tc>
        <w:tc>
          <w:tcPr>
            <w:tcW w:type="dxa" w:w="1300"/>
            <w:shd w:fill="1F3864" w:val="clear"/>
            <w:vAlign w:val="center"/>
          </w:tcPr>
          <w:p>
            <w:r>
              <w:rPr>
                <w:b/>
                <w:bCs/>
                <w:color w:val="FFFFFF"/>
                <w:sz w:val="18"/>
                <w:szCs w:val="18"/>
              </w:rPr>
              <w:t xml:space="preserve">Executive Severity</w:t>
            </w:r>
          </w:p>
        </w:tc>
        <w:tc>
          <w:tcPr>
            <w:tcW w:type="dxa" w:w="1200"/>
            <w:shd w:fill="1F3864" w:val="clear"/>
            <w:vAlign w:val="center"/>
          </w:tcPr>
          <w:p>
            <w:r>
              <w:rPr>
                <w:b/>
                <w:bCs/>
                <w:color w:val="FFFFFF"/>
                <w:sz w:val="18"/>
                <w:szCs w:val="18"/>
              </w:rPr>
              <w:t xml:space="preserve">Executive Assessment</w:t>
            </w:r>
          </w:p>
        </w:tc>
      </w:tr>
      <w:tr>
        <w:tc>
          <w:tcPr>
            <w:tcW w:type="dxa" w:w="2400"/>
            <w:vAlign w:val="center"/>
          </w:tcPr>
          <w:p>
            <w:r>
              <w:rPr>
                <w:b w:val="false"/>
                <w:bCs w:val="false"/>
                <w:sz w:val="18"/>
                <w:szCs w:val="18"/>
              </w:rPr>
              <w:t xml:space="preserve">WP-0001 / AR-0002 / EGD-0002 / VAR-02 — Documentation drift</w:t>
            </w:r>
          </w:p>
        </w:tc>
        <w:tc>
          <w:tcPr>
            <w:tcW w:type="dxa" w:w="1800"/>
            <w:vAlign w:val="center"/>
          </w:tcPr>
          <w:p>
            <w:r>
              <w:rPr>
                <w:b w:val="false"/>
                <w:bCs w:val="false"/>
                <w:sz w:val="18"/>
                <w:szCs w:val="18"/>
              </w:rPr>
              <w:t xml:space="preserve">Architecture Risk; Repository Risk (Documentation)</w:t>
            </w:r>
          </w:p>
        </w:tc>
        <w:tc>
          <w:tcPr>
            <w:tcW w:type="dxa" w:w="1300"/>
            <w:vAlign w:val="center"/>
          </w:tcPr>
          <w:p>
            <w:r>
              <w:rPr>
                <w:b w:val="false"/>
                <w:bCs w:val="false"/>
                <w:sz w:val="18"/>
                <w:szCs w:val="18"/>
              </w:rPr>
              <w:t xml:space="preserve">Documentation</w:t>
            </w:r>
          </w:p>
        </w:tc>
        <w:tc>
          <w:tcPr>
            <w:tcW w:type="dxa" w:w="1360"/>
            <w:vAlign w:val="center"/>
          </w:tcPr>
          <w:p>
            <w:r>
              <w:rPr>
                <w:b w:val="false"/>
                <w:bCs w:val="false"/>
                <w:sz w:val="18"/>
                <w:szCs w:val="18"/>
              </w:rPr>
              <w:t xml:space="preserve">Confirmed, open</w:t>
            </w:r>
          </w:p>
        </w:tc>
        <w:tc>
          <w:tcPr>
            <w:tcW w:type="dxa" w:w="1300"/>
            <w:vAlign w:val="center"/>
          </w:tcPr>
          <w:p>
            <w:r>
              <w:rPr>
                <w:b w:val="false"/>
                <w:bCs w:val="false"/>
                <w:sz w:val="18"/>
                <w:szCs w:val="18"/>
              </w:rPr>
              <w:t xml:space="preserve">High</w:t>
            </w:r>
          </w:p>
        </w:tc>
        <w:tc>
          <w:tcPr>
            <w:tcW w:type="dxa" w:w="1200"/>
            <w:vAlign w:val="center"/>
          </w:tcPr>
          <w:p>
            <w:r>
              <w:rPr>
                <w:b w:val="false"/>
                <w:bCs w:val="false"/>
                <w:sz w:val="18"/>
                <w:szCs w:val="18"/>
              </w:rPr>
              <w:t xml:space="preserve">Top-rated confirmed risk in the baseline</w:t>
            </w:r>
          </w:p>
        </w:tc>
      </w:tr>
      <w:tr>
        <w:tc>
          <w:tcPr>
            <w:tcW w:type="dxa" w:w="2400"/>
            <w:shd w:fill="F2F2F2" w:val="clear"/>
            <w:vAlign w:val="center"/>
          </w:tcPr>
          <w:p>
            <w:r>
              <w:rPr>
                <w:b w:val="false"/>
                <w:bCs w:val="false"/>
                <w:sz w:val="18"/>
                <w:szCs w:val="18"/>
              </w:rPr>
              <w:t xml:space="preserve">WP-0002 / AR-0007 / EGD-0007 — RLS coverage unverified</w:t>
            </w:r>
          </w:p>
        </w:tc>
        <w:tc>
          <w:tcPr>
            <w:tcW w:type="dxa" w:w="1800"/>
            <w:shd w:fill="F2F2F2" w:val="clear"/>
            <w:vAlign w:val="center"/>
          </w:tcPr>
          <w:p>
            <w:r>
              <w:rPr>
                <w:b w:val="false"/>
                <w:bCs w:val="false"/>
                <w:sz w:val="18"/>
                <w:szCs w:val="18"/>
              </w:rPr>
              <w:t xml:space="preserve">Security Risk; Verification Risk; Database Risk</w:t>
            </w:r>
          </w:p>
        </w:tc>
        <w:tc>
          <w:tcPr>
            <w:tcW w:type="dxa" w:w="1300"/>
            <w:shd w:fill="F2F2F2" w:val="clear"/>
            <w:vAlign w:val="center"/>
          </w:tcPr>
          <w:p>
            <w:r>
              <w:rPr>
                <w:b w:val="false"/>
                <w:bCs w:val="false"/>
                <w:sz w:val="18"/>
                <w:szCs w:val="18"/>
              </w:rPr>
              <w:t xml:space="preserve">Database, Test</w:t>
            </w:r>
          </w:p>
        </w:tc>
        <w:tc>
          <w:tcPr>
            <w:tcW w:type="dxa" w:w="1360"/>
            <w:shd w:fill="F2F2F2" w:val="clear"/>
            <w:vAlign w:val="center"/>
          </w:tcPr>
          <w:p>
            <w:r>
              <w:rPr>
                <w:b w:val="false"/>
                <w:bCs w:val="false"/>
                <w:sz w:val="18"/>
                <w:szCs w:val="18"/>
              </w:rPr>
              <w:t xml:space="preserve">Open — unknown until verified</w:t>
            </w:r>
          </w:p>
        </w:tc>
        <w:tc>
          <w:tcPr>
            <w:tcW w:type="dxa" w:w="1300"/>
            <w:shd w:fill="F2F2F2" w:val="clear"/>
            <w:vAlign w:val="center"/>
          </w:tcPr>
          <w:p>
            <w:r>
              <w:rPr>
                <w:b w:val="false"/>
                <w:bCs w:val="false"/>
                <w:sz w:val="18"/>
                <w:szCs w:val="18"/>
              </w:rPr>
              <w:t xml:space="preserve">Critical-until-verified</w:t>
            </w:r>
          </w:p>
        </w:tc>
        <w:tc>
          <w:tcPr>
            <w:tcW w:type="dxa" w:w="1200"/>
            <w:shd w:fill="F2F2F2" w:val="clear"/>
            <w:vAlign w:val="center"/>
          </w:tcPr>
          <w:p>
            <w:r>
              <w:rPr>
                <w:b w:val="false"/>
                <w:bCs w:val="false"/>
                <w:sz w:val="18"/>
                <w:szCs w:val="18"/>
              </w:rPr>
              <w:t xml:space="preserve">The baseline's one open security unknown</w:t>
            </w:r>
          </w:p>
        </w:tc>
      </w:tr>
      <w:tr>
        <w:tc>
          <w:tcPr>
            <w:tcW w:type="dxa" w:w="2400"/>
            <w:vAlign w:val="center"/>
          </w:tcPr>
          <w:p>
            <w:r>
              <w:rPr>
                <w:b w:val="false"/>
                <w:bCs w:val="false"/>
                <w:sz w:val="18"/>
                <w:szCs w:val="18"/>
              </w:rPr>
              <w:t xml:space="preserve">WP-0003 / AR-0004 / EGD-0004 / VAR-04 — No partitioning on 4 tables</w:t>
            </w:r>
          </w:p>
        </w:tc>
        <w:tc>
          <w:tcPr>
            <w:tcW w:type="dxa" w:w="1800"/>
            <w:vAlign w:val="center"/>
          </w:tcPr>
          <w:p>
            <w:r>
              <w:rPr>
                <w:b w:val="false"/>
                <w:bCs w:val="false"/>
                <w:sz w:val="18"/>
                <w:szCs w:val="18"/>
              </w:rPr>
              <w:t xml:space="preserve">Architecture Risk; Database Risk</w:t>
            </w:r>
          </w:p>
        </w:tc>
        <w:tc>
          <w:tcPr>
            <w:tcW w:type="dxa" w:w="1300"/>
            <w:vAlign w:val="center"/>
          </w:tcPr>
          <w:p>
            <w:r>
              <w:rPr>
                <w:b w:val="false"/>
                <w:bCs w:val="false"/>
                <w:sz w:val="18"/>
                <w:szCs w:val="18"/>
              </w:rPr>
              <w:t xml:space="preserve">Database</w:t>
            </w:r>
          </w:p>
        </w:tc>
        <w:tc>
          <w:tcPr>
            <w:tcW w:type="dxa" w:w="1360"/>
            <w:vAlign w:val="center"/>
          </w:tcPr>
          <w:p>
            <w:r>
              <w:rPr>
                <w:b w:val="false"/>
                <w:bCs w:val="false"/>
                <w:sz w:val="18"/>
                <w:szCs w:val="18"/>
              </w:rPr>
              <w:t xml:space="preserve">Open, trigger-gated</w:t>
            </w:r>
          </w:p>
        </w:tc>
        <w:tc>
          <w:tcPr>
            <w:tcW w:type="dxa" w:w="1300"/>
            <w:vAlign w:val="center"/>
          </w:tcPr>
          <w:p>
            <w:r>
              <w:rPr>
                <w:b w:val="false"/>
                <w:bCs w:val="false"/>
                <w:sz w:val="18"/>
                <w:szCs w:val="18"/>
              </w:rPr>
              <w:t xml:space="preserve">Medium, growing</w:t>
            </w:r>
          </w:p>
        </w:tc>
        <w:tc>
          <w:tcPr>
            <w:tcW w:type="dxa" w:w="1200"/>
            <w:vAlign w:val="center"/>
          </w:tcPr>
          <w:p>
            <w:r>
              <w:rPr>
                <w:b w:val="false"/>
                <w:bCs w:val="false"/>
                <w:sz w:val="18"/>
                <w:szCs w:val="18"/>
              </w:rPr>
              <w:t xml:space="preserve">Not immediate; monitored quarterly</w:t>
            </w:r>
          </w:p>
        </w:tc>
      </w:tr>
      <w:tr>
        <w:tc>
          <w:tcPr>
            <w:tcW w:type="dxa" w:w="2400"/>
            <w:shd w:fill="F2F2F2" w:val="clear"/>
            <w:vAlign w:val="center"/>
          </w:tcPr>
          <w:p>
            <w:r>
              <w:rPr>
                <w:b w:val="false"/>
                <w:bCs w:val="false"/>
                <w:sz w:val="18"/>
                <w:szCs w:val="18"/>
              </w:rPr>
              <w:t xml:space="preserve">WP-0004 / AR-0003 / EGD-0003 / VAR-03 — Direct-FK taxonomy denormalization</w:t>
            </w:r>
          </w:p>
        </w:tc>
        <w:tc>
          <w:tcPr>
            <w:tcW w:type="dxa" w:w="1800"/>
            <w:shd w:fill="F2F2F2" w:val="clear"/>
            <w:vAlign w:val="center"/>
          </w:tcPr>
          <w:p>
            <w:r>
              <w:rPr>
                <w:b w:val="false"/>
                <w:bCs w:val="false"/>
                <w:sz w:val="18"/>
                <w:szCs w:val="18"/>
              </w:rPr>
              <w:t xml:space="preserve">Architecture Risk; Database Risk</w:t>
            </w:r>
          </w:p>
        </w:tc>
        <w:tc>
          <w:tcPr>
            <w:tcW w:type="dxa" w:w="1300"/>
            <w:shd w:fill="F2F2F2" w:val="clear"/>
            <w:vAlign w:val="center"/>
          </w:tcPr>
          <w:p>
            <w:r>
              <w:rPr>
                <w:b w:val="false"/>
                <w:bCs w:val="false"/>
                <w:sz w:val="18"/>
                <w:szCs w:val="18"/>
              </w:rPr>
              <w:t xml:space="preserve">Database, Test</w:t>
            </w:r>
          </w:p>
        </w:tc>
        <w:tc>
          <w:tcPr>
            <w:tcW w:type="dxa" w:w="1360"/>
            <w:shd w:fill="F2F2F2" w:val="clear"/>
            <w:vAlign w:val="center"/>
          </w:tcPr>
          <w:p>
            <w:r>
              <w:rPr>
                <w:b w:val="false"/>
                <w:bCs w:val="false"/>
                <w:sz w:val="18"/>
                <w:szCs w:val="18"/>
              </w:rPr>
              <w:t xml:space="preserve">Open, conditionally monitored</w:t>
            </w:r>
          </w:p>
        </w:tc>
        <w:tc>
          <w:tcPr>
            <w:tcW w:type="dxa" w:w="1300"/>
            <w:shd w:fill="F2F2F2" w:val="clear"/>
            <w:vAlign w:val="center"/>
          </w:tcPr>
          <w:p>
            <w:r>
              <w:rPr>
                <w:b w:val="false"/>
                <w:bCs w:val="false"/>
                <w:sz w:val="18"/>
                <w:szCs w:val="18"/>
              </w:rPr>
              <w:t xml:space="preserve">Low currently, Medium if unmonitored</w:t>
            </w:r>
          </w:p>
        </w:tc>
        <w:tc>
          <w:tcPr>
            <w:tcW w:type="dxa" w:w="1200"/>
            <w:shd w:fill="F2F2F2" w:val="clear"/>
            <w:vAlign w:val="center"/>
          </w:tcPr>
          <w:p>
            <w:r>
              <w:rPr>
                <w:b w:val="false"/>
                <w:bCs w:val="false"/>
                <w:sz w:val="18"/>
                <w:szCs w:val="18"/>
              </w:rPr>
              <w:t xml:space="preserve">Stable pending WP-0004</w:t>
            </w:r>
          </w:p>
        </w:tc>
      </w:tr>
      <w:tr>
        <w:tc>
          <w:tcPr>
            <w:tcW w:type="dxa" w:w="2400"/>
            <w:vAlign w:val="center"/>
          </w:tcPr>
          <w:p>
            <w:r>
              <w:rPr>
                <w:b w:val="false"/>
                <w:bCs w:val="false"/>
                <w:sz w:val="18"/>
                <w:szCs w:val="18"/>
              </w:rPr>
              <w:t xml:space="preserve">WP-0005 / AR-0007 (extension) — Column-level access on free-text/JSON payloads</w:t>
            </w:r>
          </w:p>
        </w:tc>
        <w:tc>
          <w:tcPr>
            <w:tcW w:type="dxa" w:w="1800"/>
            <w:vAlign w:val="center"/>
          </w:tcPr>
          <w:p>
            <w:r>
              <w:rPr>
                <w:b w:val="false"/>
                <w:bCs w:val="false"/>
                <w:sz w:val="18"/>
                <w:szCs w:val="18"/>
              </w:rPr>
              <w:t xml:space="preserve">Security Risk</w:t>
            </w:r>
          </w:p>
        </w:tc>
        <w:tc>
          <w:tcPr>
            <w:tcW w:type="dxa" w:w="1300"/>
            <w:vAlign w:val="center"/>
          </w:tcPr>
          <w:p>
            <w:r>
              <w:rPr>
                <w:b w:val="false"/>
                <w:bCs w:val="false"/>
                <w:sz w:val="18"/>
                <w:szCs w:val="18"/>
              </w:rPr>
              <w:t xml:space="preserve">Database, Test</w:t>
            </w:r>
          </w:p>
        </w:tc>
        <w:tc>
          <w:tcPr>
            <w:tcW w:type="dxa" w:w="1360"/>
            <w:vAlign w:val="center"/>
          </w:tcPr>
          <w:p>
            <w:r>
              <w:rPr>
                <w:b w:val="false"/>
                <w:bCs w:val="false"/>
                <w:sz w:val="18"/>
                <w:szCs w:val="18"/>
              </w:rPr>
              <w:t xml:space="preserve">Open, latent</w:t>
            </w:r>
          </w:p>
        </w:tc>
        <w:tc>
          <w:tcPr>
            <w:tcW w:type="dxa" w:w="1300"/>
            <w:vAlign w:val="center"/>
          </w:tcPr>
          <w:p>
            <w:r>
              <w:rPr>
                <w:b w:val="false"/>
                <w:bCs w:val="false"/>
                <w:sz w:val="18"/>
                <w:szCs w:val="18"/>
              </w:rPr>
              <w:t xml:space="preserve">Low–Medium</w:t>
            </w:r>
          </w:p>
        </w:tc>
        <w:tc>
          <w:tcPr>
            <w:tcW w:type="dxa" w:w="1200"/>
            <w:vAlign w:val="center"/>
          </w:tcPr>
          <w:p>
            <w:r>
              <w:rPr>
                <w:b w:val="false"/>
                <w:bCs w:val="false"/>
                <w:sz w:val="18"/>
                <w:szCs w:val="18"/>
              </w:rPr>
              <w:t xml:space="preserve">Extension of WP-0002; sequenced after it</w:t>
            </w:r>
          </w:p>
        </w:tc>
      </w:tr>
      <w:tr>
        <w:tc>
          <w:tcPr>
            <w:tcW w:type="dxa" w:w="2400"/>
            <w:shd w:fill="F2F2F2" w:val="clear"/>
            <w:vAlign w:val="center"/>
          </w:tcPr>
          <w:p>
            <w:r>
              <w:rPr>
                <w:b w:val="false"/>
                <w:bCs w:val="false"/>
                <w:sz w:val="18"/>
                <w:szCs w:val="18"/>
              </w:rPr>
              <w:t xml:space="preserve">Not Work-Package-Bound / AR-0006 / EGD-0006 — Supersession/versioning model deferred</w:t>
            </w:r>
          </w:p>
        </w:tc>
        <w:tc>
          <w:tcPr>
            <w:tcW w:type="dxa" w:w="1800"/>
            <w:shd w:fill="F2F2F2" w:val="clear"/>
            <w:vAlign w:val="center"/>
          </w:tcPr>
          <w:p>
            <w:r>
              <w:rPr>
                <w:b w:val="false"/>
                <w:bCs w:val="false"/>
                <w:sz w:val="18"/>
                <w:szCs w:val="18"/>
              </w:rPr>
              <w:t xml:space="preserve">Architecture Risk; Governance Risk</w:t>
            </w:r>
          </w:p>
        </w:tc>
        <w:tc>
          <w:tcPr>
            <w:tcW w:type="dxa" w:w="1300"/>
            <w:shd w:fill="F2F2F2" w:val="clear"/>
            <w:vAlign w:val="center"/>
          </w:tcPr>
          <w:p>
            <w:r>
              <w:rPr>
                <w:b w:val="false"/>
                <w:bCs w:val="false"/>
                <w:sz w:val="18"/>
                <w:szCs w:val="18"/>
              </w:rPr>
              <w:t xml:space="preserve">Not Applicable</w:t>
            </w:r>
          </w:p>
        </w:tc>
        <w:tc>
          <w:tcPr>
            <w:tcW w:type="dxa" w:w="1360"/>
            <w:shd w:fill="F2F2F2" w:val="clear"/>
            <w:vAlign w:val="center"/>
          </w:tcPr>
          <w:p>
            <w:r>
              <w:rPr>
                <w:b w:val="false"/>
                <w:bCs w:val="false"/>
                <w:sz w:val="18"/>
                <w:szCs w:val="18"/>
              </w:rPr>
              <w:t xml:space="preserve">Deferred, monitored</w:t>
            </w:r>
          </w:p>
        </w:tc>
        <w:tc>
          <w:tcPr>
            <w:tcW w:type="dxa" w:w="1300"/>
            <w:shd w:fill="F2F2F2" w:val="clear"/>
            <w:vAlign w:val="center"/>
          </w:tcPr>
          <w:p>
            <w:r>
              <w:rPr>
                <w:b w:val="false"/>
                <w:bCs w:val="false"/>
                <w:sz w:val="18"/>
                <w:szCs w:val="18"/>
              </w:rPr>
              <w:t xml:space="preserve">Low currently, High if triggered late</w:t>
            </w:r>
          </w:p>
        </w:tc>
        <w:tc>
          <w:tcPr>
            <w:tcW w:type="dxa" w:w="1200"/>
            <w:shd w:fill="F2F2F2" w:val="clear"/>
            <w:vAlign w:val="center"/>
          </w:tcPr>
          <w:p>
            <w:r>
              <w:rPr>
                <w:b w:val="false"/>
                <w:bCs w:val="false"/>
                <w:sz w:val="18"/>
                <w:szCs w:val="18"/>
              </w:rPr>
              <w:t xml:space="preserve">Not work-package-bound; compliance/audit trigger-gated</w:t>
            </w:r>
          </w:p>
        </w:tc>
      </w:tr>
      <w:tr>
        <w:tc>
          <w:tcPr>
            <w:tcW w:type="dxa" w:w="2400"/>
            <w:vAlign w:val="center"/>
          </w:tcPr>
          <w:p>
            <w:r>
              <w:rPr>
                <w:b w:val="false"/>
                <w:bCs w:val="false"/>
                <w:sz w:val="18"/>
                <w:szCs w:val="18"/>
              </w:rPr>
              <w:t xml:space="preserve">WP-0006 / AP-009 (all EGDs) — Zero named, accountable owners (KPI-08 = 0%)</w:t>
            </w:r>
          </w:p>
        </w:tc>
        <w:tc>
          <w:tcPr>
            <w:tcW w:type="dxa" w:w="1800"/>
            <w:vAlign w:val="center"/>
          </w:tcPr>
          <w:p>
            <w:r>
              <w:rPr>
                <w:b w:val="false"/>
                <w:bCs w:val="false"/>
                <w:sz w:val="18"/>
                <w:szCs w:val="18"/>
              </w:rPr>
              <w:t xml:space="preserve">Governance Risk (cross-cutting)</w:t>
            </w:r>
          </w:p>
        </w:tc>
        <w:tc>
          <w:tcPr>
            <w:tcW w:type="dxa" w:w="1300"/>
            <w:vAlign w:val="center"/>
          </w:tcPr>
          <w:p>
            <w:r>
              <w:rPr>
                <w:b w:val="false"/>
                <w:bCs w:val="false"/>
                <w:sz w:val="18"/>
                <w:szCs w:val="18"/>
              </w:rPr>
              <w:t xml:space="preserve">Not Applicable — governance record only</w:t>
            </w:r>
          </w:p>
        </w:tc>
        <w:tc>
          <w:tcPr>
            <w:tcW w:type="dxa" w:w="1360"/>
            <w:vAlign w:val="center"/>
          </w:tcPr>
          <w:p>
            <w:r>
              <w:rPr>
                <w:b w:val="false"/>
                <w:bCs w:val="false"/>
                <w:sz w:val="18"/>
                <w:szCs w:val="18"/>
              </w:rPr>
              <w:t xml:space="preserve">Open, confirmed</w:t>
            </w:r>
          </w:p>
        </w:tc>
        <w:tc>
          <w:tcPr>
            <w:tcW w:type="dxa" w:w="1300"/>
            <w:vAlign w:val="center"/>
          </w:tcPr>
          <w:p>
            <w:r>
              <w:rPr>
                <w:b w:val="false"/>
                <w:bCs w:val="false"/>
                <w:sz w:val="18"/>
                <w:szCs w:val="18"/>
              </w:rPr>
              <w:t xml:space="preserve">Critical (structural precondition)</w:t>
            </w:r>
          </w:p>
        </w:tc>
        <w:tc>
          <w:tcPr>
            <w:tcW w:type="dxa" w:w="1200"/>
            <w:vAlign w:val="center"/>
          </w:tcPr>
          <w:p>
            <w:r>
              <w:rPr>
                <w:b w:val="false"/>
                <w:bCs w:val="false"/>
                <w:sz w:val="18"/>
                <w:szCs w:val="18"/>
              </w:rPr>
              <w:t xml:space="preserve">Blocks execution accountability for every other Work Package</w:t>
            </w:r>
          </w:p>
        </w:tc>
      </w:tr>
    </w:tbl>
    <w:p>
      <w:pPr>
        <w:spacing w:after="160"/>
      </w:pPr>
      <w:r>
        <w:rPr>
          <w:b w:val="false"/>
          <w:bCs w:val="false"/>
          <w:i/>
          <w:iCs/>
        </w:rPr>
        <w:t xml:space="preserve">Portfolio Risks and Wave Risks beyond the above are Not Evidenced in Current Baseline for Portfolios 1, 2, 8 and Waves 1–3; Portfolios 3–7 and Waves 4–5 are Reserved for Future Realization Phases.</w:t>
      </w:r>
    </w:p>
    <w:p>
      <w:r>
        <w:br w:type="page"/>
      </w:r>
    </w:p>
    <w:p>
      <w:pPr>
        <w:pStyle w:val="Heading2"/>
        <w:spacing w:after="120" w:before="240"/>
      </w:pPr>
      <w:r>
        <w:t xml:space="preserve">10.9.3 — Executive Risk Profiles</w:t>
      </w:r>
    </w:p>
    <w:p>
      <w:pPr>
        <w:spacing w:after="160"/>
      </w:pPr>
      <w:r>
        <w:rPr>
          <w:b w:val="false"/>
          <w:bCs w:val="false"/>
          <w:i/>
          <w:iCs/>
        </w:rPr>
        <w:t xml:space="preserve">Source: Section 8, per-risk detail; Phase A.3 §§3–7. Reused verbatim.</w:t>
      </w:r>
    </w:p>
    <w:p>
      <w:pPr>
        <w:pStyle w:val="Heading3"/>
        <w:spacing w:after="100" w:before="200"/>
      </w:pPr>
      <w:r>
        <w:t xml:space="preserve">Risk Profile — Documentation Drift (WP-0001 / AR-0002 / EGD-0002 / VAR-02)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Business Impact</w:t>
            </w:r>
          </w:p>
        </w:tc>
        <w:tc>
          <w:tcPr>
            <w:tcW w:type="dxa" w:w="7160"/>
            <w:vAlign w:val="center"/>
          </w:tcPr>
          <w:p>
            <w:r>
              <w:rPr>
                <w:b w:val="false"/>
                <w:bCs w:val="false"/>
                <w:sz w:val="18"/>
                <w:szCs w:val="18"/>
              </w:rPr>
              <w:t xml:space="preserve">High — documentation/maintainability; risk of engineering decisions being made against an outdated architecture description.</w:t>
            </w:r>
          </w:p>
        </w:tc>
      </w:tr>
      <w:tr>
        <w:tc>
          <w:tcPr>
            <w:tcW w:type="dxa" w:w="2200"/>
            <w:shd w:fill="DCE6F1" w:val="clear"/>
            <w:vAlign w:val="center"/>
          </w:tcPr>
          <w:p>
            <w:r>
              <w:rPr>
                <w:b w:val="false"/>
                <w:bCs w:val="false"/>
                <w:sz w:val="18"/>
                <w:szCs w:val="18"/>
              </w:rPr>
              <w:t xml:space="preserve">Technical Impact</w:t>
            </w:r>
          </w:p>
        </w:tc>
        <w:tc>
          <w:tcPr>
            <w:tcW w:type="dxa" w:w="7160"/>
            <w:vAlign w:val="center"/>
          </w:tcPr>
          <w:p>
            <w:r>
              <w:rPr>
                <w:b w:val="false"/>
                <w:bCs w:val="false"/>
                <w:sz w:val="18"/>
                <w:szCs w:val="18"/>
              </w:rPr>
              <w:t xml:space="preserve">Delivery / documentation; live schema and canonically-named-table convention diverge from the published EEP-01 Phase A document.</w:t>
            </w:r>
          </w:p>
        </w:tc>
      </w:tr>
      <w:tr>
        <w:tc>
          <w:tcPr>
            <w:tcW w:type="dxa" w:w="2200"/>
            <w:shd w:fill="DCE6F1" w:val="clear"/>
            <w:vAlign w:val="center"/>
          </w:tcPr>
          <w:p>
            <w:r>
              <w:rPr>
                <w:b w:val="false"/>
                <w:bCs w:val="false"/>
                <w:sz w:val="18"/>
                <w:szCs w:val="18"/>
              </w:rPr>
              <w:t xml:space="preserve">Architecture Requirements Affected</w:t>
            </w:r>
          </w:p>
        </w:tc>
        <w:tc>
          <w:tcPr>
            <w:tcW w:type="dxa" w:w="7160"/>
            <w:vAlign w:val="center"/>
          </w:tcPr>
          <w:p>
            <w:r>
              <w:rPr>
                <w:b w:val="false"/>
                <w:bCs w:val="false"/>
                <w:sz w:val="18"/>
                <w:szCs w:val="18"/>
              </w:rPr>
              <w:t xml:space="preserve">AR-0002 (Naming Governance).</w:t>
            </w:r>
          </w:p>
        </w:tc>
      </w:tr>
      <w:tr>
        <w:tc>
          <w:tcPr>
            <w:tcW w:type="dxa" w:w="2200"/>
            <w:shd w:fill="DCE6F1" w:val="clear"/>
            <w:vAlign w:val="center"/>
          </w:tcPr>
          <w:p>
            <w:r>
              <w:rPr>
                <w:b w:val="false"/>
                <w:bCs w:val="false"/>
                <w:sz w:val="18"/>
                <w:szCs w:val="18"/>
              </w:rPr>
              <w:t xml:space="preserve">Enterprise Governance Decisions Affected</w:t>
            </w:r>
          </w:p>
        </w:tc>
        <w:tc>
          <w:tcPr>
            <w:tcW w:type="dxa" w:w="7160"/>
            <w:vAlign w:val="center"/>
          </w:tcPr>
          <w:p>
            <w:r>
              <w:rPr>
                <w:b w:val="false"/>
                <w:bCs w:val="false"/>
                <w:sz w:val="18"/>
                <w:szCs w:val="18"/>
              </w:rPr>
              <w:t xml:space="preserve">EGD-0002 (Supersede canonical naming).</w:t>
            </w:r>
          </w:p>
        </w:tc>
      </w:tr>
      <w:tr>
        <w:tc>
          <w:tcPr>
            <w:tcW w:type="dxa" w:w="2200"/>
            <w:shd w:fill="DCE6F1" w:val="clear"/>
            <w:vAlign w:val="center"/>
          </w:tcPr>
          <w:p>
            <w:r>
              <w:rPr>
                <w:b w:val="false"/>
                <w:bCs w:val="false"/>
                <w:sz w:val="18"/>
                <w:szCs w:val="18"/>
              </w:rPr>
              <w:t xml:space="preserve">Work Packages Affected</w:t>
            </w:r>
          </w:p>
        </w:tc>
        <w:tc>
          <w:tcPr>
            <w:tcW w:type="dxa" w:w="7160"/>
            <w:vAlign w:val="center"/>
          </w:tcPr>
          <w:p>
            <w:r>
              <w:rPr>
                <w:b w:val="false"/>
                <w:bCs w:val="false"/>
                <w:sz w:val="18"/>
                <w:szCs w:val="18"/>
              </w:rPr>
              <w:t xml:space="preserve">WP-0001.</w:t>
            </w:r>
          </w:p>
        </w:tc>
      </w:tr>
      <w:tr>
        <w:tc>
          <w:tcPr>
            <w:tcW w:type="dxa" w:w="2200"/>
            <w:shd w:fill="DCE6F1" w:val="clear"/>
            <w:vAlign w:val="center"/>
          </w:tcPr>
          <w:p>
            <w:r>
              <w:rPr>
                <w:b w:val="false"/>
                <w:bCs w:val="false"/>
                <w:sz w:val="18"/>
                <w:szCs w:val="18"/>
              </w:rPr>
              <w:t xml:space="preserve">Repository Impact</w:t>
            </w:r>
          </w:p>
        </w:tc>
        <w:tc>
          <w:tcPr>
            <w:tcW w:type="dxa" w:w="7160"/>
            <w:vAlign w:val="center"/>
          </w:tcPr>
          <w:p>
            <w:r>
              <w:rPr>
                <w:b w:val="false"/>
                <w:bCs w:val="false"/>
                <w:sz w:val="18"/>
                <w:szCs w:val="18"/>
              </w:rPr>
              <w:t xml:space="preserve">Documentation Repository — not yet started, KPI-02 = 30/100 baseline.</w:t>
            </w:r>
          </w:p>
        </w:tc>
      </w:tr>
      <w:tr>
        <w:tc>
          <w:tcPr>
            <w:tcW w:type="dxa" w:w="2200"/>
            <w:shd w:fill="DCE6F1" w:val="clear"/>
            <w:vAlign w:val="center"/>
          </w:tcPr>
          <w:p>
            <w:r>
              <w:rPr>
                <w:b w:val="false"/>
                <w:bCs w:val="false"/>
                <w:sz w:val="18"/>
                <w:szCs w:val="18"/>
              </w:rPr>
              <w:t xml:space="preserve">Portfolio Impact</w:t>
            </w:r>
          </w:p>
        </w:tc>
        <w:tc>
          <w:tcPr>
            <w:tcW w:type="dxa" w:w="7160"/>
            <w:vAlign w:val="center"/>
          </w:tcPr>
          <w:p>
            <w:r>
              <w:rPr>
                <w:b w:val="false"/>
                <w:bCs w:val="false"/>
                <w:sz w:val="18"/>
                <w:szCs w:val="18"/>
              </w:rPr>
              <w:t xml:space="preserve">Portfolio 1 (Enterprise Data Platform).</w:t>
            </w:r>
          </w:p>
        </w:tc>
      </w:tr>
      <w:tr>
        <w:tc>
          <w:tcPr>
            <w:tcW w:type="dxa" w:w="2200"/>
            <w:shd w:fill="DCE6F1" w:val="clear"/>
            <w:vAlign w:val="center"/>
          </w:tcPr>
          <w:p>
            <w:r>
              <w:rPr>
                <w:b w:val="false"/>
                <w:bCs w:val="false"/>
                <w:sz w:val="18"/>
                <w:szCs w:val="18"/>
              </w:rPr>
              <w:t xml:space="preserve">Wave Impact</w:t>
            </w:r>
          </w:p>
        </w:tc>
        <w:tc>
          <w:tcPr>
            <w:tcW w:type="dxa" w:w="7160"/>
            <w:vAlign w:val="center"/>
          </w:tcPr>
          <w:p>
            <w:r>
              <w:rPr>
                <w:b w:val="false"/>
                <w:bCs w:val="false"/>
                <w:sz w:val="18"/>
                <w:szCs w:val="18"/>
              </w:rPr>
              <w:t xml:space="preserve">Wave 2 (Platform Stabilization).</w:t>
            </w:r>
          </w:p>
        </w:tc>
      </w:tr>
      <w:tr>
        <w:tc>
          <w:tcPr>
            <w:tcW w:type="dxa" w:w="2200"/>
            <w:shd w:fill="DCE6F1" w:val="clear"/>
            <w:vAlign w:val="center"/>
          </w:tcPr>
          <w:p>
            <w:r>
              <w:rPr>
                <w:b w:val="false"/>
                <w:bCs w:val="false"/>
                <w:sz w:val="18"/>
                <w:szCs w:val="18"/>
              </w:rPr>
              <w:t xml:space="preserve">Existing Mitigation</w:t>
            </w:r>
          </w:p>
        </w:tc>
        <w:tc>
          <w:tcPr>
            <w:tcW w:type="dxa" w:w="7160"/>
            <w:vAlign w:val="center"/>
          </w:tcPr>
          <w:p>
            <w:r>
              <w:rPr>
                <w:b w:val="false"/>
                <w:bCs w:val="false"/>
                <w:sz w:val="18"/>
                <w:szCs w:val="18"/>
              </w:rPr>
              <w:t xml:space="preserve">WP-0001 scoped, sequenced, verification method (zero-discrepancy table-inventory diff) fully defined.</w:t>
            </w:r>
          </w:p>
        </w:tc>
      </w:tr>
      <w:tr>
        <w:tc>
          <w:tcPr>
            <w:tcW w:type="dxa" w:w="2200"/>
            <w:shd w:fill="DCE6F1" w:val="clear"/>
            <w:vAlign w:val="center"/>
          </w:tcPr>
          <w:p>
            <w:r>
              <w:rPr>
                <w:b w:val="false"/>
                <w:bCs w:val="false"/>
                <w:sz w:val="18"/>
                <w:szCs w:val="18"/>
              </w:rPr>
              <w:t xml:space="preserve">Remaining Conditions</w:t>
            </w:r>
          </w:p>
        </w:tc>
        <w:tc>
          <w:tcPr>
            <w:tcW w:type="dxa" w:w="7160"/>
            <w:vAlign w:val="center"/>
          </w:tcPr>
          <w:p>
            <w:r>
              <w:rPr>
                <w:b w:val="false"/>
                <w:bCs w:val="false"/>
                <w:sz w:val="18"/>
                <w:szCs w:val="18"/>
              </w:rPr>
              <w:t xml:space="preserve">Publish revised architecture document; execute diff and confirm zero discrepancies.</w:t>
            </w:r>
          </w:p>
        </w:tc>
      </w:tr>
      <w:tr>
        <w:tc>
          <w:tcPr>
            <w:tcW w:type="dxa" w:w="2200"/>
            <w:shd w:fill="DCE6F1" w:val="clear"/>
            <w:vAlign w:val="center"/>
          </w:tcPr>
          <w:p>
            <w:r>
              <w:rPr>
                <w:b w:val="false"/>
                <w:bCs w:val="false"/>
                <w:sz w:val="18"/>
                <w:szCs w:val="18"/>
              </w:rPr>
              <w:t xml:space="preserve">Executive Commentary</w:t>
            </w:r>
          </w:p>
        </w:tc>
        <w:tc>
          <w:tcPr>
            <w:tcW w:type="dxa" w:w="7160"/>
            <w:vAlign w:val="center"/>
          </w:tcPr>
          <w:p>
            <w:r>
              <w:rPr>
                <w:b w:val="false"/>
                <w:bCs w:val="false"/>
                <w:sz w:val="18"/>
                <w:szCs w:val="18"/>
              </w:rPr>
              <w:t xml:space="preserve">Confirmed, high; the single top-rated risk in this baseline per Section 8.</w:t>
            </w:r>
          </w:p>
        </w:tc>
      </w:tr>
    </w:tbl>
    <w:p>
      <w:pPr>
        <w:spacing w:after="160"/>
      </w:pPr>
    </w:p>
    <w:p>
      <w:pPr>
        <w:pStyle w:val="Heading3"/>
        <w:spacing w:after="100" w:before="200"/>
      </w:pPr>
      <w:r>
        <w:t xml:space="preserve">Risk Profile — RLS Coverage Unverified (WP-0002 / AR-0007 / EGD-0007)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Business Impact</w:t>
            </w:r>
          </w:p>
        </w:tc>
        <w:tc>
          <w:tcPr>
            <w:tcW w:type="dxa" w:w="7160"/>
            <w:vAlign w:val="center"/>
          </w:tcPr>
          <w:p>
            <w:r>
              <w:rPr>
                <w:b w:val="false"/>
                <w:bCs w:val="false"/>
                <w:sz w:val="18"/>
                <w:szCs w:val="18"/>
              </w:rPr>
              <w:t xml:space="preserve">High — student data protection; unverified security posture on activity/cognitive/signal-vector tables.</w:t>
            </w:r>
          </w:p>
        </w:tc>
      </w:tr>
      <w:tr>
        <w:tc>
          <w:tcPr>
            <w:tcW w:type="dxa" w:w="2200"/>
            <w:shd w:fill="DCE6F1" w:val="clear"/>
            <w:vAlign w:val="center"/>
          </w:tcPr>
          <w:p>
            <w:r>
              <w:rPr>
                <w:b w:val="false"/>
                <w:bCs w:val="false"/>
                <w:sz w:val="18"/>
                <w:szCs w:val="18"/>
              </w:rPr>
              <w:t xml:space="preserve">Technical Impact</w:t>
            </w:r>
          </w:p>
        </w:tc>
        <w:tc>
          <w:tcPr>
            <w:tcW w:type="dxa" w:w="7160"/>
            <w:vAlign w:val="center"/>
          </w:tcPr>
          <w:p>
            <w:r>
              <w:rPr>
                <w:b w:val="false"/>
                <w:bCs w:val="false"/>
                <w:sz w:val="18"/>
                <w:szCs w:val="18"/>
              </w:rPr>
              <w:t xml:space="preserve">Security; RLS ownership-check coverage confirmed on 2 tables only, unverified elsewhere.</w:t>
            </w:r>
          </w:p>
        </w:tc>
      </w:tr>
      <w:tr>
        <w:tc>
          <w:tcPr>
            <w:tcW w:type="dxa" w:w="2200"/>
            <w:shd w:fill="DCE6F1" w:val="clear"/>
            <w:vAlign w:val="center"/>
          </w:tcPr>
          <w:p>
            <w:r>
              <w:rPr>
                <w:b w:val="false"/>
                <w:bCs w:val="false"/>
                <w:sz w:val="18"/>
                <w:szCs w:val="18"/>
              </w:rPr>
              <w:t xml:space="preserve">Architecture Requirements Affected</w:t>
            </w:r>
          </w:p>
        </w:tc>
        <w:tc>
          <w:tcPr>
            <w:tcW w:type="dxa" w:w="7160"/>
            <w:vAlign w:val="center"/>
          </w:tcPr>
          <w:p>
            <w:r>
              <w:rPr>
                <w:b w:val="false"/>
                <w:bCs w:val="false"/>
                <w:sz w:val="18"/>
                <w:szCs w:val="18"/>
              </w:rPr>
              <w:t xml:space="preserve">AR-0007 (Security).</w:t>
            </w:r>
          </w:p>
        </w:tc>
      </w:tr>
      <w:tr>
        <w:tc>
          <w:tcPr>
            <w:tcW w:type="dxa" w:w="2200"/>
            <w:shd w:fill="DCE6F1" w:val="clear"/>
            <w:vAlign w:val="center"/>
          </w:tcPr>
          <w:p>
            <w:r>
              <w:rPr>
                <w:b w:val="false"/>
                <w:bCs w:val="false"/>
                <w:sz w:val="18"/>
                <w:szCs w:val="18"/>
              </w:rPr>
              <w:t xml:space="preserve">Enterprise Governance Decisions Affected</w:t>
            </w:r>
          </w:p>
        </w:tc>
        <w:tc>
          <w:tcPr>
            <w:tcW w:type="dxa" w:w="7160"/>
            <w:vAlign w:val="center"/>
          </w:tcPr>
          <w:p>
            <w:r>
              <w:rPr>
                <w:b w:val="false"/>
                <w:bCs w:val="false"/>
                <w:sz w:val="18"/>
                <w:szCs w:val="18"/>
              </w:rPr>
              <w:t xml:space="preserve">EGD-0007 (Realize — verify RLS coverage immediately).</w:t>
            </w:r>
          </w:p>
        </w:tc>
      </w:tr>
      <w:tr>
        <w:tc>
          <w:tcPr>
            <w:tcW w:type="dxa" w:w="2200"/>
            <w:shd w:fill="DCE6F1" w:val="clear"/>
            <w:vAlign w:val="center"/>
          </w:tcPr>
          <w:p>
            <w:r>
              <w:rPr>
                <w:b w:val="false"/>
                <w:bCs w:val="false"/>
                <w:sz w:val="18"/>
                <w:szCs w:val="18"/>
              </w:rPr>
              <w:t xml:space="preserve">Work Packages Affected</w:t>
            </w:r>
          </w:p>
        </w:tc>
        <w:tc>
          <w:tcPr>
            <w:tcW w:type="dxa" w:w="7160"/>
            <w:vAlign w:val="center"/>
          </w:tcPr>
          <w:p>
            <w:r>
              <w:rPr>
                <w:b w:val="false"/>
                <w:bCs w:val="false"/>
                <w:sz w:val="18"/>
                <w:szCs w:val="18"/>
              </w:rPr>
              <w:t xml:space="preserve">WP-0002; extended by WP-0005.</w:t>
            </w:r>
          </w:p>
        </w:tc>
      </w:tr>
      <w:tr>
        <w:tc>
          <w:tcPr>
            <w:tcW w:type="dxa" w:w="2200"/>
            <w:shd w:fill="DCE6F1" w:val="clear"/>
            <w:vAlign w:val="center"/>
          </w:tcPr>
          <w:p>
            <w:r>
              <w:rPr>
                <w:b w:val="false"/>
                <w:bCs w:val="false"/>
                <w:sz w:val="18"/>
                <w:szCs w:val="18"/>
              </w:rPr>
              <w:t xml:space="preserve">Repository Impact</w:t>
            </w:r>
          </w:p>
        </w:tc>
        <w:tc>
          <w:tcPr>
            <w:tcW w:type="dxa" w:w="7160"/>
            <w:vAlign w:val="center"/>
          </w:tcPr>
          <w:p>
            <w:r>
              <w:rPr>
                <w:b w:val="false"/>
                <w:bCs w:val="false"/>
                <w:sz w:val="18"/>
                <w:szCs w:val="18"/>
              </w:rPr>
              <w:t xml:space="preserve">Database and Test repositories — method fully defined, ready to execute.</w:t>
            </w:r>
          </w:p>
        </w:tc>
      </w:tr>
      <w:tr>
        <w:tc>
          <w:tcPr>
            <w:tcW w:type="dxa" w:w="2200"/>
            <w:shd w:fill="DCE6F1" w:val="clear"/>
            <w:vAlign w:val="center"/>
          </w:tcPr>
          <w:p>
            <w:r>
              <w:rPr>
                <w:b w:val="false"/>
                <w:bCs w:val="false"/>
                <w:sz w:val="18"/>
                <w:szCs w:val="18"/>
              </w:rPr>
              <w:t xml:space="preserve">Portfolio Impact</w:t>
            </w:r>
          </w:p>
        </w:tc>
        <w:tc>
          <w:tcPr>
            <w:tcW w:type="dxa" w:w="7160"/>
            <w:vAlign w:val="center"/>
          </w:tcPr>
          <w:p>
            <w:r>
              <w:rPr>
                <w:b w:val="false"/>
                <w:bCs w:val="false"/>
                <w:sz w:val="18"/>
                <w:szCs w:val="18"/>
              </w:rPr>
              <w:t xml:space="preserve">Portfolio 2 (Enterprise Security).</w:t>
            </w:r>
          </w:p>
        </w:tc>
      </w:tr>
      <w:tr>
        <w:tc>
          <w:tcPr>
            <w:tcW w:type="dxa" w:w="2200"/>
            <w:shd w:fill="DCE6F1" w:val="clear"/>
            <w:vAlign w:val="center"/>
          </w:tcPr>
          <w:p>
            <w:r>
              <w:rPr>
                <w:b w:val="false"/>
                <w:bCs w:val="false"/>
                <w:sz w:val="18"/>
                <w:szCs w:val="18"/>
              </w:rPr>
              <w:t xml:space="preserve">Wave Impact</w:t>
            </w:r>
          </w:p>
        </w:tc>
        <w:tc>
          <w:tcPr>
            <w:tcW w:type="dxa" w:w="7160"/>
            <w:vAlign w:val="center"/>
          </w:tcPr>
          <w:p>
            <w:r>
              <w:rPr>
                <w:b w:val="false"/>
                <w:bCs w:val="false"/>
                <w:sz w:val="18"/>
                <w:szCs w:val="18"/>
              </w:rPr>
              <w:t xml:space="preserve">Wave 1 (Critical Foundation) — startable now.</w:t>
            </w:r>
          </w:p>
        </w:tc>
      </w:tr>
      <w:tr>
        <w:tc>
          <w:tcPr>
            <w:tcW w:type="dxa" w:w="2200"/>
            <w:shd w:fill="DCE6F1" w:val="clear"/>
            <w:vAlign w:val="center"/>
          </w:tcPr>
          <w:p>
            <w:r>
              <w:rPr>
                <w:b w:val="false"/>
                <w:bCs w:val="false"/>
                <w:sz w:val="18"/>
                <w:szCs w:val="18"/>
              </w:rPr>
              <w:t xml:space="preserve">Existing Mitigation</w:t>
            </w:r>
          </w:p>
        </w:tc>
        <w:tc>
          <w:tcPr>
            <w:tcW w:type="dxa" w:w="7160"/>
            <w:vAlign w:val="center"/>
          </w:tcPr>
          <w:p>
            <w:r>
              <w:rPr>
                <w:b w:val="false"/>
                <w:bCs w:val="false"/>
                <w:sz w:val="18"/>
                <w:szCs w:val="18"/>
              </w:rPr>
              <w:t xml:space="preserve">WP-0002 scoped as immediate, critical priority; query-based verification method adopted as standing template.</w:t>
            </w:r>
          </w:p>
        </w:tc>
      </w:tr>
      <w:tr>
        <w:tc>
          <w:tcPr>
            <w:tcW w:type="dxa" w:w="2200"/>
            <w:shd w:fill="DCE6F1" w:val="clear"/>
            <w:vAlign w:val="center"/>
          </w:tcPr>
          <w:p>
            <w:r>
              <w:rPr>
                <w:b w:val="false"/>
                <w:bCs w:val="false"/>
                <w:sz w:val="18"/>
                <w:szCs w:val="18"/>
              </w:rPr>
              <w:t xml:space="preserve">Remaining Conditions</w:t>
            </w:r>
          </w:p>
        </w:tc>
        <w:tc>
          <w:tcPr>
            <w:tcW w:type="dxa" w:w="7160"/>
            <w:vAlign w:val="center"/>
          </w:tcPr>
          <w:p>
            <w:r>
              <w:rPr>
                <w:b w:val="false"/>
                <w:bCs w:val="false"/>
                <w:sz w:val="18"/>
                <w:szCs w:val="18"/>
              </w:rPr>
              <w:t xml:space="preserve">Produce written, per-table RLS coverage ledger confirming full coverage.</w:t>
            </w:r>
          </w:p>
        </w:tc>
      </w:tr>
      <w:tr>
        <w:tc>
          <w:tcPr>
            <w:tcW w:type="dxa" w:w="2200"/>
            <w:shd w:fill="DCE6F1" w:val="clear"/>
            <w:vAlign w:val="center"/>
          </w:tcPr>
          <w:p>
            <w:r>
              <w:rPr>
                <w:b w:val="false"/>
                <w:bCs w:val="false"/>
                <w:sz w:val="18"/>
                <w:szCs w:val="18"/>
              </w:rPr>
              <w:t xml:space="preserve">Executive Commentary</w:t>
            </w:r>
          </w:p>
        </w:tc>
        <w:tc>
          <w:tcPr>
            <w:tcW w:type="dxa" w:w="7160"/>
            <w:vAlign w:val="center"/>
          </w:tcPr>
          <w:p>
            <w:r>
              <w:rPr>
                <w:b w:val="false"/>
                <w:bCs w:val="false"/>
                <w:sz w:val="18"/>
                <w:szCs w:val="18"/>
              </w:rPr>
              <w:t xml:space="preserve">Unknown until verified; critical-until-verified per Section 8. Closes the baseline's one open security unknown.</w:t>
            </w:r>
          </w:p>
        </w:tc>
      </w:tr>
    </w:tbl>
    <w:p>
      <w:pPr>
        <w:spacing w:after="160"/>
      </w:pPr>
    </w:p>
    <w:p>
      <w:pPr>
        <w:pStyle w:val="Heading3"/>
        <w:spacing w:after="100" w:before="200"/>
      </w:pPr>
      <w:r>
        <w:t xml:space="preserve">Risk Profile — No Partitioning on 4 High-Growth Tables (WP-0003 / AR-0004 / EGD-0004 / VAR-04)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Business Impact</w:t>
            </w:r>
          </w:p>
        </w:tc>
        <w:tc>
          <w:tcPr>
            <w:tcW w:type="dxa" w:w="7160"/>
            <w:vAlign w:val="center"/>
          </w:tcPr>
          <w:p>
            <w:r>
              <w:rPr>
                <w:b w:val="false"/>
                <w:bCs w:val="false"/>
                <w:sz w:val="18"/>
                <w:szCs w:val="18"/>
              </w:rPr>
              <w:t xml:space="preserve">Medium, time-sensitive; performance/scalability risk as data volume grows.</w:t>
            </w:r>
          </w:p>
        </w:tc>
      </w:tr>
      <w:tr>
        <w:tc>
          <w:tcPr>
            <w:tcW w:type="dxa" w:w="2200"/>
            <w:shd w:fill="DCE6F1" w:val="clear"/>
            <w:vAlign w:val="center"/>
          </w:tcPr>
          <w:p>
            <w:r>
              <w:rPr>
                <w:b w:val="false"/>
                <w:bCs w:val="false"/>
                <w:sz w:val="18"/>
                <w:szCs w:val="18"/>
              </w:rPr>
              <w:t xml:space="preserve">Technical Impact</w:t>
            </w:r>
          </w:p>
        </w:tc>
        <w:tc>
          <w:tcPr>
            <w:tcW w:type="dxa" w:w="7160"/>
            <w:vAlign w:val="center"/>
          </w:tcPr>
          <w:p>
            <w:r>
              <w:rPr>
                <w:b w:val="false"/>
                <w:bCs w:val="false"/>
                <w:sz w:val="18"/>
                <w:szCs w:val="18"/>
              </w:rPr>
              <w:t xml:space="preserve">No native range partitioning on 4 designated tables; no PARTITION BY on domain tables.</w:t>
            </w:r>
          </w:p>
        </w:tc>
      </w:tr>
      <w:tr>
        <w:tc>
          <w:tcPr>
            <w:tcW w:type="dxa" w:w="2200"/>
            <w:shd w:fill="DCE6F1" w:val="clear"/>
            <w:vAlign w:val="center"/>
          </w:tcPr>
          <w:p>
            <w:r>
              <w:rPr>
                <w:b w:val="false"/>
                <w:bCs w:val="false"/>
                <w:sz w:val="18"/>
                <w:szCs w:val="18"/>
              </w:rPr>
              <w:t xml:space="preserve">Architecture Requirements Affected</w:t>
            </w:r>
          </w:p>
        </w:tc>
        <w:tc>
          <w:tcPr>
            <w:tcW w:type="dxa" w:w="7160"/>
            <w:vAlign w:val="center"/>
          </w:tcPr>
          <w:p>
            <w:r>
              <w:rPr>
                <w:b w:val="false"/>
                <w:bCs w:val="false"/>
                <w:sz w:val="18"/>
                <w:szCs w:val="18"/>
              </w:rPr>
              <w:t xml:space="preserve">AR-0004 (Performance/Scalability).</w:t>
            </w:r>
          </w:p>
        </w:tc>
      </w:tr>
      <w:tr>
        <w:tc>
          <w:tcPr>
            <w:tcW w:type="dxa" w:w="2200"/>
            <w:shd w:fill="DCE6F1" w:val="clear"/>
            <w:vAlign w:val="center"/>
          </w:tcPr>
          <w:p>
            <w:r>
              <w:rPr>
                <w:b w:val="false"/>
                <w:bCs w:val="false"/>
                <w:sz w:val="18"/>
                <w:szCs w:val="18"/>
              </w:rPr>
              <w:t xml:space="preserve">Enterprise Governance Decisions Affected</w:t>
            </w:r>
          </w:p>
        </w:tc>
        <w:tc>
          <w:tcPr>
            <w:tcW w:type="dxa" w:w="7160"/>
            <w:vAlign w:val="center"/>
          </w:tcPr>
          <w:p>
            <w:r>
              <w:rPr>
                <w:b w:val="false"/>
                <w:bCs w:val="false"/>
                <w:sz w:val="18"/>
                <w:szCs w:val="18"/>
              </w:rPr>
              <w:t xml:space="preserve">EGD-0004 (Defer partitioning).</w:t>
            </w:r>
          </w:p>
        </w:tc>
      </w:tr>
      <w:tr>
        <w:tc>
          <w:tcPr>
            <w:tcW w:type="dxa" w:w="2200"/>
            <w:shd w:fill="DCE6F1" w:val="clear"/>
            <w:vAlign w:val="center"/>
          </w:tcPr>
          <w:p>
            <w:r>
              <w:rPr>
                <w:b w:val="false"/>
                <w:bCs w:val="false"/>
                <w:sz w:val="18"/>
                <w:szCs w:val="18"/>
              </w:rPr>
              <w:t xml:space="preserve">Work Packages Affected</w:t>
            </w:r>
          </w:p>
        </w:tc>
        <w:tc>
          <w:tcPr>
            <w:tcW w:type="dxa" w:w="7160"/>
            <w:vAlign w:val="center"/>
          </w:tcPr>
          <w:p>
            <w:r>
              <w:rPr>
                <w:b w:val="false"/>
                <w:bCs w:val="false"/>
                <w:sz w:val="18"/>
                <w:szCs w:val="18"/>
              </w:rPr>
              <w:t xml:space="preserve">WP-0003.</w:t>
            </w:r>
          </w:p>
        </w:tc>
      </w:tr>
      <w:tr>
        <w:tc>
          <w:tcPr>
            <w:tcW w:type="dxa" w:w="2200"/>
            <w:shd w:fill="DCE6F1" w:val="clear"/>
            <w:vAlign w:val="center"/>
          </w:tcPr>
          <w:p>
            <w:r>
              <w:rPr>
                <w:b w:val="false"/>
                <w:bCs w:val="false"/>
                <w:sz w:val="18"/>
                <w:szCs w:val="18"/>
              </w:rPr>
              <w:t xml:space="preserve">Repository Impact</w:t>
            </w:r>
          </w:p>
        </w:tc>
        <w:tc>
          <w:tcPr>
            <w:tcW w:type="dxa" w:w="7160"/>
            <w:vAlign w:val="center"/>
          </w:tcPr>
          <w:p>
            <w:r>
              <w:rPr>
                <w:b w:val="false"/>
                <w:bCs w:val="false"/>
                <w:sz w:val="18"/>
                <w:szCs w:val="18"/>
              </w:rPr>
              <w:t xml:space="preserve">Database Repository — assessment scoped, not yet triggered.</w:t>
            </w:r>
          </w:p>
        </w:tc>
      </w:tr>
      <w:tr>
        <w:tc>
          <w:tcPr>
            <w:tcW w:type="dxa" w:w="2200"/>
            <w:shd w:fill="DCE6F1" w:val="clear"/>
            <w:vAlign w:val="center"/>
          </w:tcPr>
          <w:p>
            <w:r>
              <w:rPr>
                <w:b w:val="false"/>
                <w:bCs w:val="false"/>
                <w:sz w:val="18"/>
                <w:szCs w:val="18"/>
              </w:rPr>
              <w:t xml:space="preserve">Portfolio Impact</w:t>
            </w:r>
          </w:p>
        </w:tc>
        <w:tc>
          <w:tcPr>
            <w:tcW w:type="dxa" w:w="7160"/>
            <w:vAlign w:val="center"/>
          </w:tcPr>
          <w:p>
            <w:r>
              <w:rPr>
                <w:b w:val="false"/>
                <w:bCs w:val="false"/>
                <w:sz w:val="18"/>
                <w:szCs w:val="18"/>
              </w:rPr>
              <w:t xml:space="preserve">Portfolio 1 (Enterprise Data Platform).</w:t>
            </w:r>
          </w:p>
        </w:tc>
      </w:tr>
      <w:tr>
        <w:tc>
          <w:tcPr>
            <w:tcW w:type="dxa" w:w="2200"/>
            <w:shd w:fill="DCE6F1" w:val="clear"/>
            <w:vAlign w:val="center"/>
          </w:tcPr>
          <w:p>
            <w:r>
              <w:rPr>
                <w:b w:val="false"/>
                <w:bCs w:val="false"/>
                <w:sz w:val="18"/>
                <w:szCs w:val="18"/>
              </w:rPr>
              <w:t xml:space="preserve">Wave Impact</w:t>
            </w:r>
          </w:p>
        </w:tc>
        <w:tc>
          <w:tcPr>
            <w:tcW w:type="dxa" w:w="7160"/>
            <w:vAlign w:val="center"/>
          </w:tcPr>
          <w:p>
            <w:r>
              <w:rPr>
                <w:b w:val="false"/>
                <w:bCs w:val="false"/>
                <w:sz w:val="18"/>
                <w:szCs w:val="18"/>
              </w:rPr>
              <w:t xml:space="preserve">Wave 3 (Trigger-Gated) — dormant, monitoring-only.</w:t>
            </w:r>
          </w:p>
        </w:tc>
      </w:tr>
      <w:tr>
        <w:tc>
          <w:tcPr>
            <w:tcW w:type="dxa" w:w="2200"/>
            <w:shd w:fill="DCE6F1" w:val="clear"/>
            <w:vAlign w:val="center"/>
          </w:tcPr>
          <w:p>
            <w:r>
              <w:rPr>
                <w:b w:val="false"/>
                <w:bCs w:val="false"/>
                <w:sz w:val="18"/>
                <w:szCs w:val="18"/>
              </w:rPr>
              <w:t xml:space="preserve">Existing Mitigation</w:t>
            </w:r>
          </w:p>
        </w:tc>
        <w:tc>
          <w:tcPr>
            <w:tcW w:type="dxa" w:w="7160"/>
            <w:vAlign w:val="center"/>
          </w:tcPr>
          <w:p>
            <w:r>
              <w:rPr>
                <w:b w:val="false"/>
                <w:bCs w:val="false"/>
                <w:sz w:val="18"/>
                <w:szCs w:val="18"/>
              </w:rPr>
              <w:t xml:space="preserve">EGD-0004 trigger defined: tables exceed 10M rows, latency degrades, or 10-downstream-system scale target reached; VAR-04 reviewed quarterly.</w:t>
            </w:r>
          </w:p>
        </w:tc>
      </w:tr>
      <w:tr>
        <w:tc>
          <w:tcPr>
            <w:tcW w:type="dxa" w:w="2200"/>
            <w:shd w:fill="DCE6F1" w:val="clear"/>
            <w:vAlign w:val="center"/>
          </w:tcPr>
          <w:p>
            <w:r>
              <w:rPr>
                <w:b w:val="false"/>
                <w:bCs w:val="false"/>
                <w:sz w:val="18"/>
                <w:szCs w:val="18"/>
              </w:rPr>
              <w:t xml:space="preserve">Remaining Conditions</w:t>
            </w:r>
          </w:p>
        </w:tc>
        <w:tc>
          <w:tcPr>
            <w:tcW w:type="dxa" w:w="7160"/>
            <w:vAlign w:val="center"/>
          </w:tcPr>
          <w:p>
            <w:r>
              <w:rPr>
                <w:b w:val="false"/>
                <w:bCs w:val="false"/>
                <w:sz w:val="18"/>
                <w:szCs w:val="18"/>
              </w:rPr>
              <w:t xml:space="preserve">Row-count/growth data not yet gathered (external dependency).</w:t>
            </w:r>
          </w:p>
        </w:tc>
      </w:tr>
      <w:tr>
        <w:tc>
          <w:tcPr>
            <w:tcW w:type="dxa" w:w="2200"/>
            <w:shd w:fill="DCE6F1" w:val="clear"/>
            <w:vAlign w:val="center"/>
          </w:tcPr>
          <w:p>
            <w:r>
              <w:rPr>
                <w:b w:val="false"/>
                <w:bCs w:val="false"/>
                <w:sz w:val="18"/>
                <w:szCs w:val="18"/>
              </w:rPr>
              <w:t xml:space="preserve">Executive Commentary</w:t>
            </w:r>
          </w:p>
        </w:tc>
        <w:tc>
          <w:tcPr>
            <w:tcW w:type="dxa" w:w="7160"/>
            <w:vAlign w:val="center"/>
          </w:tcPr>
          <w:p>
            <w:r>
              <w:rPr>
                <w:b w:val="false"/>
                <w:bCs w:val="false"/>
                <w:sz w:val="18"/>
                <w:szCs w:val="18"/>
              </w:rPr>
              <w:t xml:space="preserve">Medium, growing risk; not immediate. Deferred, conformant governance outcome, not a gap.</w:t>
            </w:r>
          </w:p>
        </w:tc>
      </w:tr>
    </w:tbl>
    <w:p>
      <w:pPr>
        <w:spacing w:after="160"/>
      </w:pPr>
    </w:p>
    <w:p>
      <w:pPr>
        <w:pStyle w:val="Heading3"/>
        <w:spacing w:after="100" w:before="200"/>
      </w:pPr>
      <w:r>
        <w:t xml:space="preserve">Risk Profile — Direct-FK Taxonomy Denormalization (WP-0004 / AR-0003 / EGD-0003 / VAR-03)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Business Impact</w:t>
            </w:r>
          </w:p>
        </w:tc>
        <w:tc>
          <w:tcPr>
            <w:tcW w:type="dxa" w:w="7160"/>
            <w:vAlign w:val="center"/>
          </w:tcPr>
          <w:p>
            <w:r>
              <w:rPr>
                <w:b w:val="false"/>
                <w:bCs w:val="false"/>
                <w:sz w:val="18"/>
                <w:szCs w:val="18"/>
              </w:rPr>
              <w:t xml:space="preserve">Medium — data governance; potential inconsistency if taxonomy versioning becomes necessary.</w:t>
            </w:r>
          </w:p>
        </w:tc>
      </w:tr>
      <w:tr>
        <w:tc>
          <w:tcPr>
            <w:tcW w:type="dxa" w:w="2200"/>
            <w:shd w:fill="DCE6F1" w:val="clear"/>
            <w:vAlign w:val="center"/>
          </w:tcPr>
          <w:p>
            <w:r>
              <w:rPr>
                <w:b w:val="false"/>
                <w:bCs w:val="false"/>
                <w:sz w:val="18"/>
                <w:szCs w:val="18"/>
              </w:rPr>
              <w:t xml:space="preserve">Technical Impact</w:t>
            </w:r>
          </w:p>
        </w:tc>
        <w:tc>
          <w:tcPr>
            <w:tcW w:type="dxa" w:w="7160"/>
            <w:vAlign w:val="center"/>
          </w:tcPr>
          <w:p>
            <w:r>
              <w:rPr>
                <w:b w:val="false"/>
                <w:bCs w:val="false"/>
                <w:sz w:val="18"/>
                <w:szCs w:val="18"/>
              </w:rPr>
              <w:t xml:space="preserve">academic_boards.country_id direct FK used instead of _code + taxonomy_version_id pattern.</w:t>
            </w:r>
          </w:p>
        </w:tc>
      </w:tr>
      <w:tr>
        <w:tc>
          <w:tcPr>
            <w:tcW w:type="dxa" w:w="2200"/>
            <w:shd w:fill="DCE6F1" w:val="clear"/>
            <w:vAlign w:val="center"/>
          </w:tcPr>
          <w:p>
            <w:r>
              <w:rPr>
                <w:b w:val="false"/>
                <w:bCs w:val="false"/>
                <w:sz w:val="18"/>
                <w:szCs w:val="18"/>
              </w:rPr>
              <w:t xml:space="preserve">Architecture Requirements Affected</w:t>
            </w:r>
          </w:p>
        </w:tc>
        <w:tc>
          <w:tcPr>
            <w:tcW w:type="dxa" w:w="7160"/>
            <w:vAlign w:val="center"/>
          </w:tcPr>
          <w:p>
            <w:r>
              <w:rPr>
                <w:b w:val="false"/>
                <w:bCs w:val="false"/>
                <w:sz w:val="18"/>
                <w:szCs w:val="18"/>
              </w:rPr>
              <w:t xml:space="preserve">AR-0003 (Data Governance).</w:t>
            </w:r>
          </w:p>
        </w:tc>
      </w:tr>
      <w:tr>
        <w:tc>
          <w:tcPr>
            <w:tcW w:type="dxa" w:w="2200"/>
            <w:shd w:fill="DCE6F1" w:val="clear"/>
            <w:vAlign w:val="center"/>
          </w:tcPr>
          <w:p>
            <w:r>
              <w:rPr>
                <w:b w:val="false"/>
                <w:bCs w:val="false"/>
                <w:sz w:val="18"/>
                <w:szCs w:val="18"/>
              </w:rPr>
              <w:t xml:space="preserve">Enterprise Governance Decisions Affected</w:t>
            </w:r>
          </w:p>
        </w:tc>
        <w:tc>
          <w:tcPr>
            <w:tcW w:type="dxa" w:w="7160"/>
            <w:vAlign w:val="center"/>
          </w:tcPr>
          <w:p>
            <w:r>
              <w:rPr>
                <w:b w:val="false"/>
                <w:bCs w:val="false"/>
                <w:sz w:val="18"/>
                <w:szCs w:val="18"/>
              </w:rPr>
              <w:t xml:space="preserve">EGD-0003 (Accept direct-FK pattern, conditionally).</w:t>
            </w:r>
          </w:p>
        </w:tc>
      </w:tr>
      <w:tr>
        <w:tc>
          <w:tcPr>
            <w:tcW w:type="dxa" w:w="2200"/>
            <w:shd w:fill="DCE6F1" w:val="clear"/>
            <w:vAlign w:val="center"/>
          </w:tcPr>
          <w:p>
            <w:r>
              <w:rPr>
                <w:b w:val="false"/>
                <w:bCs w:val="false"/>
                <w:sz w:val="18"/>
                <w:szCs w:val="18"/>
              </w:rPr>
              <w:t xml:space="preserve">Work Packages Affected</w:t>
            </w:r>
          </w:p>
        </w:tc>
        <w:tc>
          <w:tcPr>
            <w:tcW w:type="dxa" w:w="7160"/>
            <w:vAlign w:val="center"/>
          </w:tcPr>
          <w:p>
            <w:r>
              <w:rPr>
                <w:b w:val="false"/>
                <w:bCs w:val="false"/>
                <w:sz w:val="18"/>
                <w:szCs w:val="18"/>
              </w:rPr>
              <w:t xml:space="preserve">WP-0004; benefits from WP-0001 naming clarity.</w:t>
            </w:r>
          </w:p>
        </w:tc>
      </w:tr>
      <w:tr>
        <w:tc>
          <w:tcPr>
            <w:tcW w:type="dxa" w:w="2200"/>
            <w:shd w:fill="DCE6F1" w:val="clear"/>
            <w:vAlign w:val="center"/>
          </w:tcPr>
          <w:p>
            <w:r>
              <w:rPr>
                <w:b w:val="false"/>
                <w:bCs w:val="false"/>
                <w:sz w:val="18"/>
                <w:szCs w:val="18"/>
              </w:rPr>
              <w:t xml:space="preserve">Repository Impact</w:t>
            </w:r>
          </w:p>
        </w:tc>
        <w:tc>
          <w:tcPr>
            <w:tcW w:type="dxa" w:w="7160"/>
            <w:vAlign w:val="center"/>
          </w:tcPr>
          <w:p>
            <w:r>
              <w:rPr>
                <w:b w:val="false"/>
                <w:bCs w:val="false"/>
                <w:sz w:val="18"/>
                <w:szCs w:val="18"/>
              </w:rPr>
              <w:t xml:space="preserve">Database and Test repositories — per-release check scoped, not yet operating.</w:t>
            </w:r>
          </w:p>
        </w:tc>
      </w:tr>
      <w:tr>
        <w:tc>
          <w:tcPr>
            <w:tcW w:type="dxa" w:w="2200"/>
            <w:shd w:fill="DCE6F1" w:val="clear"/>
            <w:vAlign w:val="center"/>
          </w:tcPr>
          <w:p>
            <w:r>
              <w:rPr>
                <w:b w:val="false"/>
                <w:bCs w:val="false"/>
                <w:sz w:val="18"/>
                <w:szCs w:val="18"/>
              </w:rPr>
              <w:t xml:space="preserve">Portfolio Impact</w:t>
            </w:r>
          </w:p>
        </w:tc>
        <w:tc>
          <w:tcPr>
            <w:tcW w:type="dxa" w:w="7160"/>
            <w:vAlign w:val="center"/>
          </w:tcPr>
          <w:p>
            <w:r>
              <w:rPr>
                <w:b w:val="false"/>
                <w:bCs w:val="false"/>
                <w:sz w:val="18"/>
                <w:szCs w:val="18"/>
              </w:rPr>
              <w:t xml:space="preserve">Portfolio 1 (Enterprise Data Platform).</w:t>
            </w:r>
          </w:p>
        </w:tc>
      </w:tr>
      <w:tr>
        <w:tc>
          <w:tcPr>
            <w:tcW w:type="dxa" w:w="2200"/>
            <w:shd w:fill="DCE6F1" w:val="clear"/>
            <w:vAlign w:val="center"/>
          </w:tcPr>
          <w:p>
            <w:r>
              <w:rPr>
                <w:b w:val="false"/>
                <w:bCs w:val="false"/>
                <w:sz w:val="18"/>
                <w:szCs w:val="18"/>
              </w:rPr>
              <w:t xml:space="preserve">Wave Impact</w:t>
            </w:r>
          </w:p>
        </w:tc>
        <w:tc>
          <w:tcPr>
            <w:tcW w:type="dxa" w:w="7160"/>
            <w:vAlign w:val="center"/>
          </w:tcPr>
          <w:p>
            <w:r>
              <w:rPr>
                <w:b w:val="false"/>
                <w:bCs w:val="false"/>
                <w:sz w:val="18"/>
                <w:szCs w:val="18"/>
              </w:rPr>
              <w:t xml:space="preserve">Wave 2 (Platform Stabilization).</w:t>
            </w:r>
          </w:p>
        </w:tc>
      </w:tr>
      <w:tr>
        <w:tc>
          <w:tcPr>
            <w:tcW w:type="dxa" w:w="2200"/>
            <w:shd w:fill="DCE6F1" w:val="clear"/>
            <w:vAlign w:val="center"/>
          </w:tcPr>
          <w:p>
            <w:r>
              <w:rPr>
                <w:b w:val="false"/>
                <w:bCs w:val="false"/>
                <w:sz w:val="18"/>
                <w:szCs w:val="18"/>
              </w:rPr>
              <w:t xml:space="preserve">Existing Mitigation</w:t>
            </w:r>
          </w:p>
        </w:tc>
        <w:tc>
          <w:tcPr>
            <w:tcW w:type="dxa" w:w="7160"/>
            <w:vAlign w:val="center"/>
          </w:tcPr>
          <w:p>
            <w:r>
              <w:rPr>
                <w:b w:val="false"/>
                <w:bCs w:val="false"/>
                <w:sz w:val="18"/>
                <w:szCs w:val="18"/>
              </w:rPr>
              <w:t xml:space="preserve">EGD-0003 condition defined: re-opens if any student-owned table denormalizes a taxonomy fact, or taxonomy versioning becomes necessary; VAR-03 reviewed per-release.</w:t>
            </w:r>
          </w:p>
        </w:tc>
      </w:tr>
      <w:tr>
        <w:tc>
          <w:tcPr>
            <w:tcW w:type="dxa" w:w="2200"/>
            <w:shd w:fill="DCE6F1" w:val="clear"/>
            <w:vAlign w:val="center"/>
          </w:tcPr>
          <w:p>
            <w:r>
              <w:rPr>
                <w:b w:val="false"/>
                <w:bCs w:val="false"/>
                <w:sz w:val="18"/>
                <w:szCs w:val="18"/>
              </w:rPr>
              <w:t xml:space="preserve">Remaining Conditions</w:t>
            </w:r>
          </w:p>
        </w:tc>
        <w:tc>
          <w:tcPr>
            <w:tcW w:type="dxa" w:w="7160"/>
            <w:vAlign w:val="center"/>
          </w:tcPr>
          <w:p>
            <w:r>
              <w:rPr>
                <w:b w:val="false"/>
                <w:bCs w:val="false"/>
                <w:sz w:val="18"/>
                <w:szCs w:val="18"/>
              </w:rPr>
              <w:t xml:space="preserve">Publish pattern documentation; establish per-release automated denormalization check.</w:t>
            </w:r>
          </w:p>
        </w:tc>
      </w:tr>
      <w:tr>
        <w:tc>
          <w:tcPr>
            <w:tcW w:type="dxa" w:w="2200"/>
            <w:shd w:fill="DCE6F1" w:val="clear"/>
            <w:vAlign w:val="center"/>
          </w:tcPr>
          <w:p>
            <w:r>
              <w:rPr>
                <w:b w:val="false"/>
                <w:bCs w:val="false"/>
                <w:sz w:val="18"/>
                <w:szCs w:val="18"/>
              </w:rPr>
              <w:t xml:space="preserve">Executive Commentary</w:t>
            </w:r>
          </w:p>
        </w:tc>
        <w:tc>
          <w:tcPr>
            <w:tcW w:type="dxa" w:w="7160"/>
            <w:vAlign w:val="center"/>
          </w:tcPr>
          <w:p>
            <w:r>
              <w:rPr>
                <w:b w:val="false"/>
                <w:bCs w:val="false"/>
                <w:sz w:val="18"/>
                <w:szCs w:val="18"/>
              </w:rPr>
              <w:t xml:space="preserve">Low currently, medium latent if unmonitored; stable pending WP-0004.</w:t>
            </w:r>
          </w:p>
        </w:tc>
      </w:tr>
    </w:tbl>
    <w:p>
      <w:pPr>
        <w:spacing w:after="160"/>
      </w:pPr>
    </w:p>
    <w:p>
      <w:pPr>
        <w:pStyle w:val="Heading3"/>
        <w:spacing w:after="100" w:before="200"/>
      </w:pPr>
      <w:r>
        <w:t xml:space="preserve">Risk Profile — Column-Level Access on Free-Text/JSON Payloads (WP-0005 / AR-0007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Business Impact</w:t>
            </w:r>
          </w:p>
        </w:tc>
        <w:tc>
          <w:tcPr>
            <w:tcW w:type="dxa" w:w="7160"/>
            <w:vAlign w:val="center"/>
          </w:tcPr>
          <w:p>
            <w:r>
              <w:rPr>
                <w:b w:val="false"/>
                <w:bCs w:val="false"/>
                <w:sz w:val="18"/>
                <w:szCs w:val="18"/>
              </w:rPr>
              <w:t xml:space="preserve">Medium — extends student data protection scope to free-text/JSON payload columns (e.g., cognitive raw responses).</w:t>
            </w:r>
          </w:p>
        </w:tc>
      </w:tr>
      <w:tr>
        <w:tc>
          <w:tcPr>
            <w:tcW w:type="dxa" w:w="2200"/>
            <w:shd w:fill="DCE6F1" w:val="clear"/>
            <w:vAlign w:val="center"/>
          </w:tcPr>
          <w:p>
            <w:r>
              <w:rPr>
                <w:b w:val="false"/>
                <w:bCs w:val="false"/>
                <w:sz w:val="18"/>
                <w:szCs w:val="18"/>
              </w:rPr>
              <w:t xml:space="preserve">Technical Impact</w:t>
            </w:r>
          </w:p>
        </w:tc>
        <w:tc>
          <w:tcPr>
            <w:tcW w:type="dxa" w:w="7160"/>
            <w:vAlign w:val="center"/>
          </w:tcPr>
          <w:p>
            <w:r>
              <w:rPr>
                <w:b w:val="false"/>
                <w:bCs w:val="false"/>
                <w:sz w:val="18"/>
                <w:szCs w:val="18"/>
              </w:rPr>
              <w:t xml:space="preserve">Security; column-level access review not yet started for payload columns outside WP-0002's table-level scope.</w:t>
            </w:r>
          </w:p>
        </w:tc>
      </w:tr>
      <w:tr>
        <w:tc>
          <w:tcPr>
            <w:tcW w:type="dxa" w:w="2200"/>
            <w:shd w:fill="DCE6F1" w:val="clear"/>
            <w:vAlign w:val="center"/>
          </w:tcPr>
          <w:p>
            <w:r>
              <w:rPr>
                <w:b w:val="false"/>
                <w:bCs w:val="false"/>
                <w:sz w:val="18"/>
                <w:szCs w:val="18"/>
              </w:rPr>
              <w:t xml:space="preserve">Architecture Requirements Affected</w:t>
            </w:r>
          </w:p>
        </w:tc>
        <w:tc>
          <w:tcPr>
            <w:tcW w:type="dxa" w:w="7160"/>
            <w:vAlign w:val="center"/>
          </w:tcPr>
          <w:p>
            <w:r>
              <w:rPr>
                <w:b w:val="false"/>
                <w:bCs w:val="false"/>
                <w:sz w:val="18"/>
                <w:szCs w:val="18"/>
              </w:rPr>
              <w:t xml:space="preserve">AR-0007 (extension).</w:t>
            </w:r>
          </w:p>
        </w:tc>
      </w:tr>
      <w:tr>
        <w:tc>
          <w:tcPr>
            <w:tcW w:type="dxa" w:w="2200"/>
            <w:shd w:fill="DCE6F1" w:val="clear"/>
            <w:vAlign w:val="center"/>
          </w:tcPr>
          <w:p>
            <w:r>
              <w:rPr>
                <w:b w:val="false"/>
                <w:bCs w:val="false"/>
                <w:sz w:val="18"/>
                <w:szCs w:val="18"/>
              </w:rPr>
              <w:t xml:space="preserve">Enterprise Governance Decisions Affected</w:t>
            </w:r>
          </w:p>
        </w:tc>
        <w:tc>
          <w:tcPr>
            <w:tcW w:type="dxa" w:w="7160"/>
            <w:vAlign w:val="center"/>
          </w:tcPr>
          <w:p>
            <w:r>
              <w:rPr>
                <w:b w:val="false"/>
                <w:bCs w:val="false"/>
                <w:sz w:val="18"/>
                <w:szCs w:val="18"/>
              </w:rPr>
              <w:t xml:space="preserve">EGD-0007 (Realize, extension).</w:t>
            </w:r>
          </w:p>
        </w:tc>
      </w:tr>
      <w:tr>
        <w:tc>
          <w:tcPr>
            <w:tcW w:type="dxa" w:w="2200"/>
            <w:shd w:fill="DCE6F1" w:val="clear"/>
            <w:vAlign w:val="center"/>
          </w:tcPr>
          <w:p>
            <w:r>
              <w:rPr>
                <w:b w:val="false"/>
                <w:bCs w:val="false"/>
                <w:sz w:val="18"/>
                <w:szCs w:val="18"/>
              </w:rPr>
              <w:t xml:space="preserve">Work Packages Affected</w:t>
            </w:r>
          </w:p>
        </w:tc>
        <w:tc>
          <w:tcPr>
            <w:tcW w:type="dxa" w:w="7160"/>
            <w:vAlign w:val="center"/>
          </w:tcPr>
          <w:p>
            <w:r>
              <w:rPr>
                <w:b w:val="false"/>
                <w:bCs w:val="false"/>
                <w:sz w:val="18"/>
                <w:szCs w:val="18"/>
              </w:rPr>
              <w:t xml:space="preserve">WP-0005; sequenced after WP-0002 completion.</w:t>
            </w:r>
          </w:p>
        </w:tc>
      </w:tr>
      <w:tr>
        <w:tc>
          <w:tcPr>
            <w:tcW w:type="dxa" w:w="2200"/>
            <w:shd w:fill="DCE6F1" w:val="clear"/>
            <w:vAlign w:val="center"/>
          </w:tcPr>
          <w:p>
            <w:r>
              <w:rPr>
                <w:b w:val="false"/>
                <w:bCs w:val="false"/>
                <w:sz w:val="18"/>
                <w:szCs w:val="18"/>
              </w:rPr>
              <w:t xml:space="preserve">Repository Impact</w:t>
            </w:r>
          </w:p>
        </w:tc>
        <w:tc>
          <w:tcPr>
            <w:tcW w:type="dxa" w:w="7160"/>
            <w:vAlign w:val="center"/>
          </w:tcPr>
          <w:p>
            <w:r>
              <w:rPr>
                <w:b w:val="false"/>
                <w:bCs w:val="false"/>
                <w:sz w:val="18"/>
                <w:szCs w:val="18"/>
              </w:rPr>
              <w:t xml:space="preserve">Database and Test repositories.</w:t>
            </w:r>
          </w:p>
        </w:tc>
      </w:tr>
      <w:tr>
        <w:tc>
          <w:tcPr>
            <w:tcW w:type="dxa" w:w="2200"/>
            <w:shd w:fill="DCE6F1" w:val="clear"/>
            <w:vAlign w:val="center"/>
          </w:tcPr>
          <w:p>
            <w:r>
              <w:rPr>
                <w:b w:val="false"/>
                <w:bCs w:val="false"/>
                <w:sz w:val="18"/>
                <w:szCs w:val="18"/>
              </w:rPr>
              <w:t xml:space="preserve">Portfolio Impact</w:t>
            </w:r>
          </w:p>
        </w:tc>
        <w:tc>
          <w:tcPr>
            <w:tcW w:type="dxa" w:w="7160"/>
            <w:vAlign w:val="center"/>
          </w:tcPr>
          <w:p>
            <w:r>
              <w:rPr>
                <w:b w:val="false"/>
                <w:bCs w:val="false"/>
                <w:sz w:val="18"/>
                <w:szCs w:val="18"/>
              </w:rPr>
              <w:t xml:space="preserve">Portfolio 2 (Enterprise Security).</w:t>
            </w:r>
          </w:p>
        </w:tc>
      </w:tr>
      <w:tr>
        <w:tc>
          <w:tcPr>
            <w:tcW w:type="dxa" w:w="2200"/>
            <w:shd w:fill="DCE6F1" w:val="clear"/>
            <w:vAlign w:val="center"/>
          </w:tcPr>
          <w:p>
            <w:r>
              <w:rPr>
                <w:b w:val="false"/>
                <w:bCs w:val="false"/>
                <w:sz w:val="18"/>
                <w:szCs w:val="18"/>
              </w:rPr>
              <w:t xml:space="preserve">Wave Impact</w:t>
            </w:r>
          </w:p>
        </w:tc>
        <w:tc>
          <w:tcPr>
            <w:tcW w:type="dxa" w:w="7160"/>
            <w:vAlign w:val="center"/>
          </w:tcPr>
          <w:p>
            <w:r>
              <w:rPr>
                <w:b w:val="false"/>
                <w:bCs w:val="false"/>
                <w:sz w:val="18"/>
                <w:szCs w:val="18"/>
              </w:rPr>
              <w:t xml:space="preserve">Wave 2 — dependent on Wave 1 (WP-0002) completing first.</w:t>
            </w:r>
          </w:p>
        </w:tc>
      </w:tr>
      <w:tr>
        <w:tc>
          <w:tcPr>
            <w:tcW w:type="dxa" w:w="2200"/>
            <w:shd w:fill="DCE6F1" w:val="clear"/>
            <w:vAlign w:val="center"/>
          </w:tcPr>
          <w:p>
            <w:r>
              <w:rPr>
                <w:b w:val="false"/>
                <w:bCs w:val="false"/>
                <w:sz w:val="18"/>
                <w:szCs w:val="18"/>
              </w:rPr>
              <w:t xml:space="preserve">Existing Mitigation</w:t>
            </w:r>
          </w:p>
        </w:tc>
        <w:tc>
          <w:tcPr>
            <w:tcW w:type="dxa" w:w="7160"/>
            <w:vAlign w:val="center"/>
          </w:tcPr>
          <w:p>
            <w:r>
              <w:rPr>
                <w:b w:val="false"/>
                <w:bCs w:val="false"/>
                <w:sz w:val="18"/>
                <w:szCs w:val="18"/>
              </w:rPr>
              <w:t xml:space="preserve">Manual review reusing the WP-0002 verification template at column granularity.</w:t>
            </w:r>
          </w:p>
        </w:tc>
      </w:tr>
      <w:tr>
        <w:tc>
          <w:tcPr>
            <w:tcW w:type="dxa" w:w="2200"/>
            <w:shd w:fill="DCE6F1" w:val="clear"/>
            <w:vAlign w:val="center"/>
          </w:tcPr>
          <w:p>
            <w:r>
              <w:rPr>
                <w:b w:val="false"/>
                <w:bCs w:val="false"/>
                <w:sz w:val="18"/>
                <w:szCs w:val="18"/>
              </w:rPr>
              <w:t xml:space="preserve">Remaining Conditions</w:t>
            </w:r>
          </w:p>
        </w:tc>
        <w:tc>
          <w:tcPr>
            <w:tcW w:type="dxa" w:w="7160"/>
            <w:vAlign w:val="center"/>
          </w:tcPr>
          <w:p>
            <w:r>
              <w:rPr>
                <w:b w:val="false"/>
                <w:bCs w:val="false"/>
                <w:sz w:val="18"/>
                <w:szCs w:val="18"/>
              </w:rPr>
              <w:t xml:space="preserve">WP-0002 completion; documented per-column decision; published review report.</w:t>
            </w:r>
          </w:p>
        </w:tc>
      </w:tr>
      <w:tr>
        <w:tc>
          <w:tcPr>
            <w:tcW w:type="dxa" w:w="2200"/>
            <w:shd w:fill="DCE6F1" w:val="clear"/>
            <w:vAlign w:val="center"/>
          </w:tcPr>
          <w:p>
            <w:r>
              <w:rPr>
                <w:b w:val="false"/>
                <w:bCs w:val="false"/>
                <w:sz w:val="18"/>
                <w:szCs w:val="18"/>
              </w:rPr>
              <w:t xml:space="preserve">Executive Commentary</w:t>
            </w:r>
          </w:p>
        </w:tc>
        <w:tc>
          <w:tcPr>
            <w:tcW w:type="dxa" w:w="7160"/>
            <w:vAlign w:val="center"/>
          </w:tcPr>
          <w:p>
            <w:r>
              <w:rPr>
                <w:b w:val="false"/>
                <w:bCs w:val="false"/>
                <w:sz w:val="18"/>
                <w:szCs w:val="18"/>
              </w:rPr>
              <w:t xml:space="preserve">Low–medium, latent; optional dependency, parallel-eligible once WP-0002 concludes.</w:t>
            </w:r>
          </w:p>
        </w:tc>
      </w:tr>
    </w:tbl>
    <w:p>
      <w:pPr>
        <w:spacing w:after="160"/>
      </w:pPr>
    </w:p>
    <w:p>
      <w:pPr>
        <w:pStyle w:val="Heading3"/>
        <w:spacing w:after="100" w:before="200"/>
      </w:pPr>
      <w:r>
        <w:t xml:space="preserve">Risk Profile — Supersession/Versioning Model Deferred (AR-0006 / EGD-0006)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Business Impact</w:t>
            </w:r>
          </w:p>
        </w:tc>
        <w:tc>
          <w:tcPr>
            <w:tcW w:type="dxa" w:w="7160"/>
            <w:vAlign w:val="center"/>
          </w:tcPr>
          <w:p>
            <w:r>
              <w:rPr>
                <w:b w:val="false"/>
                <w:bCs w:val="false"/>
                <w:sz w:val="18"/>
                <w:szCs w:val="18"/>
              </w:rPr>
              <w:t xml:space="preserve">High if triggered late — compliance/audit exposure for immutable historical records.</w:t>
            </w:r>
          </w:p>
        </w:tc>
      </w:tr>
      <w:tr>
        <w:tc>
          <w:tcPr>
            <w:tcW w:type="dxa" w:w="2200"/>
            <w:shd w:fill="DCE6F1" w:val="clear"/>
            <w:vAlign w:val="center"/>
          </w:tcPr>
          <w:p>
            <w:r>
              <w:rPr>
                <w:b w:val="false"/>
                <w:bCs w:val="false"/>
                <w:sz w:val="18"/>
                <w:szCs w:val="18"/>
              </w:rPr>
              <w:t xml:space="preserve">Technical Impact</w:t>
            </w:r>
          </w:p>
        </w:tc>
        <w:tc>
          <w:tcPr>
            <w:tcW w:type="dxa" w:w="7160"/>
            <w:vAlign w:val="center"/>
          </w:tcPr>
          <w:p>
            <w:r>
              <w:rPr>
                <w:b w:val="false"/>
                <w:bCs w:val="false"/>
                <w:sz w:val="18"/>
                <w:szCs w:val="18"/>
              </w:rPr>
              <w:t xml:space="preserve">No self-referencing supersession columns for corrected historical records; update-based history in use.</w:t>
            </w:r>
          </w:p>
        </w:tc>
      </w:tr>
      <w:tr>
        <w:tc>
          <w:tcPr>
            <w:tcW w:type="dxa" w:w="2200"/>
            <w:shd w:fill="DCE6F1" w:val="clear"/>
            <w:vAlign w:val="center"/>
          </w:tcPr>
          <w:p>
            <w:r>
              <w:rPr>
                <w:b w:val="false"/>
                <w:bCs w:val="false"/>
                <w:sz w:val="18"/>
                <w:szCs w:val="18"/>
              </w:rPr>
              <w:t xml:space="preserve">Architecture Requirements Affected</w:t>
            </w:r>
          </w:p>
        </w:tc>
        <w:tc>
          <w:tcPr>
            <w:tcW w:type="dxa" w:w="7160"/>
            <w:vAlign w:val="center"/>
          </w:tcPr>
          <w:p>
            <w:r>
              <w:rPr>
                <w:b w:val="false"/>
                <w:bCs w:val="false"/>
                <w:sz w:val="18"/>
                <w:szCs w:val="18"/>
              </w:rPr>
              <w:t xml:space="preserve">AR-0006 (Data Governance).</w:t>
            </w:r>
          </w:p>
        </w:tc>
      </w:tr>
      <w:tr>
        <w:tc>
          <w:tcPr>
            <w:tcW w:type="dxa" w:w="2200"/>
            <w:shd w:fill="DCE6F1" w:val="clear"/>
            <w:vAlign w:val="center"/>
          </w:tcPr>
          <w:p>
            <w:r>
              <w:rPr>
                <w:b w:val="false"/>
                <w:bCs w:val="false"/>
                <w:sz w:val="18"/>
                <w:szCs w:val="18"/>
              </w:rPr>
              <w:t xml:space="preserve">Enterprise Governance Decisions Affected</w:t>
            </w:r>
          </w:p>
        </w:tc>
        <w:tc>
          <w:tcPr>
            <w:tcW w:type="dxa" w:w="7160"/>
            <w:vAlign w:val="center"/>
          </w:tcPr>
          <w:p>
            <w:r>
              <w:rPr>
                <w:b w:val="false"/>
                <w:bCs w:val="false"/>
                <w:sz w:val="18"/>
                <w:szCs w:val="18"/>
              </w:rPr>
              <w:t xml:space="preserve">EGD-0006 (Defer supersession/versioning model).</w:t>
            </w:r>
          </w:p>
        </w:tc>
      </w:tr>
      <w:tr>
        <w:tc>
          <w:tcPr>
            <w:tcW w:type="dxa" w:w="2200"/>
            <w:shd w:fill="DCE6F1" w:val="clear"/>
            <w:vAlign w:val="center"/>
          </w:tcPr>
          <w:p>
            <w:r>
              <w:rPr>
                <w:b w:val="false"/>
                <w:bCs w:val="false"/>
                <w:sz w:val="18"/>
                <w:szCs w:val="18"/>
              </w:rPr>
              <w:t xml:space="preserve">Work Packages Affected</w:t>
            </w:r>
          </w:p>
        </w:tc>
        <w:tc>
          <w:tcPr>
            <w:tcW w:type="dxa" w:w="7160"/>
            <w:vAlign w:val="center"/>
          </w:tcPr>
          <w:p>
            <w:r>
              <w:rPr>
                <w:b w:val="false"/>
                <w:bCs w:val="false"/>
                <w:sz w:val="18"/>
                <w:szCs w:val="18"/>
              </w:rPr>
              <w:t xml:space="preserve">None — not work-package-bound.</w:t>
            </w:r>
          </w:p>
        </w:tc>
      </w:tr>
      <w:tr>
        <w:tc>
          <w:tcPr>
            <w:tcW w:type="dxa" w:w="2200"/>
            <w:shd w:fill="DCE6F1" w:val="clear"/>
            <w:vAlign w:val="center"/>
          </w:tcPr>
          <w:p>
            <w:r>
              <w:rPr>
                <w:b w:val="false"/>
                <w:bCs w:val="false"/>
                <w:sz w:val="18"/>
                <w:szCs w:val="18"/>
              </w:rPr>
              <w:t xml:space="preserve">Repository Impact</w:t>
            </w:r>
          </w:p>
        </w:tc>
        <w:tc>
          <w:tcPr>
            <w:tcW w:type="dxa" w:w="7160"/>
            <w:vAlign w:val="center"/>
          </w:tcPr>
          <w:p>
            <w:r>
              <w:rPr>
                <w:b w:val="false"/>
                <w:bCs w:val="false"/>
                <w:sz w:val="18"/>
                <w:szCs w:val="18"/>
              </w:rPr>
              <w:t xml:space="preserve">Not Applicable.</w:t>
            </w:r>
          </w:p>
        </w:tc>
      </w:tr>
      <w:tr>
        <w:tc>
          <w:tcPr>
            <w:tcW w:type="dxa" w:w="2200"/>
            <w:shd w:fill="DCE6F1" w:val="clear"/>
            <w:vAlign w:val="center"/>
          </w:tcPr>
          <w:p>
            <w:r>
              <w:rPr>
                <w:b w:val="false"/>
                <w:bCs w:val="false"/>
                <w:sz w:val="18"/>
                <w:szCs w:val="18"/>
              </w:rPr>
              <w:t xml:space="preserve">Portfolio Impact</w:t>
            </w:r>
          </w:p>
        </w:tc>
        <w:tc>
          <w:tcPr>
            <w:tcW w:type="dxa" w:w="7160"/>
            <w:vAlign w:val="center"/>
          </w:tcPr>
          <w:p>
            <w:r>
              <w:rPr>
                <w:b w:val="false"/>
                <w:bCs w:val="false"/>
                <w:sz w:val="18"/>
                <w:szCs w:val="18"/>
              </w:rPr>
              <w:t xml:space="preserve">Portfolio 1 (Enterprise Data Platform).</w:t>
            </w:r>
          </w:p>
        </w:tc>
      </w:tr>
      <w:tr>
        <w:tc>
          <w:tcPr>
            <w:tcW w:type="dxa" w:w="2200"/>
            <w:shd w:fill="DCE6F1" w:val="clear"/>
            <w:vAlign w:val="center"/>
          </w:tcPr>
          <w:p>
            <w:r>
              <w:rPr>
                <w:b w:val="false"/>
                <w:bCs w:val="false"/>
                <w:sz w:val="18"/>
                <w:szCs w:val="18"/>
              </w:rPr>
              <w:t xml:space="preserve">Wave Impact</w:t>
            </w:r>
          </w:p>
        </w:tc>
        <w:tc>
          <w:tcPr>
            <w:tcW w:type="dxa" w:w="7160"/>
            <w:vAlign w:val="center"/>
          </w:tcPr>
          <w:p>
            <w:r>
              <w:rPr>
                <w:b w:val="false"/>
                <w:bCs w:val="false"/>
                <w:sz w:val="18"/>
                <w:szCs w:val="18"/>
              </w:rPr>
              <w:t xml:space="preserve">Not Applicable — trigger-gated, not sequenced into a wave.</w:t>
            </w:r>
          </w:p>
        </w:tc>
      </w:tr>
      <w:tr>
        <w:tc>
          <w:tcPr>
            <w:tcW w:type="dxa" w:w="2200"/>
            <w:shd w:fill="DCE6F1" w:val="clear"/>
            <w:vAlign w:val="center"/>
          </w:tcPr>
          <w:p>
            <w:r>
              <w:rPr>
                <w:b w:val="false"/>
                <w:bCs w:val="false"/>
                <w:sz w:val="18"/>
                <w:szCs w:val="18"/>
              </w:rPr>
              <w:t xml:space="preserve">Existing Mitigation</w:t>
            </w:r>
          </w:p>
        </w:tc>
        <w:tc>
          <w:tcPr>
            <w:tcW w:type="dxa" w:w="7160"/>
            <w:vAlign w:val="center"/>
          </w:tcPr>
          <w:p>
            <w:r>
              <w:rPr>
                <w:b w:val="false"/>
                <w:bCs w:val="false"/>
                <w:sz w:val="18"/>
                <w:szCs w:val="18"/>
              </w:rPr>
              <w:t xml:space="preserve">EGD-0006 trigger defined: compliance/audit requirement for immutable history emerges.</w:t>
            </w:r>
          </w:p>
        </w:tc>
      </w:tr>
      <w:tr>
        <w:tc>
          <w:tcPr>
            <w:tcW w:type="dxa" w:w="2200"/>
            <w:shd w:fill="DCE6F1" w:val="clear"/>
            <w:vAlign w:val="center"/>
          </w:tcPr>
          <w:p>
            <w:r>
              <w:rPr>
                <w:b w:val="false"/>
                <w:bCs w:val="false"/>
                <w:sz w:val="18"/>
                <w:szCs w:val="18"/>
              </w:rPr>
              <w:t xml:space="preserve">Remaining Conditions</w:t>
            </w:r>
          </w:p>
        </w:tc>
        <w:tc>
          <w:tcPr>
            <w:tcW w:type="dxa" w:w="7160"/>
            <w:vAlign w:val="center"/>
          </w:tcPr>
          <w:p>
            <w:r>
              <w:rPr>
                <w:b w:val="false"/>
                <w:bCs w:val="false"/>
                <w:sz w:val="18"/>
                <w:szCs w:val="18"/>
              </w:rPr>
              <w:t xml:space="preserve">None pending; monitored for trigger condition only.</w:t>
            </w:r>
          </w:p>
        </w:tc>
      </w:tr>
      <w:tr>
        <w:tc>
          <w:tcPr>
            <w:tcW w:type="dxa" w:w="2200"/>
            <w:shd w:fill="DCE6F1" w:val="clear"/>
            <w:vAlign w:val="center"/>
          </w:tcPr>
          <w:p>
            <w:r>
              <w:rPr>
                <w:b w:val="false"/>
                <w:bCs w:val="false"/>
                <w:sz w:val="18"/>
                <w:szCs w:val="18"/>
              </w:rPr>
              <w:t xml:space="preserve">Executive Commentary</w:t>
            </w:r>
          </w:p>
        </w:tc>
        <w:tc>
          <w:tcPr>
            <w:tcW w:type="dxa" w:w="7160"/>
            <w:vAlign w:val="center"/>
          </w:tcPr>
          <w:p>
            <w:r>
              <w:rPr>
                <w:b w:val="false"/>
                <w:bCs w:val="false"/>
                <w:sz w:val="18"/>
                <w:szCs w:val="18"/>
              </w:rPr>
              <w:t xml:space="preserve">Low currently; explicitly flagged as high-if-triggered-late — an irreversibility risk per Phase A.3 §4.</w:t>
            </w:r>
          </w:p>
        </w:tc>
      </w:tr>
    </w:tbl>
    <w:p>
      <w:pPr>
        <w:spacing w:after="160"/>
      </w:pPr>
    </w:p>
    <w:p>
      <w:pPr>
        <w:pStyle w:val="Heading3"/>
        <w:spacing w:after="100" w:before="200"/>
      </w:pPr>
      <w:r>
        <w:t xml:space="preserve">Risk Profile — Zero Named, Accountable Owners (WP-0006 / AP-009 / all EGDs)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Business Impact</w:t>
            </w:r>
          </w:p>
        </w:tc>
        <w:tc>
          <w:tcPr>
            <w:tcW w:type="dxa" w:w="7160"/>
            <w:vAlign w:val="center"/>
          </w:tcPr>
          <w:p>
            <w:r>
              <w:rPr>
                <w:b w:val="false"/>
                <w:bCs w:val="false"/>
                <w:sz w:val="18"/>
                <w:szCs w:val="18"/>
              </w:rPr>
              <w:t xml:space="preserve">Critical — precondition for every other recommendation in this baseline being executable rather than aspirational.</w:t>
            </w:r>
          </w:p>
        </w:tc>
      </w:tr>
      <w:tr>
        <w:tc>
          <w:tcPr>
            <w:tcW w:type="dxa" w:w="2200"/>
            <w:shd w:fill="DCE6F1" w:val="clear"/>
            <w:vAlign w:val="center"/>
          </w:tcPr>
          <w:p>
            <w:r>
              <w:rPr>
                <w:b w:val="false"/>
                <w:bCs w:val="false"/>
                <w:sz w:val="18"/>
                <w:szCs w:val="18"/>
              </w:rPr>
              <w:t xml:space="preserve">Technical Impact</w:t>
            </w:r>
          </w:p>
        </w:tc>
        <w:tc>
          <w:tcPr>
            <w:tcW w:type="dxa" w:w="7160"/>
            <w:vAlign w:val="center"/>
          </w:tcPr>
          <w:p>
            <w:r>
              <w:rPr>
                <w:b w:val="false"/>
                <w:bCs w:val="false"/>
                <w:sz w:val="18"/>
                <w:szCs w:val="18"/>
              </w:rPr>
              <w:t xml:space="preserve">Not Applicable — governance/organizational, not an engineering artifact.</w:t>
            </w:r>
          </w:p>
        </w:tc>
      </w:tr>
      <w:tr>
        <w:tc>
          <w:tcPr>
            <w:tcW w:type="dxa" w:w="2200"/>
            <w:shd w:fill="DCE6F1" w:val="clear"/>
            <w:vAlign w:val="center"/>
          </w:tcPr>
          <w:p>
            <w:r>
              <w:rPr>
                <w:b w:val="false"/>
                <w:bCs w:val="false"/>
                <w:sz w:val="18"/>
                <w:szCs w:val="18"/>
              </w:rPr>
              <w:t xml:space="preserve">Architecture Requirements Affected</w:t>
            </w:r>
          </w:p>
        </w:tc>
        <w:tc>
          <w:tcPr>
            <w:tcW w:type="dxa" w:w="7160"/>
            <w:vAlign w:val="center"/>
          </w:tcPr>
          <w:p>
            <w:r>
              <w:rPr>
                <w:b w:val="false"/>
                <w:bCs w:val="false"/>
                <w:sz w:val="18"/>
                <w:szCs w:val="18"/>
              </w:rPr>
              <w:t xml:space="preserve">Not Applicable — AP-009 (a permanent principle) is the object, not an AR.</w:t>
            </w:r>
          </w:p>
        </w:tc>
      </w:tr>
      <w:tr>
        <w:tc>
          <w:tcPr>
            <w:tcW w:type="dxa" w:w="2200"/>
            <w:shd w:fill="DCE6F1" w:val="clear"/>
            <w:vAlign w:val="center"/>
          </w:tcPr>
          <w:p>
            <w:r>
              <w:rPr>
                <w:b w:val="false"/>
                <w:bCs w:val="false"/>
                <w:sz w:val="18"/>
                <w:szCs w:val="18"/>
              </w:rPr>
              <w:t xml:space="preserve">Enterprise Governance Decisions Affected</w:t>
            </w:r>
          </w:p>
        </w:tc>
        <w:tc>
          <w:tcPr>
            <w:tcW w:type="dxa" w:w="7160"/>
            <w:vAlign w:val="center"/>
          </w:tcPr>
          <w:p>
            <w:r>
              <w:rPr>
                <w:b w:val="false"/>
                <w:bCs w:val="false"/>
                <w:sz w:val="18"/>
                <w:szCs w:val="18"/>
              </w:rPr>
              <w:t xml:space="preserve">All nine EGDs (EGD-0001–EGD-0009) depend on this Work Package for accountable execution.</w:t>
            </w:r>
          </w:p>
        </w:tc>
      </w:tr>
      <w:tr>
        <w:tc>
          <w:tcPr>
            <w:tcW w:type="dxa" w:w="2200"/>
            <w:shd w:fill="DCE6F1" w:val="clear"/>
            <w:vAlign w:val="center"/>
          </w:tcPr>
          <w:p>
            <w:r>
              <w:rPr>
                <w:b w:val="false"/>
                <w:bCs w:val="false"/>
                <w:sz w:val="18"/>
                <w:szCs w:val="18"/>
              </w:rPr>
              <w:t xml:space="preserve">Work Packages Affected</w:t>
            </w:r>
          </w:p>
        </w:tc>
        <w:tc>
          <w:tcPr>
            <w:tcW w:type="dxa" w:w="7160"/>
            <w:vAlign w:val="center"/>
          </w:tcPr>
          <w:p>
            <w:r>
              <w:rPr>
                <w:b w:val="false"/>
                <w:bCs w:val="false"/>
                <w:sz w:val="18"/>
                <w:szCs w:val="18"/>
              </w:rPr>
              <w:t xml:space="preserve">WP-0006; blocks accountable execution of WP-0001–WP-0005.</w:t>
            </w:r>
          </w:p>
        </w:tc>
      </w:tr>
      <w:tr>
        <w:tc>
          <w:tcPr>
            <w:tcW w:type="dxa" w:w="2200"/>
            <w:shd w:fill="DCE6F1" w:val="clear"/>
            <w:vAlign w:val="center"/>
          </w:tcPr>
          <w:p>
            <w:r>
              <w:rPr>
                <w:b w:val="false"/>
                <w:bCs w:val="false"/>
                <w:sz w:val="18"/>
                <w:szCs w:val="18"/>
              </w:rPr>
              <w:t xml:space="preserve">Repository Impact</w:t>
            </w:r>
          </w:p>
        </w:tc>
        <w:tc>
          <w:tcPr>
            <w:tcW w:type="dxa" w:w="7160"/>
            <w:vAlign w:val="center"/>
          </w:tcPr>
          <w:p>
            <w:r>
              <w:rPr>
                <w:b w:val="false"/>
                <w:bCs w:val="false"/>
                <w:sz w:val="18"/>
                <w:szCs w:val="18"/>
              </w:rPr>
              <w:t xml:space="preserve">Not Applicable — governance record only.</w:t>
            </w:r>
          </w:p>
        </w:tc>
      </w:tr>
      <w:tr>
        <w:tc>
          <w:tcPr>
            <w:tcW w:type="dxa" w:w="2200"/>
            <w:shd w:fill="DCE6F1" w:val="clear"/>
            <w:vAlign w:val="center"/>
          </w:tcPr>
          <w:p>
            <w:r>
              <w:rPr>
                <w:b w:val="false"/>
                <w:bCs w:val="false"/>
                <w:sz w:val="18"/>
                <w:szCs w:val="18"/>
              </w:rPr>
              <w:t xml:space="preserve">Portfolio Impact</w:t>
            </w:r>
          </w:p>
        </w:tc>
        <w:tc>
          <w:tcPr>
            <w:tcW w:type="dxa" w:w="7160"/>
            <w:vAlign w:val="center"/>
          </w:tcPr>
          <w:p>
            <w:r>
              <w:rPr>
                <w:b w:val="false"/>
                <w:bCs w:val="false"/>
                <w:sz w:val="18"/>
                <w:szCs w:val="18"/>
              </w:rPr>
              <w:t xml:space="preserve">Portfolio 8 (Governance &amp; Quality).</w:t>
            </w:r>
          </w:p>
        </w:tc>
      </w:tr>
      <w:tr>
        <w:tc>
          <w:tcPr>
            <w:tcW w:type="dxa" w:w="2200"/>
            <w:shd w:fill="DCE6F1" w:val="clear"/>
            <w:vAlign w:val="center"/>
          </w:tcPr>
          <w:p>
            <w:r>
              <w:rPr>
                <w:b w:val="false"/>
                <w:bCs w:val="false"/>
                <w:sz w:val="18"/>
                <w:szCs w:val="18"/>
              </w:rPr>
              <w:t xml:space="preserve">Wave Impact</w:t>
            </w:r>
          </w:p>
        </w:tc>
        <w:tc>
          <w:tcPr>
            <w:tcW w:type="dxa" w:w="7160"/>
            <w:vAlign w:val="center"/>
          </w:tcPr>
          <w:p>
            <w:r>
              <w:rPr>
                <w:b w:val="false"/>
                <w:bCs w:val="false"/>
                <w:sz w:val="18"/>
                <w:szCs w:val="18"/>
              </w:rPr>
              <w:t xml:space="preserve">Wave 1 (Critical Foundation) — startable now, parallel to WP-0002.</w:t>
            </w:r>
          </w:p>
        </w:tc>
      </w:tr>
      <w:tr>
        <w:tc>
          <w:tcPr>
            <w:tcW w:type="dxa" w:w="2200"/>
            <w:shd w:fill="DCE6F1" w:val="clear"/>
            <w:vAlign w:val="center"/>
          </w:tcPr>
          <w:p>
            <w:r>
              <w:rPr>
                <w:b w:val="false"/>
                <w:bCs w:val="false"/>
                <w:sz w:val="18"/>
                <w:szCs w:val="18"/>
              </w:rPr>
              <w:t xml:space="preserve">Existing Mitigation</w:t>
            </w:r>
          </w:p>
        </w:tc>
        <w:tc>
          <w:tcPr>
            <w:tcW w:type="dxa" w:w="7160"/>
            <w:vAlign w:val="center"/>
          </w:tcPr>
          <w:p>
            <w:r>
              <w:rPr>
                <w:b w:val="false"/>
                <w:bCs w:val="false"/>
                <w:sz w:val="18"/>
                <w:szCs w:val="18"/>
              </w:rPr>
              <w:t xml:space="preserve">WP-0006 scoped as critical priority; direct measurement against KPI-08.</w:t>
            </w:r>
          </w:p>
        </w:tc>
      </w:tr>
      <w:tr>
        <w:tc>
          <w:tcPr>
            <w:tcW w:type="dxa" w:w="2200"/>
            <w:shd w:fill="DCE6F1" w:val="clear"/>
            <w:vAlign w:val="center"/>
          </w:tcPr>
          <w:p>
            <w:r>
              <w:rPr>
                <w:b w:val="false"/>
                <w:bCs w:val="false"/>
                <w:sz w:val="18"/>
                <w:szCs w:val="18"/>
              </w:rPr>
              <w:t xml:space="preserve">Remaining Conditions</w:t>
            </w:r>
          </w:p>
        </w:tc>
        <w:tc>
          <w:tcPr>
            <w:tcW w:type="dxa" w:w="7160"/>
            <w:vAlign w:val="center"/>
          </w:tcPr>
          <w:p>
            <w:r>
              <w:rPr>
                <w:b w:val="false"/>
                <w:bCs w:val="false"/>
                <w:sz w:val="18"/>
                <w:szCs w:val="18"/>
              </w:rPr>
              <w:t xml:space="preserve">Named individuals not yet assigned to any of the five roles identified in Phase B §9; KPI-08 = 0%.</w:t>
            </w:r>
          </w:p>
        </w:tc>
      </w:tr>
      <w:tr>
        <w:tc>
          <w:tcPr>
            <w:tcW w:type="dxa" w:w="2200"/>
            <w:shd w:fill="DCE6F1" w:val="clear"/>
            <w:vAlign w:val="center"/>
          </w:tcPr>
          <w:p>
            <w:r>
              <w:rPr>
                <w:b w:val="false"/>
                <w:bCs w:val="false"/>
                <w:sz w:val="18"/>
                <w:szCs w:val="18"/>
              </w:rPr>
              <w:t xml:space="preserve">Executive Commentary</w:t>
            </w:r>
          </w:p>
        </w:tc>
        <w:tc>
          <w:tcPr>
            <w:tcW w:type="dxa" w:w="7160"/>
            <w:vAlign w:val="center"/>
          </w:tcPr>
          <w:p>
            <w:r>
              <w:rPr>
                <w:b w:val="false"/>
                <w:bCs w:val="false"/>
                <w:sz w:val="18"/>
                <w:szCs w:val="18"/>
              </w:rPr>
              <w:t xml:space="preserve">Critical structural precondition risk; recommended as the first item resolved, per Phase A.2 §12.</w:t>
            </w:r>
          </w:p>
        </w:tc>
      </w:tr>
    </w:tbl>
    <w:p>
      <w:pPr>
        <w:spacing w:after="160"/>
      </w:pPr>
    </w:p>
    <w:p>
      <w:r>
        <w:br w:type="page"/>
      </w:r>
    </w:p>
    <w:p>
      <w:pPr>
        <w:pStyle w:val="Heading2"/>
        <w:spacing w:after="120" w:before="240"/>
      </w:pPr>
      <w:r>
        <w:t xml:space="preserve">10.9.4 — Risk Dependency Dashboard</w:t>
      </w:r>
    </w:p>
    <w:p>
      <w:pPr>
        <w:spacing w:after="160"/>
      </w:pPr>
      <w:r>
        <w:rPr>
          <w:b w:val="false"/>
          <w:bCs w:val="false"/>
          <w:i/>
          <w:iCs/>
        </w:rPr>
        <w:t xml:space="preserve">Source: Phase A.3 §8 (Enterprise Architecture Dependency Graph); Section 8. Reused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900"/>
        <w:gridCol w:w="900"/>
        <w:gridCol w:w="1160"/>
        <w:gridCol w:w="900"/>
        <w:gridCol w:w="1200"/>
      </w:tblGrid>
      <w:tr>
        <w:trPr>
          <w:tblHeader/>
        </w:trPr>
        <w:tc>
          <w:tcPr>
            <w:tcW w:type="dxa" w:w="1700"/>
            <w:shd w:fill="1F3864" w:val="clear"/>
            <w:vAlign w:val="center"/>
          </w:tcPr>
          <w:p>
            <w:r>
              <w:rPr>
                <w:b/>
                <w:bCs/>
                <w:color w:val="FFFFFF"/>
                <w:sz w:val="18"/>
                <w:szCs w:val="18"/>
              </w:rPr>
              <w:t xml:space="preserve">Risk</w:t>
            </w:r>
          </w:p>
        </w:tc>
        <w:tc>
          <w:tcPr>
            <w:tcW w:type="dxa" w:w="1600"/>
            <w:shd w:fill="1F3864" w:val="clear"/>
            <w:vAlign w:val="center"/>
          </w:tcPr>
          <w:p>
            <w:r>
              <w:rPr>
                <w:b/>
                <w:bCs/>
                <w:color w:val="FFFFFF"/>
                <w:sz w:val="18"/>
                <w:szCs w:val="18"/>
              </w:rPr>
              <w:t xml:space="preserve">Trigger</w:t>
            </w:r>
          </w:p>
        </w:tc>
        <w:tc>
          <w:tcPr>
            <w:tcW w:type="dxa" w:w="1900"/>
            <w:shd w:fill="1F3864" w:val="clear"/>
            <w:vAlign w:val="center"/>
          </w:tcPr>
          <w:p>
            <w:r>
              <w:rPr>
                <w:b/>
                <w:bCs/>
                <w:color w:val="FFFFFF"/>
                <w:sz w:val="18"/>
                <w:szCs w:val="18"/>
              </w:rPr>
              <w:t xml:space="preserve">Dependencies</w:t>
            </w:r>
          </w:p>
        </w:tc>
        <w:tc>
          <w:tcPr>
            <w:tcW w:type="dxa" w:w="900"/>
            <w:shd w:fill="1F3864" w:val="clear"/>
            <w:vAlign w:val="center"/>
          </w:tcPr>
          <w:p>
            <w:r>
              <w:rPr>
                <w:b/>
                <w:bCs/>
                <w:color w:val="FFFFFF"/>
                <w:sz w:val="18"/>
                <w:szCs w:val="18"/>
              </w:rPr>
              <w:t xml:space="preserve">Related WPs</w:t>
            </w:r>
          </w:p>
        </w:tc>
        <w:tc>
          <w:tcPr>
            <w:tcW w:type="dxa" w:w="1160"/>
            <w:shd w:fill="1F3864" w:val="clear"/>
            <w:vAlign w:val="center"/>
          </w:tcPr>
          <w:p>
            <w:r>
              <w:rPr>
                <w:b/>
                <w:bCs/>
                <w:color w:val="FFFFFF"/>
                <w:sz w:val="18"/>
                <w:szCs w:val="18"/>
              </w:rPr>
              <w:t xml:space="preserve">Related Repositories</w:t>
            </w:r>
          </w:p>
        </w:tc>
        <w:tc>
          <w:tcPr>
            <w:tcW w:type="dxa" w:w="900"/>
            <w:shd w:fill="1F3864" w:val="clear"/>
            <w:vAlign w:val="center"/>
          </w:tcPr>
          <w:p>
            <w:r>
              <w:rPr>
                <w:b/>
                <w:bCs/>
                <w:color w:val="FFFFFF"/>
                <w:sz w:val="18"/>
                <w:szCs w:val="18"/>
              </w:rPr>
              <w:t xml:space="preserve">Related Waves</w:t>
            </w:r>
          </w:p>
        </w:tc>
        <w:tc>
          <w:tcPr>
            <w:tcW w:type="dxa" w:w="1200"/>
            <w:shd w:fill="1F3864" w:val="clear"/>
            <w:vAlign w:val="center"/>
          </w:tcPr>
          <w:p>
            <w:r>
              <w:rPr>
                <w:b/>
                <w:bCs/>
                <w:color w:val="FFFFFF"/>
                <w:sz w:val="18"/>
                <w:szCs w:val="18"/>
              </w:rPr>
              <w:t xml:space="preserve">Executive Assessment</w:t>
            </w:r>
          </w:p>
        </w:tc>
      </w:tr>
      <w:tr>
        <w:tc>
          <w:tcPr>
            <w:tcW w:type="dxa" w:w="1700"/>
            <w:vAlign w:val="center"/>
          </w:tcPr>
          <w:p>
            <w:r>
              <w:rPr>
                <w:b w:val="false"/>
                <w:bCs w:val="false"/>
                <w:sz w:val="18"/>
                <w:szCs w:val="18"/>
              </w:rPr>
              <w:t xml:space="preserve">Documentation drift</w:t>
            </w:r>
          </w:p>
        </w:tc>
        <w:tc>
          <w:tcPr>
            <w:tcW w:type="dxa" w:w="1600"/>
            <w:vAlign w:val="center"/>
          </w:tcPr>
          <w:p>
            <w:r>
              <w:rPr>
                <w:b w:val="false"/>
                <w:bCs w:val="false"/>
                <w:sz w:val="18"/>
                <w:szCs w:val="18"/>
              </w:rPr>
              <w:t xml:space="preserve">Not deferred — immediate</w:t>
            </w:r>
          </w:p>
        </w:tc>
        <w:tc>
          <w:tcPr>
            <w:tcW w:type="dxa" w:w="1900"/>
            <w:vAlign w:val="center"/>
          </w:tcPr>
          <w:p>
            <w:r>
              <w:rPr>
                <w:b w:val="false"/>
                <w:bCs w:val="false"/>
                <w:sz w:val="18"/>
                <w:szCs w:val="18"/>
              </w:rPr>
              <w:t xml:space="preserve">WP-0006 (owner) recommended, not required to start</w:t>
            </w:r>
          </w:p>
        </w:tc>
        <w:tc>
          <w:tcPr>
            <w:tcW w:type="dxa" w:w="900"/>
            <w:vAlign w:val="center"/>
          </w:tcPr>
          <w:p>
            <w:r>
              <w:rPr>
                <w:b w:val="false"/>
                <w:bCs w:val="false"/>
                <w:sz w:val="18"/>
                <w:szCs w:val="18"/>
              </w:rPr>
              <w:t xml:space="preserve">WP-0001</w:t>
            </w:r>
          </w:p>
        </w:tc>
        <w:tc>
          <w:tcPr>
            <w:tcW w:type="dxa" w:w="1160"/>
            <w:vAlign w:val="center"/>
          </w:tcPr>
          <w:p>
            <w:r>
              <w:rPr>
                <w:b w:val="false"/>
                <w:bCs w:val="false"/>
                <w:sz w:val="18"/>
                <w:szCs w:val="18"/>
              </w:rPr>
              <w:t xml:space="preserve">Documentation</w:t>
            </w:r>
          </w:p>
        </w:tc>
        <w:tc>
          <w:tcPr>
            <w:tcW w:type="dxa" w:w="900"/>
            <w:vAlign w:val="center"/>
          </w:tcPr>
          <w:p>
            <w:r>
              <w:rPr>
                <w:b w:val="false"/>
                <w:bCs w:val="false"/>
                <w:sz w:val="18"/>
                <w:szCs w:val="18"/>
              </w:rPr>
              <w:t xml:space="preserve">Wave 2</w:t>
            </w:r>
          </w:p>
        </w:tc>
        <w:tc>
          <w:tcPr>
            <w:tcW w:type="dxa" w:w="1200"/>
            <w:vAlign w:val="center"/>
          </w:tcPr>
          <w:p>
            <w:r>
              <w:rPr>
                <w:b w:val="false"/>
                <w:bCs w:val="false"/>
                <w:sz w:val="18"/>
                <w:szCs w:val="18"/>
              </w:rPr>
              <w:t xml:space="preserve">Startable now; sequencing benefit only from WP-0006</w:t>
            </w:r>
          </w:p>
        </w:tc>
      </w:tr>
      <w:tr>
        <w:tc>
          <w:tcPr>
            <w:tcW w:type="dxa" w:w="1700"/>
            <w:shd w:fill="F2F2F2" w:val="clear"/>
            <w:vAlign w:val="center"/>
          </w:tcPr>
          <w:p>
            <w:r>
              <w:rPr>
                <w:b w:val="false"/>
                <w:bCs w:val="false"/>
                <w:sz w:val="18"/>
                <w:szCs w:val="18"/>
              </w:rPr>
              <w:t xml:space="preserve">RLS coverage unverified</w:t>
            </w:r>
          </w:p>
        </w:tc>
        <w:tc>
          <w:tcPr>
            <w:tcW w:type="dxa" w:w="1600"/>
            <w:shd w:fill="F2F2F2" w:val="clear"/>
            <w:vAlign w:val="center"/>
          </w:tcPr>
          <w:p>
            <w:r>
              <w:rPr>
                <w:b w:val="false"/>
                <w:bCs w:val="false"/>
                <w:sz w:val="18"/>
                <w:szCs w:val="18"/>
              </w:rPr>
              <w:t xml:space="preserve">Not deferred — immediate</w:t>
            </w:r>
          </w:p>
        </w:tc>
        <w:tc>
          <w:tcPr>
            <w:tcW w:type="dxa" w:w="1900"/>
            <w:shd w:fill="F2F2F2" w:val="clear"/>
            <w:vAlign w:val="center"/>
          </w:tcPr>
          <w:p>
            <w:r>
              <w:rPr>
                <w:b w:val="false"/>
                <w:bCs w:val="false"/>
                <w:sz w:val="18"/>
                <w:szCs w:val="18"/>
              </w:rPr>
              <w:t xml:space="preserve">None — can start immediately</w:t>
            </w:r>
          </w:p>
        </w:tc>
        <w:tc>
          <w:tcPr>
            <w:tcW w:type="dxa" w:w="900"/>
            <w:shd w:fill="F2F2F2" w:val="clear"/>
            <w:vAlign w:val="center"/>
          </w:tcPr>
          <w:p>
            <w:r>
              <w:rPr>
                <w:b w:val="false"/>
                <w:bCs w:val="false"/>
                <w:sz w:val="18"/>
                <w:szCs w:val="18"/>
              </w:rPr>
              <w:t xml:space="preserve">WP-0002</w:t>
            </w:r>
          </w:p>
        </w:tc>
        <w:tc>
          <w:tcPr>
            <w:tcW w:type="dxa" w:w="1160"/>
            <w:shd w:fill="F2F2F2" w:val="clear"/>
            <w:vAlign w:val="center"/>
          </w:tcPr>
          <w:p>
            <w:r>
              <w:rPr>
                <w:b w:val="false"/>
                <w:bCs w:val="false"/>
                <w:sz w:val="18"/>
                <w:szCs w:val="18"/>
              </w:rPr>
              <w:t xml:space="preserve">Database, Test</w:t>
            </w:r>
          </w:p>
        </w:tc>
        <w:tc>
          <w:tcPr>
            <w:tcW w:type="dxa" w:w="900"/>
            <w:shd w:fill="F2F2F2" w:val="clear"/>
            <w:vAlign w:val="center"/>
          </w:tcPr>
          <w:p>
            <w:r>
              <w:rPr>
                <w:b w:val="false"/>
                <w:bCs w:val="false"/>
                <w:sz w:val="18"/>
                <w:szCs w:val="18"/>
              </w:rPr>
              <w:t xml:space="preserve">Wave 1</w:t>
            </w:r>
          </w:p>
        </w:tc>
        <w:tc>
          <w:tcPr>
            <w:tcW w:type="dxa" w:w="1200"/>
            <w:shd w:fill="F2F2F2" w:val="clear"/>
            <w:vAlign w:val="center"/>
          </w:tcPr>
          <w:p>
            <w:r>
              <w:rPr>
                <w:b w:val="false"/>
                <w:bCs w:val="false"/>
                <w:sz w:val="18"/>
                <w:szCs w:val="18"/>
              </w:rPr>
              <w:t xml:space="preserve">No blocking dependency; highest-leverage open item</w:t>
            </w:r>
          </w:p>
        </w:tc>
      </w:tr>
      <w:tr>
        <w:tc>
          <w:tcPr>
            <w:tcW w:type="dxa" w:w="1700"/>
            <w:vAlign w:val="center"/>
          </w:tcPr>
          <w:p>
            <w:r>
              <w:rPr>
                <w:b w:val="false"/>
                <w:bCs w:val="false"/>
                <w:sz w:val="18"/>
                <w:szCs w:val="18"/>
              </w:rPr>
              <w:t xml:space="preserve">No partitioning on 4 tables</w:t>
            </w:r>
          </w:p>
        </w:tc>
        <w:tc>
          <w:tcPr>
            <w:tcW w:type="dxa" w:w="1600"/>
            <w:vAlign w:val="center"/>
          </w:tcPr>
          <w:p>
            <w:r>
              <w:rPr>
                <w:b w:val="false"/>
                <w:bCs w:val="false"/>
                <w:sz w:val="18"/>
                <w:szCs w:val="18"/>
              </w:rPr>
              <w:t xml:space="preserve">Tables exceed 10M rows, latency degrades, or 10-downstream-system scale reached</w:t>
            </w:r>
          </w:p>
        </w:tc>
        <w:tc>
          <w:tcPr>
            <w:tcW w:type="dxa" w:w="1900"/>
            <w:vAlign w:val="center"/>
          </w:tcPr>
          <w:p>
            <w:r>
              <w:rPr>
                <w:b w:val="false"/>
                <w:bCs w:val="false"/>
                <w:sz w:val="18"/>
                <w:szCs w:val="18"/>
              </w:rPr>
              <w:t xml:space="preserve">Requires current row-count/growth data (external, not yet gathered)</w:t>
            </w:r>
          </w:p>
        </w:tc>
        <w:tc>
          <w:tcPr>
            <w:tcW w:type="dxa" w:w="900"/>
            <w:vAlign w:val="center"/>
          </w:tcPr>
          <w:p>
            <w:r>
              <w:rPr>
                <w:b w:val="false"/>
                <w:bCs w:val="false"/>
                <w:sz w:val="18"/>
                <w:szCs w:val="18"/>
              </w:rPr>
              <w:t xml:space="preserve">WP-0003</w:t>
            </w:r>
          </w:p>
        </w:tc>
        <w:tc>
          <w:tcPr>
            <w:tcW w:type="dxa" w:w="1160"/>
            <w:vAlign w:val="center"/>
          </w:tcPr>
          <w:p>
            <w:r>
              <w:rPr>
                <w:b w:val="false"/>
                <w:bCs w:val="false"/>
                <w:sz w:val="18"/>
                <w:szCs w:val="18"/>
              </w:rPr>
              <w:t xml:space="preserve">Database</w:t>
            </w:r>
          </w:p>
        </w:tc>
        <w:tc>
          <w:tcPr>
            <w:tcW w:type="dxa" w:w="900"/>
            <w:vAlign w:val="center"/>
          </w:tcPr>
          <w:p>
            <w:r>
              <w:rPr>
                <w:b w:val="false"/>
                <w:bCs w:val="false"/>
                <w:sz w:val="18"/>
                <w:szCs w:val="18"/>
              </w:rPr>
              <w:t xml:space="preserve">Wave 3</w:t>
            </w:r>
          </w:p>
        </w:tc>
        <w:tc>
          <w:tcPr>
            <w:tcW w:type="dxa" w:w="1200"/>
            <w:vAlign w:val="center"/>
          </w:tcPr>
          <w:p>
            <w:r>
              <w:rPr>
                <w:b w:val="false"/>
                <w:bCs w:val="false"/>
                <w:sz w:val="18"/>
                <w:szCs w:val="18"/>
              </w:rPr>
              <w:t xml:space="preserve">Data-gathering blocks assessment; sequential</w:t>
            </w:r>
          </w:p>
        </w:tc>
      </w:tr>
      <w:tr>
        <w:tc>
          <w:tcPr>
            <w:tcW w:type="dxa" w:w="1700"/>
            <w:shd w:fill="F2F2F2" w:val="clear"/>
            <w:vAlign w:val="center"/>
          </w:tcPr>
          <w:p>
            <w:r>
              <w:rPr>
                <w:b w:val="false"/>
                <w:bCs w:val="false"/>
                <w:sz w:val="18"/>
                <w:szCs w:val="18"/>
              </w:rPr>
              <w:t xml:space="preserve">Direct-FK taxonomy denormalization</w:t>
            </w:r>
          </w:p>
        </w:tc>
        <w:tc>
          <w:tcPr>
            <w:tcW w:type="dxa" w:w="1600"/>
            <w:shd w:fill="F2F2F2" w:val="clear"/>
            <w:vAlign w:val="center"/>
          </w:tcPr>
          <w:p>
            <w:r>
              <w:rPr>
                <w:b w:val="false"/>
                <w:bCs w:val="false"/>
                <w:sz w:val="18"/>
                <w:szCs w:val="18"/>
              </w:rPr>
              <w:t xml:space="preserve">Any student-owned table denormalizes a taxonomy fact, or versioning becomes necessary</w:t>
            </w:r>
          </w:p>
        </w:tc>
        <w:tc>
          <w:tcPr>
            <w:tcW w:type="dxa" w:w="1900"/>
            <w:shd w:fill="F2F2F2" w:val="clear"/>
            <w:vAlign w:val="center"/>
          </w:tcPr>
          <w:p>
            <w:r>
              <w:rPr>
                <w:b w:val="false"/>
                <w:bCs w:val="false"/>
                <w:sz w:val="18"/>
                <w:szCs w:val="18"/>
              </w:rPr>
              <w:t xml:space="preserve">Benefits from WP-0001 naming clarity (optional)</w:t>
            </w:r>
          </w:p>
        </w:tc>
        <w:tc>
          <w:tcPr>
            <w:tcW w:type="dxa" w:w="900"/>
            <w:shd w:fill="F2F2F2" w:val="clear"/>
            <w:vAlign w:val="center"/>
          </w:tcPr>
          <w:p>
            <w:r>
              <w:rPr>
                <w:b w:val="false"/>
                <w:bCs w:val="false"/>
                <w:sz w:val="18"/>
                <w:szCs w:val="18"/>
              </w:rPr>
              <w:t xml:space="preserve">WP-0004</w:t>
            </w:r>
          </w:p>
        </w:tc>
        <w:tc>
          <w:tcPr>
            <w:tcW w:type="dxa" w:w="1160"/>
            <w:shd w:fill="F2F2F2" w:val="clear"/>
            <w:vAlign w:val="center"/>
          </w:tcPr>
          <w:p>
            <w:r>
              <w:rPr>
                <w:b w:val="false"/>
                <w:bCs w:val="false"/>
                <w:sz w:val="18"/>
                <w:szCs w:val="18"/>
              </w:rPr>
              <w:t xml:space="preserve">Database, Test</w:t>
            </w:r>
          </w:p>
        </w:tc>
        <w:tc>
          <w:tcPr>
            <w:tcW w:type="dxa" w:w="900"/>
            <w:shd w:fill="F2F2F2" w:val="clear"/>
            <w:vAlign w:val="center"/>
          </w:tcPr>
          <w:p>
            <w:r>
              <w:rPr>
                <w:b w:val="false"/>
                <w:bCs w:val="false"/>
                <w:sz w:val="18"/>
                <w:szCs w:val="18"/>
              </w:rPr>
              <w:t xml:space="preserve">Wave 2</w:t>
            </w:r>
          </w:p>
        </w:tc>
        <w:tc>
          <w:tcPr>
            <w:tcW w:type="dxa" w:w="1200"/>
            <w:shd w:fill="F2F2F2" w:val="clear"/>
            <w:vAlign w:val="center"/>
          </w:tcPr>
          <w:p>
            <w:r>
              <w:rPr>
                <w:b w:val="false"/>
                <w:bCs w:val="false"/>
                <w:sz w:val="18"/>
                <w:szCs w:val="18"/>
              </w:rPr>
              <w:t xml:space="preserve">Parallel-eligible; optional dependency only</w:t>
            </w:r>
          </w:p>
        </w:tc>
      </w:tr>
      <w:tr>
        <w:tc>
          <w:tcPr>
            <w:tcW w:type="dxa" w:w="1700"/>
            <w:vAlign w:val="center"/>
          </w:tcPr>
          <w:p>
            <w:r>
              <w:rPr>
                <w:b w:val="false"/>
                <w:bCs w:val="false"/>
                <w:sz w:val="18"/>
                <w:szCs w:val="18"/>
              </w:rPr>
              <w:t xml:space="preserve">Column-level access on payload columns</w:t>
            </w:r>
          </w:p>
        </w:tc>
        <w:tc>
          <w:tcPr>
            <w:tcW w:type="dxa" w:w="1600"/>
            <w:vAlign w:val="center"/>
          </w:tcPr>
          <w:p>
            <w:r>
              <w:rPr>
                <w:b w:val="false"/>
                <w:bCs w:val="false"/>
                <w:sz w:val="18"/>
                <w:szCs w:val="18"/>
              </w:rPr>
              <w:t xml:space="preserve">Not deferred, but sequenced</w:t>
            </w:r>
          </w:p>
        </w:tc>
        <w:tc>
          <w:tcPr>
            <w:tcW w:type="dxa" w:w="1900"/>
            <w:vAlign w:val="center"/>
          </w:tcPr>
          <w:p>
            <w:r>
              <w:rPr>
                <w:b w:val="false"/>
                <w:bCs w:val="false"/>
                <w:sz w:val="18"/>
                <w:szCs w:val="18"/>
              </w:rPr>
              <w:t xml:space="preserve">Benefits from WP-0002 completion (same tables, same reviewer)</w:t>
            </w:r>
          </w:p>
        </w:tc>
        <w:tc>
          <w:tcPr>
            <w:tcW w:type="dxa" w:w="900"/>
            <w:vAlign w:val="center"/>
          </w:tcPr>
          <w:p>
            <w:r>
              <w:rPr>
                <w:b w:val="false"/>
                <w:bCs w:val="false"/>
                <w:sz w:val="18"/>
                <w:szCs w:val="18"/>
              </w:rPr>
              <w:t xml:space="preserve">WP-0005</w:t>
            </w:r>
          </w:p>
        </w:tc>
        <w:tc>
          <w:tcPr>
            <w:tcW w:type="dxa" w:w="1160"/>
            <w:vAlign w:val="center"/>
          </w:tcPr>
          <w:p>
            <w:r>
              <w:rPr>
                <w:b w:val="false"/>
                <w:bCs w:val="false"/>
                <w:sz w:val="18"/>
                <w:szCs w:val="18"/>
              </w:rPr>
              <w:t xml:space="preserve">Database, Test</w:t>
            </w:r>
          </w:p>
        </w:tc>
        <w:tc>
          <w:tcPr>
            <w:tcW w:type="dxa" w:w="900"/>
            <w:vAlign w:val="center"/>
          </w:tcPr>
          <w:p>
            <w:r>
              <w:rPr>
                <w:b w:val="false"/>
                <w:bCs w:val="false"/>
                <w:sz w:val="18"/>
                <w:szCs w:val="18"/>
              </w:rPr>
              <w:t xml:space="preserve">Wave 2</w:t>
            </w:r>
          </w:p>
        </w:tc>
        <w:tc>
          <w:tcPr>
            <w:tcW w:type="dxa" w:w="1200"/>
            <w:vAlign w:val="center"/>
          </w:tcPr>
          <w:p>
            <w:r>
              <w:rPr>
                <w:b w:val="false"/>
                <w:bCs w:val="false"/>
                <w:sz w:val="18"/>
                <w:szCs w:val="18"/>
              </w:rPr>
              <w:t xml:space="preserve">Optional dependency, parallel-eligible after WP-0002</w:t>
            </w:r>
          </w:p>
        </w:tc>
      </w:tr>
      <w:tr>
        <w:tc>
          <w:tcPr>
            <w:tcW w:type="dxa" w:w="1700"/>
            <w:shd w:fill="F2F2F2" w:val="clear"/>
            <w:vAlign w:val="center"/>
          </w:tcPr>
          <w:p>
            <w:r>
              <w:rPr>
                <w:b w:val="false"/>
                <w:bCs w:val="false"/>
                <w:sz w:val="18"/>
                <w:szCs w:val="18"/>
              </w:rPr>
              <w:t xml:space="preserve">Supersession/versioning model deferred</w:t>
            </w:r>
          </w:p>
        </w:tc>
        <w:tc>
          <w:tcPr>
            <w:tcW w:type="dxa" w:w="1600"/>
            <w:shd w:fill="F2F2F2" w:val="clear"/>
            <w:vAlign w:val="center"/>
          </w:tcPr>
          <w:p>
            <w:r>
              <w:rPr>
                <w:b w:val="false"/>
                <w:bCs w:val="false"/>
                <w:sz w:val="18"/>
                <w:szCs w:val="18"/>
              </w:rPr>
              <w:t xml:space="preserve">Compliance/audit requirement for immutable history emerges</w:t>
            </w:r>
          </w:p>
        </w:tc>
        <w:tc>
          <w:tcPr>
            <w:tcW w:type="dxa" w:w="1900"/>
            <w:shd w:fill="F2F2F2" w:val="clear"/>
            <w:vAlign w:val="center"/>
          </w:tcPr>
          <w:p>
            <w:r>
              <w:rPr>
                <w:b w:val="false"/>
                <w:bCs w:val="false"/>
                <w:sz w:val="18"/>
                <w:szCs w:val="18"/>
              </w:rPr>
              <w:t xml:space="preserve">External business/compliance trigger, not internal work</w:t>
            </w:r>
          </w:p>
        </w:tc>
        <w:tc>
          <w:tcPr>
            <w:tcW w:type="dxa" w:w="900"/>
            <w:shd w:fill="F2F2F2" w:val="clear"/>
            <w:vAlign w:val="center"/>
          </w:tcPr>
          <w:p>
            <w:r>
              <w:rPr>
                <w:b w:val="false"/>
                <w:bCs w:val="false"/>
                <w:sz w:val="18"/>
                <w:szCs w:val="18"/>
              </w:rPr>
              <w:t xml:space="preserve">None</w:t>
            </w:r>
          </w:p>
        </w:tc>
        <w:tc>
          <w:tcPr>
            <w:tcW w:type="dxa" w:w="1160"/>
            <w:shd w:fill="F2F2F2" w:val="clear"/>
            <w:vAlign w:val="center"/>
          </w:tcPr>
          <w:p>
            <w:r>
              <w:rPr>
                <w:b w:val="false"/>
                <w:bCs w:val="false"/>
                <w:sz w:val="18"/>
                <w:szCs w:val="18"/>
              </w:rPr>
              <w:t xml:space="preserve">Not Applicable</w:t>
            </w:r>
          </w:p>
        </w:tc>
        <w:tc>
          <w:tcPr>
            <w:tcW w:type="dxa" w:w="900"/>
            <w:shd w:fill="F2F2F2" w:val="clear"/>
            <w:vAlign w:val="center"/>
          </w:tcPr>
          <w:p>
            <w:r>
              <w:rPr>
                <w:b w:val="false"/>
                <w:bCs w:val="false"/>
                <w:sz w:val="18"/>
                <w:szCs w:val="18"/>
              </w:rPr>
              <w:t xml:space="preserve">Not Applicable</w:t>
            </w:r>
          </w:p>
        </w:tc>
        <w:tc>
          <w:tcPr>
            <w:tcW w:type="dxa" w:w="1200"/>
            <w:shd w:fill="F2F2F2" w:val="clear"/>
            <w:vAlign w:val="center"/>
          </w:tcPr>
          <w:p>
            <w:r>
              <w:rPr>
                <w:b w:val="false"/>
                <w:bCs w:val="false"/>
                <w:sz w:val="18"/>
                <w:szCs w:val="18"/>
              </w:rPr>
              <w:t xml:space="preserve">Trigger-gated, not work-gated</w:t>
            </w:r>
          </w:p>
        </w:tc>
      </w:tr>
      <w:tr>
        <w:tc>
          <w:tcPr>
            <w:tcW w:type="dxa" w:w="1700"/>
            <w:vAlign w:val="center"/>
          </w:tcPr>
          <w:p>
            <w:r>
              <w:rPr>
                <w:b w:val="false"/>
                <w:bCs w:val="false"/>
                <w:sz w:val="18"/>
                <w:szCs w:val="18"/>
              </w:rPr>
              <w:t xml:space="preserve">Zero named, accountable owners</w:t>
            </w:r>
          </w:p>
        </w:tc>
        <w:tc>
          <w:tcPr>
            <w:tcW w:type="dxa" w:w="1600"/>
            <w:vAlign w:val="center"/>
          </w:tcPr>
          <w:p>
            <w:r>
              <w:rPr>
                <w:b w:val="false"/>
                <w:bCs w:val="false"/>
                <w:sz w:val="18"/>
                <w:szCs w:val="18"/>
              </w:rPr>
              <w:t xml:space="preserve">Not deferred — immediate</w:t>
            </w:r>
          </w:p>
        </w:tc>
        <w:tc>
          <w:tcPr>
            <w:tcW w:type="dxa" w:w="1900"/>
            <w:vAlign w:val="center"/>
          </w:tcPr>
          <w:p>
            <w:r>
              <w:rPr>
                <w:b w:val="false"/>
                <w:bCs w:val="false"/>
                <w:sz w:val="18"/>
                <w:szCs w:val="18"/>
              </w:rPr>
              <w:t xml:space="preserve">None — blocking, non-sequential precondition for every EGD's execution accountability</w:t>
            </w:r>
          </w:p>
        </w:tc>
        <w:tc>
          <w:tcPr>
            <w:tcW w:type="dxa" w:w="900"/>
            <w:vAlign w:val="center"/>
          </w:tcPr>
          <w:p>
            <w:r>
              <w:rPr>
                <w:b w:val="false"/>
                <w:bCs w:val="false"/>
                <w:sz w:val="18"/>
                <w:szCs w:val="18"/>
              </w:rPr>
              <w:t xml:space="preserve">WP-0006</w:t>
            </w:r>
          </w:p>
        </w:tc>
        <w:tc>
          <w:tcPr>
            <w:tcW w:type="dxa" w:w="1160"/>
            <w:vAlign w:val="center"/>
          </w:tcPr>
          <w:p>
            <w:r>
              <w:rPr>
                <w:b w:val="false"/>
                <w:bCs w:val="false"/>
                <w:sz w:val="18"/>
                <w:szCs w:val="18"/>
              </w:rPr>
              <w:t xml:space="preserve">Not Applicable</w:t>
            </w:r>
          </w:p>
        </w:tc>
        <w:tc>
          <w:tcPr>
            <w:tcW w:type="dxa" w:w="900"/>
            <w:vAlign w:val="center"/>
          </w:tcPr>
          <w:p>
            <w:r>
              <w:rPr>
                <w:b w:val="false"/>
                <w:bCs w:val="false"/>
                <w:sz w:val="18"/>
                <w:szCs w:val="18"/>
              </w:rPr>
              <w:t xml:space="preserve">Wave 1</w:t>
            </w:r>
          </w:p>
        </w:tc>
        <w:tc>
          <w:tcPr>
            <w:tcW w:type="dxa" w:w="1200"/>
            <w:vAlign w:val="center"/>
          </w:tcPr>
          <w:p>
            <w:r>
              <w:rPr>
                <w:b w:val="false"/>
                <w:bCs w:val="false"/>
                <w:sz w:val="18"/>
                <w:szCs w:val="18"/>
              </w:rPr>
              <w:t xml:space="preserve">Recommended as the first item resolved, ahead of any individual EGD's own trigger</w:t>
            </w:r>
          </w:p>
        </w:tc>
      </w:tr>
    </w:tbl>
    <w:p>
      <w:pPr>
        <w:pStyle w:val="Heading2"/>
        <w:spacing w:after="120" w:before="240"/>
      </w:pPr>
      <w:r>
        <w:t xml:space="preserve">10.9.5 — Enterprise Risk Governance Dashboard</w:t>
      </w:r>
    </w:p>
    <w:p>
      <w:pPr>
        <w:spacing w:after="160"/>
      </w:pPr>
      <w:r>
        <w:rPr>
          <w:b w:val="false"/>
          <w:bCs w:val="false"/>
          <w:i/>
          <w:iCs/>
        </w:rPr>
        <w:t xml:space="preserve">Source: Phase A.2 §12; Section 8; Section 10.7.4 and 10.8.5. Reused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Risk Ownership</w:t>
            </w:r>
          </w:p>
        </w:tc>
        <w:tc>
          <w:tcPr>
            <w:tcW w:type="dxa" w:w="7160"/>
            <w:vAlign w:val="center"/>
          </w:tcPr>
          <w:p>
            <w:r>
              <w:rPr>
                <w:b w:val="false"/>
                <w:bCs w:val="false"/>
                <w:sz w:val="18"/>
                <w:szCs w:val="18"/>
              </w:rPr>
              <w:t xml:space="preserve">Not Evidenced in Current Baseline as named individuals — every risk's governing EGD/WP owner field remains unassigned pending WP-0006 (KPI-08 = 0%, Phase A.2 §12). Each risk nonetheless carries a designated target-state owner category (e.g., Security/Platform engineering, Data governance owner, Enterprise architecture owner).</w:t>
            </w:r>
          </w:p>
        </w:tc>
      </w:tr>
      <w:tr>
        <w:tc>
          <w:tcPr>
            <w:tcW w:type="dxa" w:w="2200"/>
            <w:shd w:fill="DCE6F1" w:val="clear"/>
            <w:vAlign w:val="center"/>
          </w:tcPr>
          <w:p>
            <w:r>
              <w:rPr>
                <w:b w:val="false"/>
                <w:bCs w:val="false"/>
                <w:sz w:val="18"/>
                <w:szCs w:val="18"/>
              </w:rPr>
              <w:t xml:space="preserve">Governance Accountability</w:t>
            </w:r>
          </w:p>
        </w:tc>
        <w:tc>
          <w:tcPr>
            <w:tcW w:type="dxa" w:w="7160"/>
            <w:vAlign w:val="center"/>
          </w:tcPr>
          <w:p>
            <w:r>
              <w:rPr>
                <w:b w:val="false"/>
                <w:bCs w:val="false"/>
                <w:sz w:val="18"/>
                <w:szCs w:val="18"/>
              </w:rPr>
              <w:t xml:space="preserve">Target-state: risk disposition is designed to be reviewed by the Enterprise Architecture Board and Executive Steering Committee. No operating governance body has exercised this accountability to date.</w:t>
            </w:r>
          </w:p>
        </w:tc>
      </w:tr>
      <w:tr>
        <w:tc>
          <w:tcPr>
            <w:tcW w:type="dxa" w:w="2200"/>
            <w:shd w:fill="DCE6F1" w:val="clear"/>
            <w:vAlign w:val="center"/>
          </w:tcPr>
          <w:p>
            <w:r>
              <w:rPr>
                <w:b w:val="false"/>
                <w:bCs w:val="false"/>
                <w:sz w:val="18"/>
                <w:szCs w:val="18"/>
              </w:rPr>
              <w:t xml:space="preserve">Risk Monitoring</w:t>
            </w:r>
          </w:p>
        </w:tc>
        <w:tc>
          <w:tcPr>
            <w:tcW w:type="dxa" w:w="7160"/>
            <w:vAlign w:val="center"/>
          </w:tcPr>
          <w:p>
            <w:r>
              <w:rPr>
                <w:b w:val="false"/>
                <w:bCs w:val="false"/>
                <w:sz w:val="18"/>
                <w:szCs w:val="18"/>
              </w:rPr>
              <w:t xml:space="preserve">Four risks (VAR-01, VAR-03, VAR-04, and the documentation-drift risk under VAR-02) carry an explicit review frequency — quarterly or per-release — per Phase A.3 §6. The RLS-coverage risk (WP-0002) and ownership risk (WP-0006) are immediate-priority, not calendar-monitored.</w:t>
            </w:r>
          </w:p>
        </w:tc>
      </w:tr>
      <w:tr>
        <w:tc>
          <w:tcPr>
            <w:tcW w:type="dxa" w:w="2200"/>
            <w:shd w:fill="DCE6F1" w:val="clear"/>
            <w:vAlign w:val="center"/>
          </w:tcPr>
          <w:p>
            <w:r>
              <w:rPr>
                <w:b w:val="false"/>
                <w:bCs w:val="false"/>
                <w:sz w:val="18"/>
                <w:szCs w:val="18"/>
              </w:rPr>
              <w:t xml:space="preserve">Risk Traceability</w:t>
            </w:r>
          </w:p>
        </w:tc>
        <w:tc>
          <w:tcPr>
            <w:tcW w:type="dxa" w:w="7160"/>
            <w:vAlign w:val="center"/>
          </w:tcPr>
          <w:p>
            <w:r>
              <w:rPr>
                <w:b w:val="false"/>
                <w:bCs w:val="false"/>
                <w:sz w:val="18"/>
                <w:szCs w:val="18"/>
              </w:rPr>
              <w:t xml:space="preserve">Complete — every risk in Section 10.9.2–10.9.4 traces to a specific AR, EGD, and/or VAR established in Phase A.3, with no risk asserted outside that chain.</w:t>
            </w:r>
          </w:p>
        </w:tc>
      </w:tr>
      <w:tr>
        <w:tc>
          <w:tcPr>
            <w:tcW w:type="dxa" w:w="2200"/>
            <w:shd w:fill="DCE6F1" w:val="clear"/>
            <w:vAlign w:val="center"/>
          </w:tcPr>
          <w:p>
            <w:r>
              <w:rPr>
                <w:b w:val="false"/>
                <w:bCs w:val="false"/>
                <w:sz w:val="18"/>
                <w:szCs w:val="18"/>
              </w:rPr>
              <w:t xml:space="preserve">Outstanding Governance Conditions</w:t>
            </w:r>
          </w:p>
        </w:tc>
        <w:tc>
          <w:tcPr>
            <w:tcW w:type="dxa" w:w="7160"/>
            <w:vAlign w:val="center"/>
          </w:tcPr>
          <w:p>
            <w:r>
              <w:rPr>
                <w:b w:val="false"/>
                <w:bCs w:val="false"/>
                <w:sz w:val="18"/>
                <w:szCs w:val="18"/>
              </w:rPr>
              <w:t xml:space="preserve">A formally named risk-severity classification scheme, a dedicated risk register distinct from the EGD/VAR registers, and an escalation SLA are Not Evidenced in Current Baseline (Section 8). KPI-08 (Ownership Assignment % = 0%) is the single cross-cutting governance condition affecting accountability for every risk in this baseline.</w:t>
            </w:r>
          </w:p>
        </w:tc>
      </w:tr>
    </w:tbl>
    <w:p>
      <w:pPr>
        <w:pStyle w:val="Heading2"/>
        <w:spacing w:after="120" w:before="240"/>
      </w:pPr>
      <w:r>
        <w:t xml:space="preserve">10.9.6 — Enterprise Risk Heat Map</w:t>
      </w:r>
    </w:p>
    <w:p>
      <w:pPr>
        <w:spacing w:after="160"/>
      </w:pPr>
      <w:r>
        <w:rPr>
          <w:b w:val="false"/>
          <w:bCs w:val="false"/>
          <w:i/>
          <w:iCs/>
        </w:rPr>
        <w:t xml:space="preserve">Source: Section 8 classifications, reused verbatim. No quantitative score is introduced; severity labels are exactly as classified in Section 8 and Sections 10.7–10.8.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660"/>
        <w:gridCol w:w="3000"/>
      </w:tblGrid>
      <w:tr>
        <w:trPr>
          <w:tblHeader/>
        </w:trPr>
        <w:tc>
          <w:tcPr>
            <w:tcW w:type="dxa" w:w="1300"/>
            <w:shd w:fill="1F3864" w:val="clear"/>
            <w:vAlign w:val="center"/>
          </w:tcPr>
          <w:p>
            <w:r>
              <w:rPr>
                <w:b/>
                <w:bCs/>
                <w:color w:val="FFFFFF"/>
                <w:sz w:val="18"/>
                <w:szCs w:val="18"/>
              </w:rPr>
              <w:t xml:space="preserve">Severity</w:t>
            </w:r>
          </w:p>
        </w:tc>
        <w:tc>
          <w:tcPr>
            <w:tcW w:type="dxa" w:w="3400"/>
            <w:shd w:fill="1F3864" w:val="clear"/>
            <w:vAlign w:val="center"/>
          </w:tcPr>
          <w:p>
            <w:r>
              <w:rPr>
                <w:b/>
                <w:bCs/>
                <w:color w:val="FFFFFF"/>
                <w:sz w:val="18"/>
                <w:szCs w:val="18"/>
              </w:rPr>
              <w:t xml:space="preserve">Risks in This Category</w:t>
            </w:r>
          </w:p>
        </w:tc>
        <w:tc>
          <w:tcPr>
            <w:tcW w:type="dxa" w:w="1660"/>
            <w:shd w:fill="1F3864" w:val="clear"/>
            <w:vAlign w:val="center"/>
          </w:tcPr>
          <w:p>
            <w:r>
              <w:rPr>
                <w:b/>
                <w:bCs/>
                <w:color w:val="FFFFFF"/>
                <w:sz w:val="18"/>
                <w:szCs w:val="18"/>
              </w:rPr>
              <w:t xml:space="preserve">Domain(s)</w:t>
            </w:r>
          </w:p>
        </w:tc>
        <w:tc>
          <w:tcPr>
            <w:tcW w:type="dxa" w:w="3000"/>
            <w:shd w:fill="1F3864" w:val="clear"/>
            <w:vAlign w:val="center"/>
          </w:tcPr>
          <w:p>
            <w:r>
              <w:rPr>
                <w:b/>
                <w:bCs/>
                <w:color w:val="FFFFFF"/>
                <w:sz w:val="18"/>
                <w:szCs w:val="18"/>
              </w:rPr>
              <w:t xml:space="preserve">Executive Assessment</w:t>
            </w:r>
          </w:p>
        </w:tc>
      </w:tr>
      <w:tr>
        <w:tc>
          <w:tcPr>
            <w:tcW w:type="dxa" w:w="1300"/>
            <w:vAlign w:val="center"/>
          </w:tcPr>
          <w:p>
            <w:r>
              <w:rPr>
                <w:b w:val="false"/>
                <w:bCs w:val="false"/>
                <w:sz w:val="18"/>
                <w:szCs w:val="18"/>
              </w:rPr>
              <w:t xml:space="preserve">Critical</w:t>
            </w:r>
          </w:p>
        </w:tc>
        <w:tc>
          <w:tcPr>
            <w:tcW w:type="dxa" w:w="3400"/>
            <w:vAlign w:val="center"/>
          </w:tcPr>
          <w:p>
            <w:r>
              <w:rPr>
                <w:b w:val="false"/>
                <w:bCs w:val="false"/>
                <w:sz w:val="18"/>
                <w:szCs w:val="18"/>
              </w:rPr>
              <w:t xml:space="preserve">Zero named, accountable owners (WP-0006); RLS coverage unverified — classified "Critical-until-verified" (WP-0002)</w:t>
            </w:r>
          </w:p>
        </w:tc>
        <w:tc>
          <w:tcPr>
            <w:tcW w:type="dxa" w:w="1660"/>
            <w:vAlign w:val="center"/>
          </w:tcPr>
          <w:p>
            <w:r>
              <w:rPr>
                <w:b w:val="false"/>
                <w:bCs w:val="false"/>
                <w:sz w:val="18"/>
                <w:szCs w:val="18"/>
              </w:rPr>
              <w:t xml:space="preserve">Governance; Security</w:t>
            </w:r>
          </w:p>
        </w:tc>
        <w:tc>
          <w:tcPr>
            <w:tcW w:type="dxa" w:w="3000"/>
            <w:vAlign w:val="center"/>
          </w:tcPr>
          <w:p>
            <w:r>
              <w:rPr>
                <w:b w:val="false"/>
                <w:bCs w:val="false"/>
                <w:sz w:val="18"/>
                <w:szCs w:val="18"/>
              </w:rPr>
              <w:t xml:space="preserve">The two immediate-priority items in the baseline; both startable now, no blocking dependency</w:t>
            </w:r>
          </w:p>
        </w:tc>
      </w:tr>
      <w:tr>
        <w:tc>
          <w:tcPr>
            <w:tcW w:type="dxa" w:w="1300"/>
            <w:shd w:fill="F2F2F2" w:val="clear"/>
            <w:vAlign w:val="center"/>
          </w:tcPr>
          <w:p>
            <w:r>
              <w:rPr>
                <w:b w:val="false"/>
                <w:bCs w:val="false"/>
                <w:sz w:val="18"/>
                <w:szCs w:val="18"/>
              </w:rPr>
              <w:t xml:space="preserve">High</w:t>
            </w:r>
          </w:p>
        </w:tc>
        <w:tc>
          <w:tcPr>
            <w:tcW w:type="dxa" w:w="3400"/>
            <w:shd w:fill="F2F2F2" w:val="clear"/>
            <w:vAlign w:val="center"/>
          </w:tcPr>
          <w:p>
            <w:r>
              <w:rPr>
                <w:b w:val="false"/>
                <w:bCs w:val="false"/>
                <w:sz w:val="18"/>
                <w:szCs w:val="18"/>
              </w:rPr>
              <w:t xml:space="preserve">Documentation drift (WP-0001); Supersession/versioning model deferred — "high if triggered late" (AR-0006)</w:t>
            </w:r>
          </w:p>
        </w:tc>
        <w:tc>
          <w:tcPr>
            <w:tcW w:type="dxa" w:w="1660"/>
            <w:shd w:fill="F2F2F2" w:val="clear"/>
            <w:vAlign w:val="center"/>
          </w:tcPr>
          <w:p>
            <w:r>
              <w:rPr>
                <w:b w:val="false"/>
                <w:bCs w:val="false"/>
                <w:sz w:val="18"/>
                <w:szCs w:val="18"/>
              </w:rPr>
              <w:t xml:space="preserve">Architecture; Documentation; Compliance</w:t>
            </w:r>
          </w:p>
        </w:tc>
        <w:tc>
          <w:tcPr>
            <w:tcW w:type="dxa" w:w="3000"/>
            <w:shd w:fill="F2F2F2" w:val="clear"/>
            <w:vAlign w:val="center"/>
          </w:tcPr>
          <w:p>
            <w:r>
              <w:rPr>
                <w:b w:val="false"/>
                <w:bCs w:val="false"/>
                <w:sz w:val="18"/>
                <w:szCs w:val="18"/>
              </w:rPr>
              <w:t xml:space="preserve">One confirmed and open (WP-0001); one deferred but flagged for late-trigger severity</w:t>
            </w:r>
          </w:p>
        </w:tc>
      </w:tr>
      <w:tr>
        <w:tc>
          <w:tcPr>
            <w:tcW w:type="dxa" w:w="1300"/>
            <w:vAlign w:val="center"/>
          </w:tcPr>
          <w:p>
            <w:r>
              <w:rPr>
                <w:b w:val="false"/>
                <w:bCs w:val="false"/>
                <w:sz w:val="18"/>
                <w:szCs w:val="18"/>
              </w:rPr>
              <w:t xml:space="preserve">Medium</w:t>
            </w:r>
          </w:p>
        </w:tc>
        <w:tc>
          <w:tcPr>
            <w:tcW w:type="dxa" w:w="3400"/>
            <w:vAlign w:val="center"/>
          </w:tcPr>
          <w:p>
            <w:r>
              <w:rPr>
                <w:b w:val="false"/>
                <w:bCs w:val="false"/>
                <w:sz w:val="18"/>
                <w:szCs w:val="18"/>
              </w:rPr>
              <w:t xml:space="preserve">No partitioning on 4 tables (WP-0003); Direct-FK taxonomy denormalization if unmonitored (WP-0004)</w:t>
            </w:r>
          </w:p>
        </w:tc>
        <w:tc>
          <w:tcPr>
            <w:tcW w:type="dxa" w:w="1660"/>
            <w:vAlign w:val="center"/>
          </w:tcPr>
          <w:p>
            <w:r>
              <w:rPr>
                <w:b w:val="false"/>
                <w:bCs w:val="false"/>
                <w:sz w:val="18"/>
                <w:szCs w:val="18"/>
              </w:rPr>
              <w:t xml:space="preserve">Database; Architecture</w:t>
            </w:r>
          </w:p>
        </w:tc>
        <w:tc>
          <w:tcPr>
            <w:tcW w:type="dxa" w:w="3000"/>
            <w:vAlign w:val="center"/>
          </w:tcPr>
          <w:p>
            <w:r>
              <w:rPr>
                <w:b w:val="false"/>
                <w:bCs w:val="false"/>
                <w:sz w:val="18"/>
                <w:szCs w:val="18"/>
              </w:rPr>
              <w:t xml:space="preserve">Both trigger- or condition-gated; monitored on a defined cadence</w:t>
            </w:r>
          </w:p>
        </w:tc>
      </w:tr>
      <w:tr>
        <w:tc>
          <w:tcPr>
            <w:tcW w:type="dxa" w:w="1300"/>
            <w:shd w:fill="F2F2F2" w:val="clear"/>
            <w:vAlign w:val="center"/>
          </w:tcPr>
          <w:p>
            <w:r>
              <w:rPr>
                <w:b w:val="false"/>
                <w:bCs w:val="false"/>
                <w:sz w:val="18"/>
                <w:szCs w:val="18"/>
              </w:rPr>
              <w:t xml:space="preserve">Low</w:t>
            </w:r>
          </w:p>
        </w:tc>
        <w:tc>
          <w:tcPr>
            <w:tcW w:type="dxa" w:w="3400"/>
            <w:shd w:fill="F2F2F2" w:val="clear"/>
            <w:vAlign w:val="center"/>
          </w:tcPr>
          <w:p>
            <w:r>
              <w:rPr>
                <w:b w:val="false"/>
                <w:bCs w:val="false"/>
                <w:sz w:val="18"/>
                <w:szCs w:val="18"/>
              </w:rPr>
              <w:t xml:space="preserve">No partitioning currently (VAR-04, present-state); Direct-FK taxonomy currently (VAR-03, present-state); Column-level access on payload columns (WP-0005)</w:t>
            </w:r>
          </w:p>
        </w:tc>
        <w:tc>
          <w:tcPr>
            <w:tcW w:type="dxa" w:w="1660"/>
            <w:shd w:fill="F2F2F2" w:val="clear"/>
            <w:vAlign w:val="center"/>
          </w:tcPr>
          <w:p>
            <w:r>
              <w:rPr>
                <w:b w:val="false"/>
                <w:bCs w:val="false"/>
                <w:sz w:val="18"/>
                <w:szCs w:val="18"/>
              </w:rPr>
              <w:t xml:space="preserve">Database; Security</w:t>
            </w:r>
          </w:p>
        </w:tc>
        <w:tc>
          <w:tcPr>
            <w:tcW w:type="dxa" w:w="3000"/>
            <w:shd w:fill="F2F2F2" w:val="clear"/>
            <w:vAlign w:val="center"/>
          </w:tcPr>
          <w:p>
            <w:r>
              <w:rPr>
                <w:b w:val="false"/>
                <w:bCs w:val="false"/>
                <w:sz w:val="18"/>
                <w:szCs w:val="18"/>
              </w:rPr>
              <w:t xml:space="preserve">Present-state severity before growth or trigger conditions activate</w:t>
            </w:r>
          </w:p>
        </w:tc>
      </w:tr>
      <w:tr>
        <w:tc>
          <w:tcPr>
            <w:tcW w:type="dxa" w:w="1300"/>
            <w:vAlign w:val="center"/>
          </w:tcPr>
          <w:p>
            <w:r>
              <w:rPr>
                <w:b w:val="false"/>
                <w:bCs w:val="false"/>
                <w:sz w:val="18"/>
                <w:szCs w:val="18"/>
              </w:rPr>
              <w:t xml:space="preserve">Reserved for Future Realization Phases</w:t>
            </w:r>
          </w:p>
        </w:tc>
        <w:tc>
          <w:tcPr>
            <w:tcW w:type="dxa" w:w="3400"/>
            <w:vAlign w:val="center"/>
          </w:tcPr>
          <w:p>
            <w:r>
              <w:rPr>
                <w:b w:val="false"/>
                <w:bCs w:val="false"/>
                <w:sz w:val="18"/>
                <w:szCs w:val="18"/>
              </w:rPr>
              <w:t xml:space="preserve">Any risk authority over Portfolios 3–7 (Enterprise AI, Business Capabilities, Knowledge Platform, Integration Platform, Operations &amp; Observability) and Waves 4–5</w:t>
            </w:r>
          </w:p>
        </w:tc>
        <w:tc>
          <w:tcPr>
            <w:tcW w:type="dxa" w:w="1660"/>
            <w:vAlign w:val="center"/>
          </w:tcPr>
          <w:p>
            <w:r>
              <w:rPr>
                <w:b w:val="false"/>
                <w:bCs w:val="false"/>
                <w:sz w:val="18"/>
                <w:szCs w:val="18"/>
              </w:rPr>
              <w:t xml:space="preserve">All reserved domains</w:t>
            </w:r>
          </w:p>
        </w:tc>
        <w:tc>
          <w:tcPr>
            <w:tcW w:type="dxa" w:w="3000"/>
            <w:vAlign w:val="center"/>
          </w:tcPr>
          <w:p>
            <w:r>
              <w:rPr>
                <w:b w:val="false"/>
                <w:bCs w:val="false"/>
                <w:sz w:val="18"/>
                <w:szCs w:val="18"/>
              </w:rPr>
              <w:t xml:space="preserve">No AR/EGD evidence exists; no severity classification is asserted</w:t>
            </w:r>
          </w:p>
        </w:tc>
      </w:tr>
    </w:tbl>
    <w:p>
      <w:pPr>
        <w:spacing w:after="160"/>
      </w:pPr>
      <w:r>
        <w:rPr>
          <w:b w:val="false"/>
          <w:bCs w:val="false"/>
          <w:i/>
          <w:iCs/>
        </w:rPr>
        <w:t xml:space="preserve">Do NOT invent quantitative scoring — severities above reproduce the qualitative classifications already used in Section 8 §§ Risk Register and Sections 10.7.7, 10.8.7; no numeric risk score exists in this baseline.</w:t>
      </w:r>
    </w:p>
    <w:p>
      <w:pPr>
        <w:pStyle w:val="Heading2"/>
        <w:spacing w:after="120" w:before="240"/>
      </w:pPr>
      <w:r>
        <w:t xml:space="preserve">10.9.7 — Risk Mitigation Dashboard</w:t>
      </w:r>
    </w:p>
    <w:p>
      <w:pPr>
        <w:spacing w:after="160"/>
      </w:pPr>
      <w:r>
        <w:rPr>
          <w:b w:val="false"/>
          <w:bCs w:val="false"/>
          <w:i/>
          <w:iCs/>
        </w:rPr>
        <w:t xml:space="preserve">Source: Section 8; Section 7 (verification relationship); Section 9 (acceptance relationship). Reused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60"/>
        <w:gridCol w:w="1300"/>
        <w:gridCol w:w="1400"/>
      </w:tblGrid>
      <w:tr>
        <w:trPr>
          <w:tblHeader/>
        </w:trPr>
        <w:tc>
          <w:tcPr>
            <w:tcW w:type="dxa" w:w="1700"/>
            <w:shd w:fill="1F3864" w:val="clear"/>
            <w:vAlign w:val="center"/>
          </w:tcPr>
          <w:p>
            <w:r>
              <w:rPr>
                <w:b/>
                <w:bCs/>
                <w:color w:val="FFFFFF"/>
                <w:sz w:val="18"/>
                <w:szCs w:val="18"/>
              </w:rPr>
              <w:t xml:space="preserve">Risk</w:t>
            </w:r>
          </w:p>
        </w:tc>
        <w:tc>
          <w:tcPr>
            <w:tcW w:type="dxa" w:w="1700"/>
            <w:shd w:fill="1F3864" w:val="clear"/>
            <w:vAlign w:val="center"/>
          </w:tcPr>
          <w:p>
            <w:r>
              <w:rPr>
                <w:b/>
                <w:bCs/>
                <w:color w:val="FFFFFF"/>
                <w:sz w:val="18"/>
                <w:szCs w:val="18"/>
              </w:rPr>
              <w:t xml:space="preserve">Existing Mitigation</w:t>
            </w:r>
          </w:p>
        </w:tc>
        <w:tc>
          <w:tcPr>
            <w:tcW w:type="dxa" w:w="1700"/>
            <w:shd w:fill="1F3864" w:val="clear"/>
            <w:vAlign w:val="center"/>
          </w:tcPr>
          <w:p>
            <w:r>
              <w:rPr>
                <w:b/>
                <w:bCs/>
                <w:color w:val="FFFFFF"/>
                <w:sz w:val="18"/>
                <w:szCs w:val="18"/>
              </w:rPr>
              <w:t xml:space="preserve">Remaining Exposure</w:t>
            </w:r>
          </w:p>
        </w:tc>
        <w:tc>
          <w:tcPr>
            <w:tcW w:type="dxa" w:w="1560"/>
            <w:shd w:fill="1F3864" w:val="clear"/>
            <w:vAlign w:val="center"/>
          </w:tcPr>
          <w:p>
            <w:r>
              <w:rPr>
                <w:b/>
                <w:bCs/>
                <w:color w:val="FFFFFF"/>
                <w:sz w:val="18"/>
                <w:szCs w:val="18"/>
              </w:rPr>
              <w:t xml:space="preserve">Verification Relationship</w:t>
            </w:r>
          </w:p>
        </w:tc>
        <w:tc>
          <w:tcPr>
            <w:tcW w:type="dxa" w:w="1300"/>
            <w:shd w:fill="1F3864" w:val="clear"/>
            <w:vAlign w:val="center"/>
          </w:tcPr>
          <w:p>
            <w:r>
              <w:rPr>
                <w:b/>
                <w:bCs/>
                <w:color w:val="FFFFFF"/>
                <w:sz w:val="18"/>
                <w:szCs w:val="18"/>
              </w:rPr>
              <w:t xml:space="preserve">Acceptance Relationship</w:t>
            </w:r>
          </w:p>
        </w:tc>
        <w:tc>
          <w:tcPr>
            <w:tcW w:type="dxa" w:w="1400"/>
            <w:shd w:fill="1F3864" w:val="clear"/>
            <w:vAlign w:val="center"/>
          </w:tcPr>
          <w:p>
            <w:r>
              <w:rPr>
                <w:b/>
                <w:bCs/>
                <w:color w:val="FFFFFF"/>
                <w:sz w:val="18"/>
                <w:szCs w:val="18"/>
              </w:rPr>
              <w:t xml:space="preserve">Executive Assessment</w:t>
            </w:r>
          </w:p>
        </w:tc>
      </w:tr>
      <w:tr>
        <w:tc>
          <w:tcPr>
            <w:tcW w:type="dxa" w:w="1700"/>
            <w:vAlign w:val="center"/>
          </w:tcPr>
          <w:p>
            <w:r>
              <w:rPr>
                <w:b w:val="false"/>
                <w:bCs w:val="false"/>
                <w:sz w:val="18"/>
                <w:szCs w:val="18"/>
              </w:rPr>
              <w:t xml:space="preserve">Documentation drift</w:t>
            </w:r>
          </w:p>
        </w:tc>
        <w:tc>
          <w:tcPr>
            <w:tcW w:type="dxa" w:w="1700"/>
            <w:vAlign w:val="center"/>
          </w:tcPr>
          <w:p>
            <w:r>
              <w:rPr>
                <w:b w:val="false"/>
                <w:bCs w:val="false"/>
                <w:sz w:val="18"/>
                <w:szCs w:val="18"/>
              </w:rPr>
              <w:t xml:space="preserve">WP-0001 scoped, sequenced Wave 2</w:t>
            </w:r>
          </w:p>
        </w:tc>
        <w:tc>
          <w:tcPr>
            <w:tcW w:type="dxa" w:w="1700"/>
            <w:vAlign w:val="center"/>
          </w:tcPr>
          <w:p>
            <w:r>
              <w:rPr>
                <w:b w:val="false"/>
                <w:bCs w:val="false"/>
                <w:sz w:val="18"/>
                <w:szCs w:val="18"/>
              </w:rPr>
              <w:t xml:space="preserve">Live schema divergence until diff executed</w:t>
            </w:r>
          </w:p>
        </w:tc>
        <w:tc>
          <w:tcPr>
            <w:tcW w:type="dxa" w:w="1560"/>
            <w:vAlign w:val="center"/>
          </w:tcPr>
          <w:p>
            <w:r>
              <w:rPr>
                <w:b w:val="false"/>
                <w:bCs w:val="false"/>
                <w:sz w:val="18"/>
                <w:szCs w:val="18"/>
              </w:rPr>
              <w:t xml:space="preserve">Zero-discrepancy table-inventory diff (Section 7 §WP-0001)</w:t>
            </w:r>
          </w:p>
        </w:tc>
        <w:tc>
          <w:tcPr>
            <w:tcW w:type="dxa" w:w="1300"/>
            <w:vAlign w:val="center"/>
          </w:tcPr>
          <w:p>
            <w:r>
              <w:rPr>
                <w:b w:val="false"/>
                <w:bCs w:val="false"/>
                <w:sz w:val="18"/>
                <w:szCs w:val="18"/>
              </w:rPr>
              <w:t xml:space="preserve">Section 9 — WP-0001 acceptance criteria</w:t>
            </w:r>
          </w:p>
        </w:tc>
        <w:tc>
          <w:tcPr>
            <w:tcW w:type="dxa" w:w="1400"/>
            <w:vAlign w:val="center"/>
          </w:tcPr>
          <w:p>
            <w:r>
              <w:rPr>
                <w:b w:val="false"/>
                <w:bCs w:val="false"/>
                <w:sz w:val="18"/>
                <w:szCs w:val="18"/>
              </w:rPr>
              <w:t xml:space="preserve">Confirmed, high; mitigation defined, not yet executed</w:t>
            </w:r>
          </w:p>
        </w:tc>
      </w:tr>
      <w:tr>
        <w:tc>
          <w:tcPr>
            <w:tcW w:type="dxa" w:w="1700"/>
            <w:shd w:fill="F2F2F2" w:val="clear"/>
            <w:vAlign w:val="center"/>
          </w:tcPr>
          <w:p>
            <w:r>
              <w:rPr>
                <w:b w:val="false"/>
                <w:bCs w:val="false"/>
                <w:sz w:val="18"/>
                <w:szCs w:val="18"/>
              </w:rPr>
              <w:t xml:space="preserve">RLS coverage unverified</w:t>
            </w:r>
          </w:p>
        </w:tc>
        <w:tc>
          <w:tcPr>
            <w:tcW w:type="dxa" w:w="1700"/>
            <w:shd w:fill="F2F2F2" w:val="clear"/>
            <w:vAlign w:val="center"/>
          </w:tcPr>
          <w:p>
            <w:r>
              <w:rPr>
                <w:b w:val="false"/>
                <w:bCs w:val="false"/>
                <w:sz w:val="18"/>
                <w:szCs w:val="18"/>
              </w:rPr>
              <w:t xml:space="preserve">WP-0002 scoped, sequenced Wave 1, method fully defined</w:t>
            </w:r>
          </w:p>
        </w:tc>
        <w:tc>
          <w:tcPr>
            <w:tcW w:type="dxa" w:w="1700"/>
            <w:shd w:fill="F2F2F2" w:val="clear"/>
            <w:vAlign w:val="center"/>
          </w:tcPr>
          <w:p>
            <w:r>
              <w:rPr>
                <w:b w:val="false"/>
                <w:bCs w:val="false"/>
                <w:sz w:val="18"/>
                <w:szCs w:val="18"/>
              </w:rPr>
              <w:t xml:space="preserve">Unverified coverage on activity/cognitive/signal tables</w:t>
            </w:r>
          </w:p>
        </w:tc>
        <w:tc>
          <w:tcPr>
            <w:tcW w:type="dxa" w:w="1560"/>
            <w:shd w:fill="F2F2F2" w:val="clear"/>
            <w:vAlign w:val="center"/>
          </w:tcPr>
          <w:p>
            <w:r>
              <w:rPr>
                <w:b w:val="false"/>
                <w:bCs w:val="false"/>
                <w:sz w:val="18"/>
                <w:szCs w:val="18"/>
              </w:rPr>
              <w:t xml:space="preserve">Written RLS status + policy list (Section 7 §WP-0002)</w:t>
            </w:r>
          </w:p>
        </w:tc>
        <w:tc>
          <w:tcPr>
            <w:tcW w:type="dxa" w:w="1300"/>
            <w:shd w:fill="F2F2F2" w:val="clear"/>
            <w:vAlign w:val="center"/>
          </w:tcPr>
          <w:p>
            <w:r>
              <w:rPr>
                <w:b w:val="false"/>
                <w:bCs w:val="false"/>
                <w:sz w:val="18"/>
                <w:szCs w:val="18"/>
              </w:rPr>
              <w:t xml:space="preserve">Section 9 — WP-0002 acceptance criteria</w:t>
            </w:r>
          </w:p>
        </w:tc>
        <w:tc>
          <w:tcPr>
            <w:tcW w:type="dxa" w:w="1400"/>
            <w:shd w:fill="F2F2F2" w:val="clear"/>
            <w:vAlign w:val="center"/>
          </w:tcPr>
          <w:p>
            <w:r>
              <w:rPr>
                <w:b w:val="false"/>
                <w:bCs w:val="false"/>
                <w:sz w:val="18"/>
                <w:szCs w:val="18"/>
              </w:rPr>
              <w:t xml:space="preserve">Critical-until-verified; mitigation ready to execute</w:t>
            </w:r>
          </w:p>
        </w:tc>
      </w:tr>
      <w:tr>
        <w:tc>
          <w:tcPr>
            <w:tcW w:type="dxa" w:w="1700"/>
            <w:vAlign w:val="center"/>
          </w:tcPr>
          <w:p>
            <w:r>
              <w:rPr>
                <w:b w:val="false"/>
                <w:bCs w:val="false"/>
                <w:sz w:val="18"/>
                <w:szCs w:val="18"/>
              </w:rPr>
              <w:t xml:space="preserve">No partitioning on 4 tables</w:t>
            </w:r>
          </w:p>
        </w:tc>
        <w:tc>
          <w:tcPr>
            <w:tcW w:type="dxa" w:w="1700"/>
            <w:vAlign w:val="center"/>
          </w:tcPr>
          <w:p>
            <w:r>
              <w:rPr>
                <w:b w:val="false"/>
                <w:bCs w:val="false"/>
                <w:sz w:val="18"/>
                <w:szCs w:val="18"/>
              </w:rPr>
              <w:t xml:space="preserve">EGD-0004 trigger defined; VAR-04 quarterly review</w:t>
            </w:r>
          </w:p>
        </w:tc>
        <w:tc>
          <w:tcPr>
            <w:tcW w:type="dxa" w:w="1700"/>
            <w:vAlign w:val="center"/>
          </w:tcPr>
          <w:p>
            <w:r>
              <w:rPr>
                <w:b w:val="false"/>
                <w:bCs w:val="false"/>
                <w:sz w:val="18"/>
                <w:szCs w:val="18"/>
              </w:rPr>
              <w:t xml:space="preserve">Growth beyond trigger threshold before assessment completes</w:t>
            </w:r>
          </w:p>
        </w:tc>
        <w:tc>
          <w:tcPr>
            <w:tcW w:type="dxa" w:w="1560"/>
            <w:vAlign w:val="center"/>
          </w:tcPr>
          <w:p>
            <w:r>
              <w:rPr>
                <w:b w:val="false"/>
                <w:bCs w:val="false"/>
                <w:sz w:val="18"/>
                <w:szCs w:val="18"/>
              </w:rPr>
              <w:t xml:space="preserve">Quarterly row-count/latency check (Section 7 §WP-0003)</w:t>
            </w:r>
          </w:p>
        </w:tc>
        <w:tc>
          <w:tcPr>
            <w:tcW w:type="dxa" w:w="1300"/>
            <w:vAlign w:val="center"/>
          </w:tcPr>
          <w:p>
            <w:r>
              <w:rPr>
                <w:b w:val="false"/>
                <w:bCs w:val="false"/>
                <w:sz w:val="18"/>
                <w:szCs w:val="18"/>
              </w:rPr>
              <w:t xml:space="preserve">Section 9 — WP-0003 criteria (trigger-gated)</w:t>
            </w:r>
          </w:p>
        </w:tc>
        <w:tc>
          <w:tcPr>
            <w:tcW w:type="dxa" w:w="1400"/>
            <w:vAlign w:val="center"/>
          </w:tcPr>
          <w:p>
            <w:r>
              <w:rPr>
                <w:b w:val="false"/>
                <w:bCs w:val="false"/>
                <w:sz w:val="18"/>
                <w:szCs w:val="18"/>
              </w:rPr>
              <w:t xml:space="preserve">Medium, growing; monitored, not immediate</w:t>
            </w:r>
          </w:p>
        </w:tc>
      </w:tr>
      <w:tr>
        <w:tc>
          <w:tcPr>
            <w:tcW w:type="dxa" w:w="1700"/>
            <w:shd w:fill="F2F2F2" w:val="clear"/>
            <w:vAlign w:val="center"/>
          </w:tcPr>
          <w:p>
            <w:r>
              <w:rPr>
                <w:b w:val="false"/>
                <w:bCs w:val="false"/>
                <w:sz w:val="18"/>
                <w:szCs w:val="18"/>
              </w:rPr>
              <w:t xml:space="preserve">Direct-FK taxonomy denormalization</w:t>
            </w:r>
          </w:p>
        </w:tc>
        <w:tc>
          <w:tcPr>
            <w:tcW w:type="dxa" w:w="1700"/>
            <w:shd w:fill="F2F2F2" w:val="clear"/>
            <w:vAlign w:val="center"/>
          </w:tcPr>
          <w:p>
            <w:r>
              <w:rPr>
                <w:b w:val="false"/>
                <w:bCs w:val="false"/>
                <w:sz w:val="18"/>
                <w:szCs w:val="18"/>
              </w:rPr>
              <w:t xml:space="preserve">EGD-0003 condition defined; VAR-03 per-release review</w:t>
            </w:r>
          </w:p>
        </w:tc>
        <w:tc>
          <w:tcPr>
            <w:tcW w:type="dxa" w:w="1700"/>
            <w:shd w:fill="F2F2F2" w:val="clear"/>
            <w:vAlign w:val="center"/>
          </w:tcPr>
          <w:p>
            <w:r>
              <w:rPr>
                <w:b w:val="false"/>
                <w:bCs w:val="false"/>
                <w:sz w:val="18"/>
                <w:szCs w:val="18"/>
              </w:rPr>
              <w:t xml:space="preserve">Latent inconsistency if taxonomy versioning need emerges unmonitored</w:t>
            </w:r>
          </w:p>
        </w:tc>
        <w:tc>
          <w:tcPr>
            <w:tcW w:type="dxa" w:w="1560"/>
            <w:shd w:fill="F2F2F2" w:val="clear"/>
            <w:vAlign w:val="center"/>
          </w:tcPr>
          <w:p>
            <w:r>
              <w:rPr>
                <w:b w:val="false"/>
                <w:bCs w:val="false"/>
                <w:sz w:val="18"/>
                <w:szCs w:val="18"/>
              </w:rPr>
              <w:t xml:space="preserve">Per-release automated denormalization check (Section 7 §WP-0004)</w:t>
            </w:r>
          </w:p>
        </w:tc>
        <w:tc>
          <w:tcPr>
            <w:tcW w:type="dxa" w:w="1300"/>
            <w:shd w:fill="F2F2F2" w:val="clear"/>
            <w:vAlign w:val="center"/>
          </w:tcPr>
          <w:p>
            <w:r>
              <w:rPr>
                <w:b w:val="false"/>
                <w:bCs w:val="false"/>
                <w:sz w:val="18"/>
                <w:szCs w:val="18"/>
              </w:rPr>
              <w:t xml:space="preserve">Section 9 — WP-0004 criteria</w:t>
            </w:r>
          </w:p>
        </w:tc>
        <w:tc>
          <w:tcPr>
            <w:tcW w:type="dxa" w:w="1400"/>
            <w:shd w:fill="F2F2F2" w:val="clear"/>
            <w:vAlign w:val="center"/>
          </w:tcPr>
          <w:p>
            <w:r>
              <w:rPr>
                <w:b w:val="false"/>
                <w:bCs w:val="false"/>
                <w:sz w:val="18"/>
                <w:szCs w:val="18"/>
              </w:rPr>
              <w:t xml:space="preserve">Low–medium latent; stable pending WP-0004</w:t>
            </w:r>
          </w:p>
        </w:tc>
      </w:tr>
      <w:tr>
        <w:tc>
          <w:tcPr>
            <w:tcW w:type="dxa" w:w="1700"/>
            <w:vAlign w:val="center"/>
          </w:tcPr>
          <w:p>
            <w:r>
              <w:rPr>
                <w:b w:val="false"/>
                <w:bCs w:val="false"/>
                <w:sz w:val="18"/>
                <w:szCs w:val="18"/>
              </w:rPr>
              <w:t xml:space="preserve">Column-level access on payload columns</w:t>
            </w:r>
          </w:p>
        </w:tc>
        <w:tc>
          <w:tcPr>
            <w:tcW w:type="dxa" w:w="1700"/>
            <w:vAlign w:val="center"/>
          </w:tcPr>
          <w:p>
            <w:r>
              <w:rPr>
                <w:b w:val="false"/>
                <w:bCs w:val="false"/>
                <w:sz w:val="18"/>
                <w:szCs w:val="18"/>
              </w:rPr>
              <w:t xml:space="preserve">Manual review reusing WP-0002 template</w:t>
            </w:r>
          </w:p>
        </w:tc>
        <w:tc>
          <w:tcPr>
            <w:tcW w:type="dxa" w:w="1700"/>
            <w:vAlign w:val="center"/>
          </w:tcPr>
          <w:p>
            <w:r>
              <w:rPr>
                <w:b w:val="false"/>
                <w:bCs w:val="false"/>
                <w:sz w:val="18"/>
                <w:szCs w:val="18"/>
              </w:rPr>
              <w:t xml:space="preserve">Unreviewed payload columns until WP-0005 executes</w:t>
            </w:r>
          </w:p>
        </w:tc>
        <w:tc>
          <w:tcPr>
            <w:tcW w:type="dxa" w:w="1560"/>
            <w:vAlign w:val="center"/>
          </w:tcPr>
          <w:p>
            <w:r>
              <w:rPr>
                <w:b w:val="false"/>
                <w:bCs w:val="false"/>
                <w:sz w:val="18"/>
                <w:szCs w:val="18"/>
              </w:rPr>
              <w:t xml:space="preserve">Column-level review (Section 7 §WP-0005)</w:t>
            </w:r>
          </w:p>
        </w:tc>
        <w:tc>
          <w:tcPr>
            <w:tcW w:type="dxa" w:w="1300"/>
            <w:vAlign w:val="center"/>
          </w:tcPr>
          <w:p>
            <w:r>
              <w:rPr>
                <w:b w:val="false"/>
                <w:bCs w:val="false"/>
                <w:sz w:val="18"/>
                <w:szCs w:val="18"/>
              </w:rPr>
              <w:t xml:space="preserve">Section 9 — WP-0005 criteria</w:t>
            </w:r>
          </w:p>
        </w:tc>
        <w:tc>
          <w:tcPr>
            <w:tcW w:type="dxa" w:w="1400"/>
            <w:vAlign w:val="center"/>
          </w:tcPr>
          <w:p>
            <w:r>
              <w:rPr>
                <w:b w:val="false"/>
                <w:bCs w:val="false"/>
                <w:sz w:val="18"/>
                <w:szCs w:val="18"/>
              </w:rPr>
              <w:t xml:space="preserve">Low–medium latent; sequenced after WP-0002</w:t>
            </w:r>
          </w:p>
        </w:tc>
      </w:tr>
      <w:tr>
        <w:tc>
          <w:tcPr>
            <w:tcW w:type="dxa" w:w="1700"/>
            <w:shd w:fill="F2F2F2" w:val="clear"/>
            <w:vAlign w:val="center"/>
          </w:tcPr>
          <w:p>
            <w:r>
              <w:rPr>
                <w:b w:val="false"/>
                <w:bCs w:val="false"/>
                <w:sz w:val="18"/>
                <w:szCs w:val="18"/>
              </w:rPr>
              <w:t xml:space="preserve">Supersession/versioning model deferred</w:t>
            </w:r>
          </w:p>
        </w:tc>
        <w:tc>
          <w:tcPr>
            <w:tcW w:type="dxa" w:w="1700"/>
            <w:shd w:fill="F2F2F2" w:val="clear"/>
            <w:vAlign w:val="center"/>
          </w:tcPr>
          <w:p>
            <w:r>
              <w:rPr>
                <w:b w:val="false"/>
                <w:bCs w:val="false"/>
                <w:sz w:val="18"/>
                <w:szCs w:val="18"/>
              </w:rPr>
              <w:t xml:space="preserve">EGD-0006 trigger defined</w:t>
            </w:r>
          </w:p>
        </w:tc>
        <w:tc>
          <w:tcPr>
            <w:tcW w:type="dxa" w:w="1700"/>
            <w:shd w:fill="F2F2F2" w:val="clear"/>
            <w:vAlign w:val="center"/>
          </w:tcPr>
          <w:p>
            <w:r>
              <w:rPr>
                <w:b w:val="false"/>
                <w:bCs w:val="false"/>
                <w:sz w:val="18"/>
                <w:szCs w:val="18"/>
              </w:rPr>
              <w:t xml:space="preserve">Irreversibility exposure if compliance trigger fires without warning</w:t>
            </w:r>
          </w:p>
        </w:tc>
        <w:tc>
          <w:tcPr>
            <w:tcW w:type="dxa" w:w="1560"/>
            <w:shd w:fill="F2F2F2" w:val="clear"/>
            <w:vAlign w:val="center"/>
          </w:tcPr>
          <w:p>
            <w:r>
              <w:rPr>
                <w:b w:val="false"/>
                <w:bCs w:val="false"/>
                <w:sz w:val="18"/>
                <w:szCs w:val="18"/>
              </w:rPr>
              <w:t xml:space="preserve">Compliance/audit scope review (Phase A.3 §7)</w:t>
            </w:r>
          </w:p>
        </w:tc>
        <w:tc>
          <w:tcPr>
            <w:tcW w:type="dxa" w:w="1300"/>
            <w:shd w:fill="F2F2F2" w:val="clear"/>
            <w:vAlign w:val="center"/>
          </w:tcPr>
          <w:p>
            <w:r>
              <w:rPr>
                <w:b w:val="false"/>
                <w:bCs w:val="false"/>
                <w:sz w:val="18"/>
                <w:szCs w:val="18"/>
              </w:rPr>
              <w:t xml:space="preserve">Not Evidenced in Current Baseline</w:t>
            </w:r>
          </w:p>
        </w:tc>
        <w:tc>
          <w:tcPr>
            <w:tcW w:type="dxa" w:w="1400"/>
            <w:shd w:fill="F2F2F2" w:val="clear"/>
            <w:vAlign w:val="center"/>
          </w:tcPr>
          <w:p>
            <w:r>
              <w:rPr>
                <w:b w:val="false"/>
                <w:bCs w:val="false"/>
                <w:sz w:val="18"/>
                <w:szCs w:val="18"/>
              </w:rPr>
              <w:t xml:space="preserve">Low currently; monitored for trigger only</w:t>
            </w:r>
          </w:p>
        </w:tc>
      </w:tr>
      <w:tr>
        <w:tc>
          <w:tcPr>
            <w:tcW w:type="dxa" w:w="1700"/>
            <w:vAlign w:val="center"/>
          </w:tcPr>
          <w:p>
            <w:r>
              <w:rPr>
                <w:b w:val="false"/>
                <w:bCs w:val="false"/>
                <w:sz w:val="18"/>
                <w:szCs w:val="18"/>
              </w:rPr>
              <w:t xml:space="preserve">Zero named, accountable owners</w:t>
            </w:r>
          </w:p>
        </w:tc>
        <w:tc>
          <w:tcPr>
            <w:tcW w:type="dxa" w:w="1700"/>
            <w:vAlign w:val="center"/>
          </w:tcPr>
          <w:p>
            <w:r>
              <w:rPr>
                <w:b w:val="false"/>
                <w:bCs w:val="false"/>
                <w:sz w:val="18"/>
                <w:szCs w:val="18"/>
              </w:rPr>
              <w:t xml:space="preserve">WP-0006 scoped, critical priority, sequenced Wave 1</w:t>
            </w:r>
          </w:p>
        </w:tc>
        <w:tc>
          <w:tcPr>
            <w:tcW w:type="dxa" w:w="1700"/>
            <w:vAlign w:val="center"/>
          </w:tcPr>
          <w:p>
            <w:r>
              <w:rPr>
                <w:b w:val="false"/>
                <w:bCs w:val="false"/>
                <w:sz w:val="18"/>
                <w:szCs w:val="18"/>
              </w:rPr>
              <w:t xml:space="preserve">No accountable execution of any other mitigation until resolved</w:t>
            </w:r>
          </w:p>
        </w:tc>
        <w:tc>
          <w:tcPr>
            <w:tcW w:type="dxa" w:w="1560"/>
            <w:vAlign w:val="center"/>
          </w:tcPr>
          <w:p>
            <w:r>
              <w:rPr>
                <w:b w:val="false"/>
                <w:bCs w:val="false"/>
                <w:sz w:val="18"/>
                <w:szCs w:val="18"/>
              </w:rPr>
              <w:t xml:space="preserve">Direct measurement against KPI-08 (Section 7 §WP-0006)</w:t>
            </w:r>
          </w:p>
        </w:tc>
        <w:tc>
          <w:tcPr>
            <w:tcW w:type="dxa" w:w="1300"/>
            <w:vAlign w:val="center"/>
          </w:tcPr>
          <w:p>
            <w:r>
              <w:rPr>
                <w:b w:val="false"/>
                <w:bCs w:val="false"/>
                <w:sz w:val="18"/>
                <w:szCs w:val="18"/>
              </w:rPr>
              <w:t xml:space="preserve">Section 9 — WP-0006 criteria</w:t>
            </w:r>
          </w:p>
        </w:tc>
        <w:tc>
          <w:tcPr>
            <w:tcW w:type="dxa" w:w="1400"/>
            <w:vAlign w:val="center"/>
          </w:tcPr>
          <w:p>
            <w:r>
              <w:rPr>
                <w:b w:val="false"/>
                <w:bCs w:val="false"/>
                <w:sz w:val="18"/>
                <w:szCs w:val="18"/>
              </w:rPr>
              <w:t xml:space="preserve">Critical; structural precondition for every other row in this table</w:t>
            </w:r>
          </w:p>
        </w:tc>
      </w:tr>
    </w:tbl>
    <w:p>
      <w:r>
        <w:br w:type="page"/>
      </w:r>
    </w:p>
    <w:p>
      <w:pPr>
        <w:pStyle w:val="Heading2"/>
        <w:spacing w:after="120" w:before="240"/>
      </w:pPr>
      <w:r>
        <w:t xml:space="preserve">10.9.8 — Executive Risk Decision Matrix</w:t>
      </w:r>
    </w:p>
    <w:p>
      <w:pPr>
        <w:spacing w:after="160"/>
      </w:pPr>
      <w:r>
        <w:rPr>
          <w:b w:val="false"/>
          <w:bCs w:val="false"/>
          <w:i/>
          <w:iCs/>
        </w:rPr>
        <w:t xml:space="preserve">Source: Sections 8, 9, and 10.1–10.8, consolidated. Reused verbatim; no new governance outcome is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400"/>
        <w:gridCol w:w="1560"/>
        <w:gridCol w:w="1400"/>
        <w:gridCol w:w="1300"/>
      </w:tblGrid>
      <w:tr>
        <w:trPr>
          <w:tblHeader/>
        </w:trPr>
        <w:tc>
          <w:tcPr>
            <w:tcW w:type="dxa" w:w="1700"/>
            <w:shd w:fill="1F3864" w:val="clear"/>
            <w:vAlign w:val="center"/>
          </w:tcPr>
          <w:p>
            <w:r>
              <w:rPr>
                <w:b/>
                <w:bCs/>
                <w:color w:val="FFFFFF"/>
                <w:sz w:val="18"/>
                <w:szCs w:val="18"/>
              </w:rPr>
              <w:t xml:space="preserve">Risk</w:t>
            </w:r>
          </w:p>
        </w:tc>
        <w:tc>
          <w:tcPr>
            <w:tcW w:type="dxa" w:w="2000"/>
            <w:shd w:fill="1F3864" w:val="clear"/>
            <w:vAlign w:val="center"/>
          </w:tcPr>
          <w:p>
            <w:r>
              <w:rPr>
                <w:b/>
                <w:bCs/>
                <w:color w:val="FFFFFF"/>
                <w:sz w:val="18"/>
                <w:szCs w:val="18"/>
              </w:rPr>
              <w:t xml:space="preserve">Executive Decision</w:t>
            </w:r>
          </w:p>
        </w:tc>
        <w:tc>
          <w:tcPr>
            <w:tcW w:type="dxa" w:w="1400"/>
            <w:shd w:fill="1F3864" w:val="clear"/>
            <w:vAlign w:val="center"/>
          </w:tcPr>
          <w:p>
            <w:r>
              <w:rPr>
                <w:b/>
                <w:bCs/>
                <w:color w:val="FFFFFF"/>
                <w:sz w:val="18"/>
                <w:szCs w:val="18"/>
              </w:rPr>
              <w:t xml:space="preserve">Supporting Evidence</w:t>
            </w:r>
          </w:p>
        </w:tc>
        <w:tc>
          <w:tcPr>
            <w:tcW w:type="dxa" w:w="1560"/>
            <w:shd w:fill="1F3864" w:val="clear"/>
            <w:vAlign w:val="center"/>
          </w:tcPr>
          <w:p>
            <w:r>
              <w:rPr>
                <w:b/>
                <w:bCs/>
                <w:color w:val="FFFFFF"/>
                <w:sz w:val="18"/>
                <w:szCs w:val="18"/>
              </w:rPr>
              <w:t xml:space="preserve">Blocking Conditions</w:t>
            </w:r>
          </w:p>
        </w:tc>
        <w:tc>
          <w:tcPr>
            <w:tcW w:type="dxa" w:w="1400"/>
            <w:shd w:fill="1F3864" w:val="clear"/>
            <w:vAlign w:val="center"/>
          </w:tcPr>
          <w:p>
            <w:r>
              <w:rPr>
                <w:b/>
                <w:bCs/>
                <w:color w:val="FFFFFF"/>
                <w:sz w:val="18"/>
                <w:szCs w:val="18"/>
              </w:rPr>
              <w:t xml:space="preserve">Immediate Next Approved Action</w:t>
            </w:r>
          </w:p>
        </w:tc>
        <w:tc>
          <w:tcPr>
            <w:tcW w:type="dxa" w:w="1300"/>
            <w:shd w:fill="1F3864" w:val="clear"/>
            <w:vAlign w:val="center"/>
          </w:tcPr>
          <w:p>
            <w:r>
              <w:rPr>
                <w:b/>
                <w:bCs/>
                <w:color w:val="FFFFFF"/>
                <w:sz w:val="18"/>
                <w:szCs w:val="18"/>
              </w:rPr>
              <w:t xml:space="preserve">Executive Recommendation</w:t>
            </w:r>
          </w:p>
        </w:tc>
      </w:tr>
      <w:tr>
        <w:tc>
          <w:tcPr>
            <w:tcW w:type="dxa" w:w="1700"/>
            <w:vAlign w:val="center"/>
          </w:tcPr>
          <w:p>
            <w:r>
              <w:rPr>
                <w:b w:val="false"/>
                <w:bCs w:val="false"/>
                <w:sz w:val="18"/>
                <w:szCs w:val="18"/>
              </w:rPr>
              <w:t xml:space="preserve">RLS coverage unverified</w:t>
            </w:r>
          </w:p>
        </w:tc>
        <w:tc>
          <w:tcPr>
            <w:tcW w:type="dxa" w:w="2000"/>
            <w:vAlign w:val="center"/>
          </w:tcPr>
          <w:p>
            <w:r>
              <w:rPr>
                <w:b w:val="false"/>
                <w:bCs w:val="false"/>
                <w:sz w:val="18"/>
                <w:szCs w:val="18"/>
              </w:rPr>
              <w:t xml:space="preserve">Execute WP-0002 as the immediate top risk-mitigation priority</w:t>
            </w:r>
          </w:p>
        </w:tc>
        <w:tc>
          <w:tcPr>
            <w:tcW w:type="dxa" w:w="1400"/>
            <w:vAlign w:val="center"/>
          </w:tcPr>
          <w:p>
            <w:r>
              <w:rPr>
                <w:b w:val="false"/>
                <w:bCs w:val="false"/>
                <w:sz w:val="18"/>
                <w:szCs w:val="18"/>
              </w:rPr>
              <w:t xml:space="preserve">Section 7 §WP-0002; Section 8</w:t>
            </w:r>
          </w:p>
        </w:tc>
        <w:tc>
          <w:tcPr>
            <w:tcW w:type="dxa" w:w="1560"/>
            <w:vAlign w:val="center"/>
          </w:tcPr>
          <w:p>
            <w:r>
              <w:rPr>
                <w:b w:val="false"/>
                <w:bCs w:val="false"/>
                <w:sz w:val="18"/>
                <w:szCs w:val="18"/>
              </w:rPr>
              <w:t xml:space="preserve">None — startable now</w:t>
            </w:r>
          </w:p>
        </w:tc>
        <w:tc>
          <w:tcPr>
            <w:tcW w:type="dxa" w:w="1400"/>
            <w:vAlign w:val="center"/>
          </w:tcPr>
          <w:p>
            <w:r>
              <w:rPr>
                <w:b w:val="false"/>
                <w:bCs w:val="false"/>
                <w:sz w:val="18"/>
                <w:szCs w:val="18"/>
              </w:rPr>
              <w:t xml:space="preserve">Produce per-table RLS coverage ledger</w:t>
            </w:r>
          </w:p>
        </w:tc>
        <w:tc>
          <w:tcPr>
            <w:tcW w:type="dxa" w:w="1300"/>
            <w:vAlign w:val="center"/>
          </w:tcPr>
          <w:p>
            <w:r>
              <w:rPr>
                <w:b w:val="false"/>
                <w:bCs w:val="false"/>
                <w:sz w:val="18"/>
                <w:szCs w:val="18"/>
              </w:rPr>
              <w:t xml:space="preserve">Approve immediate execution</w:t>
            </w:r>
          </w:p>
        </w:tc>
      </w:tr>
      <w:tr>
        <w:tc>
          <w:tcPr>
            <w:tcW w:type="dxa" w:w="1700"/>
            <w:shd w:fill="F2F2F2" w:val="clear"/>
            <w:vAlign w:val="center"/>
          </w:tcPr>
          <w:p>
            <w:r>
              <w:rPr>
                <w:b w:val="false"/>
                <w:bCs w:val="false"/>
                <w:sz w:val="18"/>
                <w:szCs w:val="18"/>
              </w:rPr>
              <w:t xml:space="preserve">Documentation drift</w:t>
            </w:r>
          </w:p>
        </w:tc>
        <w:tc>
          <w:tcPr>
            <w:tcW w:type="dxa" w:w="2000"/>
            <w:shd w:fill="F2F2F2" w:val="clear"/>
            <w:vAlign w:val="center"/>
          </w:tcPr>
          <w:p>
            <w:r>
              <w:rPr>
                <w:b w:val="false"/>
                <w:bCs w:val="false"/>
                <w:sz w:val="18"/>
                <w:szCs w:val="18"/>
              </w:rPr>
              <w:t xml:space="preserve">Execute WP-0001 as the second immediate priority</w:t>
            </w:r>
          </w:p>
        </w:tc>
        <w:tc>
          <w:tcPr>
            <w:tcW w:type="dxa" w:w="1400"/>
            <w:shd w:fill="F2F2F2" w:val="clear"/>
            <w:vAlign w:val="center"/>
          </w:tcPr>
          <w:p>
            <w:r>
              <w:rPr>
                <w:b w:val="false"/>
                <w:bCs w:val="false"/>
                <w:sz w:val="18"/>
                <w:szCs w:val="18"/>
              </w:rPr>
              <w:t xml:space="preserve">Section 7 §WP-0001; Section 8</w:t>
            </w:r>
          </w:p>
        </w:tc>
        <w:tc>
          <w:tcPr>
            <w:tcW w:type="dxa" w:w="1560"/>
            <w:shd w:fill="F2F2F2" w:val="clear"/>
            <w:vAlign w:val="center"/>
          </w:tcPr>
          <w:p>
            <w:r>
              <w:rPr>
                <w:b w:val="false"/>
                <w:bCs w:val="false"/>
                <w:sz w:val="18"/>
                <w:szCs w:val="18"/>
              </w:rPr>
              <w:t xml:space="preserve">None — startable now</w:t>
            </w:r>
          </w:p>
        </w:tc>
        <w:tc>
          <w:tcPr>
            <w:tcW w:type="dxa" w:w="1400"/>
            <w:shd w:fill="F2F2F2" w:val="clear"/>
            <w:vAlign w:val="center"/>
          </w:tcPr>
          <w:p>
            <w:r>
              <w:rPr>
                <w:b w:val="false"/>
                <w:bCs w:val="false"/>
                <w:sz w:val="18"/>
                <w:szCs w:val="18"/>
              </w:rPr>
              <w:t xml:space="preserve">Publish revised architecture document; run zero-discrepancy diff</w:t>
            </w:r>
          </w:p>
        </w:tc>
        <w:tc>
          <w:tcPr>
            <w:tcW w:type="dxa" w:w="1300"/>
            <w:shd w:fill="F2F2F2" w:val="clear"/>
            <w:vAlign w:val="center"/>
          </w:tcPr>
          <w:p>
            <w:r>
              <w:rPr>
                <w:b w:val="false"/>
                <w:bCs w:val="false"/>
                <w:sz w:val="18"/>
                <w:szCs w:val="18"/>
              </w:rPr>
              <w:t xml:space="preserve">Approve immediate execution</w:t>
            </w:r>
          </w:p>
        </w:tc>
      </w:tr>
      <w:tr>
        <w:tc>
          <w:tcPr>
            <w:tcW w:type="dxa" w:w="1700"/>
            <w:vAlign w:val="center"/>
          </w:tcPr>
          <w:p>
            <w:r>
              <w:rPr>
                <w:b w:val="false"/>
                <w:bCs w:val="false"/>
                <w:sz w:val="18"/>
                <w:szCs w:val="18"/>
              </w:rPr>
              <w:t xml:space="preserve">Zero named, accountable owners</w:t>
            </w:r>
          </w:p>
        </w:tc>
        <w:tc>
          <w:tcPr>
            <w:tcW w:type="dxa" w:w="2000"/>
            <w:vAlign w:val="center"/>
          </w:tcPr>
          <w:p>
            <w:r>
              <w:rPr>
                <w:b w:val="false"/>
                <w:bCs w:val="false"/>
                <w:sz w:val="18"/>
                <w:szCs w:val="18"/>
              </w:rPr>
              <w:t xml:space="preserve">Execute WP-0006 in parallel with WP-0001/WP-0002, not sequentially after</w:t>
            </w:r>
          </w:p>
        </w:tc>
        <w:tc>
          <w:tcPr>
            <w:tcW w:type="dxa" w:w="1400"/>
            <w:vAlign w:val="center"/>
          </w:tcPr>
          <w:p>
            <w:r>
              <w:rPr>
                <w:b w:val="false"/>
                <w:bCs w:val="false"/>
                <w:sz w:val="18"/>
                <w:szCs w:val="18"/>
              </w:rPr>
              <w:t xml:space="preserve">Phase A.2 §12; Section 8</w:t>
            </w:r>
          </w:p>
        </w:tc>
        <w:tc>
          <w:tcPr>
            <w:tcW w:type="dxa" w:w="1560"/>
            <w:vAlign w:val="center"/>
          </w:tcPr>
          <w:p>
            <w:r>
              <w:rPr>
                <w:b w:val="false"/>
                <w:bCs w:val="false"/>
                <w:sz w:val="18"/>
                <w:szCs w:val="18"/>
              </w:rPr>
              <w:t xml:space="preserve">None — non-sequential precondition</w:t>
            </w:r>
          </w:p>
        </w:tc>
        <w:tc>
          <w:tcPr>
            <w:tcW w:type="dxa" w:w="1400"/>
            <w:vAlign w:val="center"/>
          </w:tcPr>
          <w:p>
            <w:r>
              <w:rPr>
                <w:b w:val="false"/>
                <w:bCs w:val="false"/>
                <w:sz w:val="18"/>
                <w:szCs w:val="18"/>
              </w:rPr>
              <w:t xml:space="preserve">Assign named owners to all five roles per Phase B §9</w:t>
            </w:r>
          </w:p>
        </w:tc>
        <w:tc>
          <w:tcPr>
            <w:tcW w:type="dxa" w:w="1300"/>
            <w:vAlign w:val="center"/>
          </w:tcPr>
          <w:p>
            <w:r>
              <w:rPr>
                <w:b w:val="false"/>
                <w:bCs w:val="false"/>
                <w:sz w:val="18"/>
                <w:szCs w:val="18"/>
              </w:rPr>
              <w:t xml:space="preserve">Approve as an immediate, parallel-track action</w:t>
            </w:r>
          </w:p>
        </w:tc>
      </w:tr>
      <w:tr>
        <w:tc>
          <w:tcPr>
            <w:tcW w:type="dxa" w:w="1700"/>
            <w:shd w:fill="F2F2F2" w:val="clear"/>
            <w:vAlign w:val="center"/>
          </w:tcPr>
          <w:p>
            <w:r>
              <w:rPr>
                <w:b w:val="false"/>
                <w:bCs w:val="false"/>
                <w:sz w:val="18"/>
                <w:szCs w:val="18"/>
              </w:rPr>
              <w:t xml:space="preserve">No partitioning on 4 tables</w:t>
            </w:r>
          </w:p>
        </w:tc>
        <w:tc>
          <w:tcPr>
            <w:tcW w:type="dxa" w:w="2000"/>
            <w:shd w:fill="F2F2F2" w:val="clear"/>
            <w:vAlign w:val="center"/>
          </w:tcPr>
          <w:p>
            <w:r>
              <w:rPr>
                <w:b w:val="false"/>
                <w:bCs w:val="false"/>
                <w:sz w:val="18"/>
                <w:szCs w:val="18"/>
              </w:rPr>
              <w:t xml:space="preserve">Defer active migration; continue quarterly monitoring per EGD-0004</w:t>
            </w:r>
          </w:p>
        </w:tc>
        <w:tc>
          <w:tcPr>
            <w:tcW w:type="dxa" w:w="1400"/>
            <w:shd w:fill="F2F2F2" w:val="clear"/>
            <w:vAlign w:val="center"/>
          </w:tcPr>
          <w:p>
            <w:r>
              <w:rPr>
                <w:b w:val="false"/>
                <w:bCs w:val="false"/>
                <w:sz w:val="18"/>
                <w:szCs w:val="18"/>
              </w:rPr>
              <w:t xml:space="preserve">Phase A.3 §4; Section 8</w:t>
            </w:r>
          </w:p>
        </w:tc>
        <w:tc>
          <w:tcPr>
            <w:tcW w:type="dxa" w:w="1560"/>
            <w:shd w:fill="F2F2F2" w:val="clear"/>
            <w:vAlign w:val="center"/>
          </w:tcPr>
          <w:p>
            <w:r>
              <w:rPr>
                <w:b w:val="false"/>
                <w:bCs w:val="false"/>
                <w:sz w:val="18"/>
                <w:szCs w:val="18"/>
              </w:rPr>
              <w:t xml:space="preserve">Growth/volume data not yet gathered</w:t>
            </w:r>
          </w:p>
        </w:tc>
        <w:tc>
          <w:tcPr>
            <w:tcW w:type="dxa" w:w="1400"/>
            <w:shd w:fill="F2F2F2" w:val="clear"/>
            <w:vAlign w:val="center"/>
          </w:tcPr>
          <w:p>
            <w:r>
              <w:rPr>
                <w:b w:val="false"/>
                <w:bCs w:val="false"/>
                <w:sz w:val="18"/>
                <w:szCs w:val="18"/>
              </w:rPr>
              <w:t xml:space="preserve">Continue quarterly row-count/latency check</w:t>
            </w:r>
          </w:p>
        </w:tc>
        <w:tc>
          <w:tcPr>
            <w:tcW w:type="dxa" w:w="1300"/>
            <w:shd w:fill="F2F2F2" w:val="clear"/>
            <w:vAlign w:val="center"/>
          </w:tcPr>
          <w:p>
            <w:r>
              <w:rPr>
                <w:b w:val="false"/>
                <w:bCs w:val="false"/>
                <w:sz w:val="18"/>
                <w:szCs w:val="18"/>
              </w:rPr>
              <w:t xml:space="preserve">No action beyond standing monitoring cadence</w:t>
            </w:r>
          </w:p>
        </w:tc>
      </w:tr>
      <w:tr>
        <w:tc>
          <w:tcPr>
            <w:tcW w:type="dxa" w:w="1700"/>
            <w:vAlign w:val="center"/>
          </w:tcPr>
          <w:p>
            <w:r>
              <w:rPr>
                <w:b w:val="false"/>
                <w:bCs w:val="false"/>
                <w:sz w:val="18"/>
                <w:szCs w:val="18"/>
              </w:rPr>
              <w:t xml:space="preserve">Direct-FK taxonomy denormalization</w:t>
            </w:r>
          </w:p>
        </w:tc>
        <w:tc>
          <w:tcPr>
            <w:tcW w:type="dxa" w:w="2000"/>
            <w:vAlign w:val="center"/>
          </w:tcPr>
          <w:p>
            <w:r>
              <w:rPr>
                <w:b w:val="false"/>
                <w:bCs w:val="false"/>
                <w:sz w:val="18"/>
                <w:szCs w:val="18"/>
              </w:rPr>
              <w:t xml:space="preserve">Proceed with WP-0004 on its scheduled cadence</w:t>
            </w:r>
          </w:p>
        </w:tc>
        <w:tc>
          <w:tcPr>
            <w:tcW w:type="dxa" w:w="1400"/>
            <w:vAlign w:val="center"/>
          </w:tcPr>
          <w:p>
            <w:r>
              <w:rPr>
                <w:b w:val="false"/>
                <w:bCs w:val="false"/>
                <w:sz w:val="18"/>
                <w:szCs w:val="18"/>
              </w:rPr>
              <w:t xml:space="preserve">Section 7 §WP-0004; Section 8</w:t>
            </w:r>
          </w:p>
        </w:tc>
        <w:tc>
          <w:tcPr>
            <w:tcW w:type="dxa" w:w="1560"/>
            <w:vAlign w:val="center"/>
          </w:tcPr>
          <w:p>
            <w:r>
              <w:rPr>
                <w:b w:val="false"/>
                <w:bCs w:val="false"/>
                <w:sz w:val="18"/>
                <w:szCs w:val="18"/>
              </w:rPr>
              <w:t xml:space="preserve">None material</w:t>
            </w:r>
          </w:p>
        </w:tc>
        <w:tc>
          <w:tcPr>
            <w:tcW w:type="dxa" w:w="1400"/>
            <w:vAlign w:val="center"/>
          </w:tcPr>
          <w:p>
            <w:r>
              <w:rPr>
                <w:b w:val="false"/>
                <w:bCs w:val="false"/>
                <w:sz w:val="18"/>
                <w:szCs w:val="18"/>
              </w:rPr>
              <w:t xml:space="preserve">Publish pattern documentation; establish per-release check</w:t>
            </w:r>
          </w:p>
        </w:tc>
        <w:tc>
          <w:tcPr>
            <w:tcW w:type="dxa" w:w="1300"/>
            <w:vAlign w:val="center"/>
          </w:tcPr>
          <w:p>
            <w:r>
              <w:rPr>
                <w:b w:val="false"/>
                <w:bCs w:val="false"/>
                <w:sz w:val="18"/>
                <w:szCs w:val="18"/>
              </w:rPr>
              <w:t xml:space="preserve">Approve as scheduled; no acceleration required</w:t>
            </w:r>
          </w:p>
        </w:tc>
      </w:tr>
      <w:tr>
        <w:tc>
          <w:tcPr>
            <w:tcW w:type="dxa" w:w="1700"/>
            <w:shd w:fill="F2F2F2" w:val="clear"/>
            <w:vAlign w:val="center"/>
          </w:tcPr>
          <w:p>
            <w:r>
              <w:rPr>
                <w:b w:val="false"/>
                <w:bCs w:val="false"/>
                <w:sz w:val="18"/>
                <w:szCs w:val="18"/>
              </w:rPr>
              <w:t xml:space="preserve">Supersession/versioning model deferred</w:t>
            </w:r>
          </w:p>
        </w:tc>
        <w:tc>
          <w:tcPr>
            <w:tcW w:type="dxa" w:w="2000"/>
            <w:shd w:fill="F2F2F2" w:val="clear"/>
            <w:vAlign w:val="center"/>
          </w:tcPr>
          <w:p>
            <w:r>
              <w:rPr>
                <w:b w:val="false"/>
                <w:bCs w:val="false"/>
                <w:sz w:val="18"/>
                <w:szCs w:val="18"/>
              </w:rPr>
              <w:t xml:space="preserve">Retain EGD-0006 deferral; no work package required at this time</w:t>
            </w:r>
          </w:p>
        </w:tc>
        <w:tc>
          <w:tcPr>
            <w:tcW w:type="dxa" w:w="1400"/>
            <w:shd w:fill="F2F2F2" w:val="clear"/>
            <w:vAlign w:val="center"/>
          </w:tcPr>
          <w:p>
            <w:r>
              <w:rPr>
                <w:b w:val="false"/>
                <w:bCs w:val="false"/>
                <w:sz w:val="18"/>
                <w:szCs w:val="18"/>
              </w:rPr>
              <w:t xml:space="preserve">Phase A.3 §4; Section 8</w:t>
            </w:r>
          </w:p>
        </w:tc>
        <w:tc>
          <w:tcPr>
            <w:tcW w:type="dxa" w:w="1560"/>
            <w:shd w:fill="F2F2F2" w:val="clear"/>
            <w:vAlign w:val="center"/>
          </w:tcPr>
          <w:p>
            <w:r>
              <w:rPr>
                <w:b w:val="false"/>
                <w:bCs w:val="false"/>
                <w:sz w:val="18"/>
                <w:szCs w:val="18"/>
              </w:rPr>
              <w:t xml:space="preserve">None until compliance/audit trigger fires</w:t>
            </w:r>
          </w:p>
        </w:tc>
        <w:tc>
          <w:tcPr>
            <w:tcW w:type="dxa" w:w="1400"/>
            <w:shd w:fill="F2F2F2" w:val="clear"/>
            <w:vAlign w:val="center"/>
          </w:tcPr>
          <w:p>
            <w:r>
              <w:rPr>
                <w:b w:val="false"/>
                <w:bCs w:val="false"/>
                <w:sz w:val="18"/>
                <w:szCs w:val="18"/>
              </w:rPr>
              <w:t xml:space="preserve">Continue trigger monitoring</w:t>
            </w:r>
          </w:p>
        </w:tc>
        <w:tc>
          <w:tcPr>
            <w:tcW w:type="dxa" w:w="1300"/>
            <w:shd w:fill="F2F2F2" w:val="clear"/>
            <w:vAlign w:val="center"/>
          </w:tcPr>
          <w:p>
            <w:r>
              <w:rPr>
                <w:b w:val="false"/>
                <w:bCs w:val="false"/>
                <w:sz w:val="18"/>
                <w:szCs w:val="18"/>
              </w:rPr>
              <w:t xml:space="preserve">No action required; revisit only if trigger condition is met</w:t>
            </w:r>
          </w:p>
        </w:tc>
      </w:tr>
    </w:tbl>
    <w:p>
      <w:pPr>
        <w:pStyle w:val="Heading2"/>
        <w:spacing w:after="120" w:before="240"/>
      </w:pPr>
      <w:r>
        <w:t xml:space="preserve">10.9.9 — Executive Summary</w:t>
      </w:r>
    </w:p>
    <w:p>
      <w:pPr>
        <w:pStyle w:val="Heading3"/>
        <w:spacing w:after="100" w:before="200"/>
      </w:pPr>
      <w:r>
        <w:t xml:space="preserve">Overall Enterprise Risk Posture</w:t>
      </w:r>
    </w:p>
    <w:p>
      <w:pPr>
        <w:spacing w:after="160"/>
      </w:pPr>
      <w:r>
        <w:rPr>
          <w:b w:val="false"/>
          <w:bCs w:val="false"/>
          <w:i w:val="false"/>
          <w:iCs w:val="false"/>
        </w:rPr>
        <w:t xml:space="preserve">Seven risks are evidenced in the current baseline, all previously identified in Section 8 and carried through Sections 10.7–10.8: documentation drift (WP-0001), RLS coverage unverified (WP-0002), partitioning deferral (WP-0003), taxonomy denormalization (WP-0004), column-level access (WP-0005), supersession/versioning deferral (AR-0006), and zero named ownership (WP-0006). No new risk is identified in this section.</w:t>
      </w:r>
    </w:p>
    <w:p>
      <w:pPr>
        <w:pStyle w:val="Heading3"/>
        <w:spacing w:after="100" w:before="200"/>
      </w:pPr>
      <w:r>
        <w:t xml:space="preserve">Architecture Risk</w:t>
      </w:r>
    </w:p>
    <w:p>
      <w:pPr>
        <w:spacing w:after="160"/>
      </w:pPr>
      <w:r>
        <w:rPr>
          <w:b w:val="false"/>
          <w:bCs w:val="false"/>
          <w:i w:val="false"/>
          <w:iCs w:val="false"/>
        </w:rPr>
        <w:t xml:space="preserve">Architecture-level risk is concentrated in three deferred-but-monitored items (AR-0001, AR-0004, AR-0005, AR-0006) and two active-remediation items (AR-0002, AR-0003), all governed by an already-dispositioned EGD. No undispositioned architecture risk exists.</w:t>
      </w:r>
    </w:p>
    <w:p>
      <w:pPr>
        <w:pStyle w:val="Heading3"/>
        <w:spacing w:after="100" w:before="200"/>
      </w:pPr>
      <w:r>
        <w:t xml:space="preserve">Engineering Risk</w:t>
      </w:r>
    </w:p>
    <w:p>
      <w:pPr>
        <w:spacing w:after="160"/>
      </w:pPr>
      <w:r>
        <w:rPr>
          <w:b w:val="false"/>
          <w:bCs w:val="false"/>
          <w:i w:val="false"/>
          <w:iCs w:val="false"/>
        </w:rPr>
        <w:t xml:space="preserve">Engineering risk is limited to the six Work Packages already scoped in Sections 4–5; no engineering activity has been identified outside WP-0001–WP-0006. The two highest-priority engineering risks — WP-0001 and WP-0002 — are both startable immediately with no blocking dependency.</w:t>
      </w:r>
    </w:p>
    <w:p>
      <w:pPr>
        <w:pStyle w:val="Heading3"/>
        <w:spacing w:after="100" w:before="200"/>
      </w:pPr>
      <w:r>
        <w:t xml:space="preserve">Repository Risk</w:t>
      </w:r>
    </w:p>
    <w:p>
      <w:pPr>
        <w:spacing w:after="160"/>
      </w:pPr>
      <w:r>
        <w:rPr>
          <w:b w:val="false"/>
          <w:bCs w:val="false"/>
          <w:i w:val="false"/>
          <w:iCs w:val="false"/>
        </w:rPr>
        <w:t xml:space="preserve">Risk is confined to the three evidenced repository categories — Documentation, Database, Test. Backend, Frontend, Infrastructure, Integration, AI, and Operations/Deployment carry no identified risk because they carry no approved scope (Section 10.6, Section 10.7.2).</w:t>
      </w:r>
    </w:p>
    <w:p>
      <w:pPr>
        <w:pStyle w:val="Heading3"/>
        <w:spacing w:after="100" w:before="200"/>
      </w:pPr>
      <w:r>
        <w:t xml:space="preserve">Verification Risk</w:t>
      </w:r>
    </w:p>
    <w:p>
      <w:pPr>
        <w:spacing w:after="160"/>
      </w:pPr>
      <w:r>
        <w:rPr>
          <w:b w:val="false"/>
          <w:bCs w:val="false"/>
          <w:i w:val="false"/>
          <w:iCs w:val="false"/>
        </w:rPr>
        <w:t xml:space="preserve">Verification risk is execution-pending rather than design-pending: every risk's mitigating Work Package has a fully defined verification method (Section 7; Section 10.8), but evidence has not yet been produced for any of them.</w:t>
      </w:r>
    </w:p>
    <w:p>
      <w:pPr>
        <w:pStyle w:val="Heading3"/>
        <w:spacing w:after="100" w:before="200"/>
      </w:pPr>
      <w:r>
        <w:t xml:space="preserve">Governance Risk</w:t>
      </w:r>
    </w:p>
    <w:p>
      <w:pPr>
        <w:spacing w:after="160"/>
      </w:pPr>
      <w:r>
        <w:rPr>
          <w:b w:val="false"/>
          <w:bCs w:val="false"/>
          <w:i w:val="false"/>
          <w:iCs w:val="false"/>
        </w:rPr>
        <w:t xml:space="preserve">The single largest cross-cutting governance risk is KPI-08 (Ownership Assignment % = 0%) — no risk in this baseline yet has a named, accountable individual, which blocks accountable execution of every mitigation identified above.</w:t>
      </w:r>
    </w:p>
    <w:p>
      <w:pPr>
        <w:pStyle w:val="Heading3"/>
        <w:spacing w:after="100" w:before="200"/>
      </w:pPr>
      <w:r>
        <w:t xml:space="preserve">Outstanding Executive Conditions</w:t>
      </w:r>
    </w:p>
    <w:p>
      <w:pPr>
        <w:pStyle w:val="ListParagraph"/>
        <w:numPr>
          <w:ilvl w:val="0"/>
          <w:numId w:val="1"/>
        </w:numPr>
        <w:spacing w:after="100"/>
      </w:pPr>
      <w:r>
        <w:t xml:space="preserve">Execute WP-0002 (RLS verification) — critical-until-verified, startable now.</w:t>
      </w:r>
    </w:p>
    <w:p>
      <w:pPr>
        <w:pStyle w:val="ListParagraph"/>
        <w:numPr>
          <w:ilvl w:val="0"/>
          <w:numId w:val="1"/>
        </w:numPr>
        <w:spacing w:after="100"/>
      </w:pPr>
      <w:r>
        <w:t xml:space="preserve">Execute WP-0001 (documentation revision) — confirmed high risk, startable now.</w:t>
      </w:r>
    </w:p>
    <w:p>
      <w:pPr>
        <w:pStyle w:val="ListParagraph"/>
        <w:numPr>
          <w:ilvl w:val="0"/>
          <w:numId w:val="1"/>
        </w:numPr>
        <w:spacing w:after="100"/>
      </w:pPr>
      <w:r>
        <w:t xml:space="preserve">Execute WP-0006 (named ownership) in parallel — blocks accountable execution of every other item on this list.</w:t>
      </w:r>
    </w:p>
    <w:p>
      <w:pPr>
        <w:pStyle w:val="ListParagraph"/>
        <w:numPr>
          <w:ilvl w:val="0"/>
          <w:numId w:val="1"/>
        </w:numPr>
        <w:spacing w:after="100"/>
      </w:pPr>
      <w:r>
        <w:t xml:space="preserve">Continue quarterly/per-release monitoring of VAR-01, VAR-03, VAR-04, and the EGD-0006 compliance trigger; no acceleration required.</w:t>
      </w:r>
    </w:p>
    <w:p>
      <w:pPr>
        <w:pStyle w:val="Heading3"/>
        <w:spacing w:after="100" w:before="200"/>
      </w:pPr>
      <w:r>
        <w:t xml:space="preserve">Overall Enterprise Risk Assessment</w:t>
      </w:r>
    </w:p>
    <w:p>
      <w:pPr>
        <w:spacing w:after="160"/>
      </w:pPr>
      <w:r>
        <w:rPr>
          <w:b w:val="false"/>
          <w:bCs w:val="false"/>
          <w:i w:val="false"/>
          <w:iCs w:val="false"/>
        </w:rPr>
        <w:t xml:space="preserve">The baseline's risk profile is fully evidenced, fully dispositioned, and free of undispositioned gaps. Two risks (documentation drift, RLS coverage) are confirmed and open; one (ownership) is a structural precondition risk; the remainder are deferred or conditionally monitored under an accepted governance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Overall Enterprise Risk Assessment</w:t>
            </w:r>
          </w:p>
        </w:tc>
        <w:tc>
          <w:tcPr>
            <w:tcW w:type="dxa" w:w="7160"/>
            <w:vAlign w:val="center"/>
          </w:tcPr>
          <w:p>
            <w:r>
              <w:rPr>
                <w:b w:val="false"/>
                <w:bCs w:val="false"/>
                <w:sz w:val="18"/>
                <w:szCs w:val="18"/>
              </w:rPr>
              <w:t xml:space="preserve">Consolidated, not new. Seven risks evidenced, all traced to Section 8; no undispositioned architecture, governance, or verification risk identified.</w:t>
            </w:r>
          </w:p>
        </w:tc>
      </w:tr>
      <w:tr>
        <w:tc>
          <w:tcPr>
            <w:tcW w:type="dxa" w:w="2200"/>
            <w:shd w:fill="DCE6F1" w:val="clear"/>
            <w:vAlign w:val="center"/>
          </w:tcPr>
          <w:p>
            <w:r>
              <w:rPr>
                <w:b w:val="false"/>
                <w:bCs w:val="false"/>
                <w:sz w:val="18"/>
                <w:szCs w:val="18"/>
              </w:rPr>
              <w:t xml:space="preserve">Executive Risk Assessment</w:t>
            </w:r>
          </w:p>
        </w:tc>
        <w:tc>
          <w:tcPr>
            <w:tcW w:type="dxa" w:w="7160"/>
            <w:vAlign w:val="center"/>
          </w:tcPr>
          <w:p>
            <w:r>
              <w:rPr>
                <w:b w:val="false"/>
                <w:bCs w:val="false"/>
                <w:sz w:val="18"/>
                <w:szCs w:val="18"/>
              </w:rPr>
              <w:t xml:space="preserve">Two risks (WP-0001, WP-0002) are immediate, startable, and highest-priority; one (WP-0006) is a non-sequential precondition for accountable execution of all others; remaining risks are deferred or monitored under accepted governance decisions.</w:t>
            </w:r>
          </w:p>
        </w:tc>
      </w:tr>
      <w:tr>
        <w:tc>
          <w:tcPr>
            <w:tcW w:type="dxa" w:w="2200"/>
            <w:shd w:fill="DCE6F1" w:val="clear"/>
            <w:vAlign w:val="center"/>
          </w:tcPr>
          <w:p>
            <w:r>
              <w:rPr>
                <w:b w:val="false"/>
                <w:bCs w:val="false"/>
                <w:sz w:val="18"/>
                <w:szCs w:val="18"/>
              </w:rPr>
              <w:t xml:space="preserve">Risk Transition Readiness</w:t>
            </w:r>
          </w:p>
        </w:tc>
        <w:tc>
          <w:tcPr>
            <w:tcW w:type="dxa" w:w="7160"/>
            <w:vAlign w:val="center"/>
          </w:tcPr>
          <w:p>
            <w:r>
              <w:rPr>
                <w:b w:val="false"/>
                <w:bCs w:val="false"/>
                <w:sz w:val="18"/>
                <w:szCs w:val="18"/>
              </w:rPr>
              <w:t xml:space="preserve">Reserved for Future Realization Phases.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2026-07-09T20:10:30.879Z</dcterms:created>
  <dcterms:modified xsi:type="dcterms:W3CDTF">2026-07-09T20:10:30.890Z</dcterms:modified>
</cp:coreProperties>
</file>

<file path=docProps/custom.xml><?xml version="1.0" encoding="utf-8"?>
<Properties xmlns="http://schemas.openxmlformats.org/officeDocument/2006/custom-properties" xmlns:vt="http://schemas.openxmlformats.org/officeDocument/2006/docPropsVTypes"/>
</file>