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56"/>
          <w:szCs w:val="56"/>
        </w:rPr>
        <w:t xml:space="preserve">ERP-01A</w:t>
      </w:r>
    </w:p>
    <w:p>
      <w:pPr>
        <w:spacing w:after="400"/>
        <w:jc w:val="center"/>
      </w:pPr>
      <w:r>
        <w:rPr>
          <w:b/>
          <w:bCs/>
          <w:sz w:val="32"/>
          <w:szCs w:val="32"/>
        </w:rPr>
        <w:t xml:space="preserve">Enterprise Repository Quality Assurance &amp; Baseline Validation Report</w:t>
      </w:r>
    </w:p>
    <w:p>
      <w:pPr>
        <w:spacing w:after="100"/>
        <w:jc w:val="center"/>
      </w:pPr>
      <w:r>
        <w:rPr>
          <w:i/>
          <w:iCs/>
          <w:sz w:val="24"/>
          <w:szCs w:val="24"/>
        </w:rPr>
        <w:t xml:space="preserve">HireRise Career Intelligence Platform</w:t>
      </w:r>
    </w:p>
    <w:p>
      <w:pPr>
        <w:spacing w:after="100"/>
        <w:jc w:val="center"/>
      </w:pPr>
      <w:r>
        <w:rPr>
          <w:sz w:val="22"/>
          <w:szCs w:val="22"/>
        </w:rPr>
        <w:t xml:space="preserve">Enterprise Architecture Realization Program — ERP-01 Closure Deliverable</w:t>
      </w:r>
    </w:p>
    <w:p>
      <w:pPr>
        <w:spacing w:after="400"/>
        <w:jc w:val="center"/>
      </w:pPr>
      <w:r>
        <w:rPr>
          <w:b/>
          <w:bCs/>
          <w:sz w:val="22"/>
          <w:szCs w:val="22"/>
        </w:rPr>
        <w:t xml:space="preserve">Version 1.0  |  Status: DRAFT FOR REVIEW</w:t>
      </w:r>
    </w:p>
    <w:p>
      <w:pPr>
        <w:spacing w:after="100" w:before="400"/>
        <w:jc w:val="center"/>
      </w:pPr>
      <w:r>
        <w:rPr>
          <w:b/>
          <w:bCs/>
          <w:sz w:val="21"/>
          <w:szCs w:val="21"/>
        </w:rPr>
        <w:t xml:space="preserve">Document Classification</w:t>
      </w:r>
    </w:p>
    <w:p>
      <w:pPr>
        <w:spacing w:after="60"/>
        <w:jc w:val="center"/>
      </w:pPr>
      <w:r>
        <w:rPr>
          <w:sz w:val="20"/>
          <w:szCs w:val="20"/>
        </w:rPr>
        <w:t xml:space="preserve">This document is internal Enterprise Architecture Quality Assurance documentation.</w:t>
      </w:r>
    </w:p>
    <w:p>
      <w:pPr>
        <w:spacing w:after="60"/>
        <w:jc w:val="center"/>
      </w:pPr>
      <w:r>
        <w:rPr>
          <w:sz w:val="20"/>
          <w:szCs w:val="20"/>
        </w:rPr>
        <w:t xml:space="preserve">It is not an external audit, an assurance engagement, an ISO certification, a compliance</w:t>
      </w:r>
    </w:p>
    <w:p>
      <w:pPr>
        <w:spacing w:after="60"/>
        <w:jc w:val="center"/>
      </w:pPr>
      <w:r>
        <w:rPr>
          <w:sz w:val="20"/>
          <w:szCs w:val="20"/>
        </w:rPr>
        <w:t xml:space="preserve">certification, or evidence of review by any third-party assurance firm. It validates only the</w:t>
      </w:r>
    </w:p>
    <w:p>
      <w:pPr>
        <w:spacing w:after="400"/>
        <w:jc w:val="center"/>
      </w:pPr>
      <w:r>
        <w:rPr>
          <w:sz w:val="20"/>
          <w:szCs w:val="20"/>
        </w:rPr>
        <w:t xml:space="preserve">internal consistency and completeness of the ERP-01 repository.</w:t>
      </w:r>
    </w:p>
    <w:p>
      <w:r>
        <w:br w:type="page"/>
      </w:r>
    </w:p>
    <w:p>
      <w:pPr>
        <w:pStyle w:val="Heading1"/>
        <w:spacing w:after="160" w:before="320"/>
      </w:pPr>
      <w:r>
        <w:t xml:space="preserve">Executive Summary</w:t>
      </w:r>
    </w:p>
    <w:p>
      <w:pPr>
        <w:spacing w:after="160"/>
      </w:pPr>
      <w:r>
        <w:rPr>
          <w:b w:val="false"/>
          <w:bCs w:val="false"/>
          <w:i w:val="false"/>
          <w:iCs w:val="false"/>
          <w:sz w:val="21"/>
          <w:szCs w:val="21"/>
        </w:rPr>
        <w:t xml:space="preserve">This report performs the final internal quality assurance and baseline validation of the ERP-01 repository for the HireRise Career Intelligence Platform, ahead of its designation as the canonical Version 1.0 internal enterprise architecture baseline. The validation covered 29 documents spanning Phase A (baseline assessment and disposition), Phase B (realization roadmap and portfolio plan), and Phase C (engineering catalog and the 14-part executive dashboard suite).</w:t>
      </w:r>
    </w:p>
    <w:p>
      <w:pPr>
        <w:spacing w:after="160"/>
      </w:pPr>
      <w:r>
        <w:rPr>
          <w:b w:val="false"/>
          <w:bCs w:val="false"/>
          <w:i w:val="false"/>
          <w:iCs w:val="false"/>
          <w:sz w:val="21"/>
          <w:szCs w:val="21"/>
        </w:rPr>
        <w:t xml:space="preserve">The repository was found complete against its declared scope, with internally consistent identifier registries across all nine artifact classes (Architecture Requirements, Enterprise Governance Decisions, Enterprise Resolutions, Variances, Action Points, Work Packages, Portfolios, Waves, and KPIs) and no duplicate reuse of any identifier within its own namespace. Full evidentiary traceability was confirmed from Architecture Requirement through to Executive Scorecard for all six approved Work Packages.</w:t>
      </w:r>
    </w:p>
    <w:p>
      <w:pPr>
        <w:spacing w:after="160"/>
      </w:pPr>
      <w:r>
        <w:rPr>
          <w:b w:val="false"/>
          <w:bCs w:val="false"/>
          <w:i w:val="false"/>
          <w:iCs w:val="false"/>
          <w:sz w:val="21"/>
          <w:szCs w:val="21"/>
        </w:rPr>
        <w:t xml:space="preserve">Four items were identified during validation and are recorded as Improvement Opportunities rather than defects: a duplicate file location for the Section 10.1 Executive Overview; a superseded, pre-split consolidated Executive Engineering Dashboard document retained alongside its replacement; a cross-phase naming overlap in the "WP" identifier token; and a pre-existing, already-tracked open governance item (unassigned accountable ownership across all nine Enterprise Governance Decisions, AP-009). None of these items rises to the level of an architectural conflict or a completeness gap, and none blocks baseline designation.</w:t>
      </w:r>
    </w:p>
    <w:p>
      <w:pPr>
        <w:spacing w:after="160"/>
      </w:pPr>
      <w:r>
        <w:rPr>
          <w:b/>
          <w:bCs/>
          <w:i w:val="false"/>
          <w:iCs w:val="false"/>
          <w:sz w:val="21"/>
          <w:szCs w:val="21"/>
        </w:rPr>
        <w:t xml:space="preserve">On this basis, this report recommends that the ERP-01 repository be designated the canonical internal enterprise architecture baseline, Version 1.0, subject to future controlled updates.</w:t>
      </w:r>
    </w:p>
    <w:p>
      <w:r>
        <w:br w:type="page"/>
      </w:r>
    </w:p>
    <w:p>
      <w:pPr>
        <w:pStyle w:val="Heading1"/>
        <w:spacing w:after="160" w:before="320"/>
      </w:pPr>
      <w:r>
        <w:t xml:space="preserve">1. Repository Overview</w:t>
      </w:r>
    </w:p>
    <w:p>
      <w:pPr>
        <w:spacing w:after="160"/>
      </w:pPr>
      <w:r>
        <w:rPr>
          <w:b w:val="false"/>
          <w:bCs w:val="false"/>
          <w:i w:val="false"/>
          <w:iCs w:val="false"/>
          <w:sz w:val="21"/>
          <w:szCs w:val="21"/>
        </w:rPr>
        <w:t xml:space="preserve">ERP-01 — the Enterprise Architecture Realization Program — is the enterprise architecture closure program for the HireRise Career Intelligence Platform's student-academic physical data model domain. It comprises four phases: Phase A (baseline assessment and disposition), Phase B (realization roadmap and portfolio plan), Phase C (engineering catalog, design, and execution planning, Sections 1–9), and the Phase C Executive Dashboard Suite (Sections 10.1–10.14).</w:t>
      </w:r>
    </w:p>
    <w:p>
      <w:pPr>
        <w:spacing w:after="160"/>
      </w:pPr>
      <w:r>
        <w:rPr>
          <w:b w:val="false"/>
          <w:bCs w:val="false"/>
          <w:i w:val="false"/>
          <w:iCs w:val="false"/>
          <w:sz w:val="21"/>
          <w:szCs w:val="21"/>
        </w:rPr>
        <w:t xml:space="preserve">This report performs the final internal quality assurance and baseline validation of the complete ERP-01 repository prior to its designation as the canonical Version 1.0 internal enterprise architecture baseline. It introduces no new Architecture Requirements, Enterprise Governance Decisions, Enterprise Resolutions, Variances, Work Packages, Portfolios, Waves, or KPIs, and does not redesign or re-scope any prior architecture decision.</w:t>
      </w:r>
    </w:p>
    <w:p>
      <w:pPr>
        <w:pStyle w:val="Heading2"/>
        <w:spacing w:after="120" w:before="240"/>
      </w:pPr>
      <w:r>
        <w:t xml:space="preserve">1.1 Repository Composition</w:t>
      </w:r>
    </w:p>
    <w:p>
      <w:pPr>
        <w:pStyle w:val="ListParagraph"/>
        <w:numPr>
          <w:ilvl w:val="0"/>
          <w:numId w:val="1"/>
        </w:numPr>
        <w:spacing w:after="60"/>
      </w:pPr>
      <w:r>
        <w:rPr>
          <w:sz w:val="21"/>
          <w:szCs w:val="21"/>
        </w:rPr>
        <w:t xml:space="preserve">Phase A: 3 documents (A.1 Physical Data Model Realization Assessment, A.2 Governance &amp; Disposition Assessment, A.3 Enterprise Architecture Baseline &amp; Resolution Repository)</w:t>
      </w:r>
    </w:p>
    <w:p>
      <w:pPr>
        <w:pStyle w:val="ListParagraph"/>
        <w:numPr>
          <w:ilvl w:val="0"/>
          <w:numId w:val="1"/>
        </w:numPr>
        <w:spacing w:after="60"/>
      </w:pPr>
      <w:r>
        <w:rPr>
          <w:sz w:val="21"/>
          <w:szCs w:val="21"/>
        </w:rPr>
        <w:t xml:space="preserve">Phase B: 1 document (Enterprise Realization Roadmap &amp; Portfolio Plan)</w:t>
      </w:r>
    </w:p>
    <w:p>
      <w:pPr>
        <w:pStyle w:val="ListParagraph"/>
        <w:numPr>
          <w:ilvl w:val="0"/>
          <w:numId w:val="1"/>
        </w:numPr>
        <w:spacing w:after="60"/>
      </w:pPr>
      <w:r>
        <w:rPr>
          <w:sz w:val="21"/>
          <w:szCs w:val="21"/>
        </w:rPr>
        <w:t xml:space="preserve">Phase C Core Engineering: 9 documents (Sections 1–9)</w:t>
      </w:r>
    </w:p>
    <w:p>
      <w:pPr>
        <w:pStyle w:val="ListParagraph"/>
        <w:numPr>
          <w:ilvl w:val="0"/>
          <w:numId w:val="1"/>
        </w:numPr>
        <w:spacing w:after="60"/>
      </w:pPr>
      <w:r>
        <w:rPr>
          <w:sz w:val="21"/>
          <w:szCs w:val="21"/>
        </w:rPr>
        <w:t xml:space="preserve">Phase C Executive Dashboard Suite: 14 documents (Sections 10.1–10.14), plus 1 duplicate copy of Section 10.1 and 1 superseded predecessor document (see Sections 2 and 7 below)</w:t>
      </w:r>
    </w:p>
    <w:p>
      <w:pPr>
        <w:pStyle w:val="ListParagraph"/>
        <w:numPr>
          <w:ilvl w:val="0"/>
          <w:numId w:val="1"/>
        </w:numPr>
        <w:spacing w:after="60"/>
      </w:pPr>
      <w:r>
        <w:rPr>
          <w:sz w:val="21"/>
          <w:szCs w:val="21"/>
        </w:rPr>
        <w:t xml:space="preserve">Scope: 6 Work Packages (WP-0001–WP-0006), 10 Architecture Requirements (AR-0001–AR-0010), 9 Enterprise Governance Decisions (EGD-0001–EGD-0009), 10 Enterprise Resolutions (ER-0001–ER-0010), 4 Variances (VAR-01–VAR-04), 9 Action Points (AP-001–AP-009), 8 Portfolios, 5 execution Waves, and 10 KPIs</w:t>
      </w:r>
    </w:p>
    <w:p>
      <w:pPr>
        <w:pStyle w:val="Heading2"/>
        <w:spacing w:after="120" w:before="240"/>
      </w:pPr>
      <w:r>
        <w:t xml:space="preserve">1.2 Portfolio Overview</w:t>
      </w:r>
    </w:p>
    <w:p>
      <w:pPr>
        <w:spacing w:after="160"/>
      </w:pPr>
      <w:r>
        <w:rPr>
          <w:b w:val="false"/>
          <w:bCs w:val="false"/>
          <w:i w:val="false"/>
          <w:iCs w:val="false"/>
          <w:sz w:val="21"/>
          <w:szCs w:val="21"/>
        </w:rPr>
        <w:t xml:space="preserve">Phase B establishes eight Portfolios as the organizing structure for realization work. Of these, three carry active scope in the current baseline and five are explicitly reserved.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600"/>
        <w:gridCol w:w="2500"/>
      </w:tblGrid>
      <w:tr>
        <w:trPr>
          <w:tblHeader/>
        </w:trPr>
        <w:tc>
          <w:tcPr>
            <w:tcW w:type="dxa" w:w="500"/>
            <w:shd w:fill="1F3864" w:val="clear"/>
          </w:tcPr>
          <w:p>
            <w:r>
              <w:rPr>
                <w:b/>
                <w:bCs/>
                <w:color w:val="FFFFFF"/>
                <w:sz w:val="18"/>
                <w:szCs w:val="18"/>
              </w:rPr>
              <w:t xml:space="preserve">#</w:t>
            </w:r>
          </w:p>
        </w:tc>
        <w:tc>
          <w:tcPr>
            <w:tcW w:type="dxa" w:w="2800"/>
            <w:shd w:fill="1F3864" w:val="clear"/>
          </w:tcPr>
          <w:p>
            <w:r>
              <w:rPr>
                <w:b/>
                <w:bCs/>
                <w:color w:val="FFFFFF"/>
                <w:sz w:val="18"/>
                <w:szCs w:val="18"/>
              </w:rPr>
              <w:t xml:space="preserve">Portfolio</w:t>
            </w:r>
          </w:p>
        </w:tc>
        <w:tc>
          <w:tcPr>
            <w:tcW w:type="dxa" w:w="2600"/>
            <w:shd w:fill="1F3864" w:val="clear"/>
          </w:tcPr>
          <w:p>
            <w:r>
              <w:rPr>
                <w:b/>
                <w:bCs/>
                <w:color w:val="FFFFFF"/>
                <w:sz w:val="18"/>
                <w:szCs w:val="18"/>
              </w:rPr>
              <w:t xml:space="preserve">Work Packages</w:t>
            </w:r>
          </w:p>
        </w:tc>
        <w:tc>
          <w:tcPr>
            <w:tcW w:type="dxa" w:w="2500"/>
            <w:shd w:fill="1F3864" w:val="clear"/>
          </w:tcPr>
          <w:p>
            <w:r>
              <w:rPr>
                <w:b/>
                <w:bCs/>
                <w:color w:val="FFFFFF"/>
                <w:sz w:val="18"/>
                <w:szCs w:val="18"/>
              </w:rPr>
              <w:t xml:space="preserve">Status</w:t>
            </w:r>
          </w:p>
        </w:tc>
      </w:tr>
      <w:tr>
        <w:tc>
          <w:tcPr>
            <w:tcW w:type="dxa" w:w="500"/>
          </w:tcPr>
          <w:p>
            <w:r>
              <w:rPr>
                <w:b w:val="false"/>
                <w:bCs w:val="false"/>
                <w:sz w:val="18"/>
                <w:szCs w:val="18"/>
              </w:rPr>
              <w:t xml:space="preserve">1</w:t>
            </w:r>
          </w:p>
        </w:tc>
        <w:tc>
          <w:tcPr>
            <w:tcW w:type="dxa" w:w="2800"/>
          </w:tcPr>
          <w:p>
            <w:r>
              <w:rPr>
                <w:b w:val="false"/>
                <w:bCs w:val="false"/>
                <w:sz w:val="18"/>
                <w:szCs w:val="18"/>
              </w:rPr>
              <w:t xml:space="preserve">Enterprise Data Platform</w:t>
            </w:r>
          </w:p>
        </w:tc>
        <w:tc>
          <w:tcPr>
            <w:tcW w:type="dxa" w:w="2600"/>
          </w:tcPr>
          <w:p>
            <w:r>
              <w:rPr>
                <w:b w:val="false"/>
                <w:bCs w:val="false"/>
                <w:sz w:val="18"/>
                <w:szCs w:val="18"/>
              </w:rPr>
              <w:t xml:space="preserve">WP-0001, WP-0003, WP-0004, WP-0005</w:t>
            </w:r>
          </w:p>
        </w:tc>
        <w:tc>
          <w:tcPr>
            <w:tcW w:type="dxa" w:w="2500"/>
            <w:shd w:fill="DCE9D5" w:val="clear"/>
          </w:tcPr>
          <w:p>
            <w:r>
              <w:rPr>
                <w:b w:val="false"/>
                <w:bCs w:val="false"/>
                <w:sz w:val="18"/>
                <w:szCs w:val="18"/>
              </w:rPr>
              <w:t xml:space="preserve">Active</w:t>
            </w:r>
          </w:p>
        </w:tc>
      </w:tr>
      <w:tr>
        <w:tc>
          <w:tcPr>
            <w:tcW w:type="dxa" w:w="500"/>
          </w:tcPr>
          <w:p>
            <w:r>
              <w:rPr>
                <w:b w:val="false"/>
                <w:bCs w:val="false"/>
                <w:sz w:val="18"/>
                <w:szCs w:val="18"/>
              </w:rPr>
              <w:t xml:space="preserve">2</w:t>
            </w:r>
          </w:p>
        </w:tc>
        <w:tc>
          <w:tcPr>
            <w:tcW w:type="dxa" w:w="2800"/>
          </w:tcPr>
          <w:p>
            <w:r>
              <w:rPr>
                <w:b w:val="false"/>
                <w:bCs w:val="false"/>
                <w:sz w:val="18"/>
                <w:szCs w:val="18"/>
              </w:rPr>
              <w:t xml:space="preserve">Enterprise Security</w:t>
            </w:r>
          </w:p>
        </w:tc>
        <w:tc>
          <w:tcPr>
            <w:tcW w:type="dxa" w:w="2600"/>
          </w:tcPr>
          <w:p>
            <w:r>
              <w:rPr>
                <w:b w:val="false"/>
                <w:bCs w:val="false"/>
                <w:sz w:val="18"/>
                <w:szCs w:val="18"/>
              </w:rPr>
              <w:t xml:space="preserve">WP-0002</w:t>
            </w:r>
          </w:p>
        </w:tc>
        <w:tc>
          <w:tcPr>
            <w:tcW w:type="dxa" w:w="2500"/>
            <w:shd w:fill="DCE9D5" w:val="clear"/>
          </w:tcPr>
          <w:p>
            <w:r>
              <w:rPr>
                <w:b w:val="false"/>
                <w:bCs w:val="false"/>
                <w:sz w:val="18"/>
                <w:szCs w:val="18"/>
              </w:rPr>
              <w:t xml:space="preserve">Active</w:t>
            </w:r>
          </w:p>
        </w:tc>
      </w:tr>
      <w:tr>
        <w:tc>
          <w:tcPr>
            <w:tcW w:type="dxa" w:w="500"/>
          </w:tcPr>
          <w:p>
            <w:r>
              <w:rPr>
                <w:b w:val="false"/>
                <w:bCs w:val="false"/>
                <w:sz w:val="18"/>
                <w:szCs w:val="18"/>
              </w:rPr>
              <w:t xml:space="preserve">3</w:t>
            </w:r>
          </w:p>
        </w:tc>
        <w:tc>
          <w:tcPr>
            <w:tcW w:type="dxa" w:w="2800"/>
          </w:tcPr>
          <w:p>
            <w:r>
              <w:rPr>
                <w:b w:val="false"/>
                <w:bCs w:val="false"/>
                <w:sz w:val="18"/>
                <w:szCs w:val="18"/>
              </w:rPr>
              <w:t xml:space="preserve">Enterprise AI</w:t>
            </w:r>
          </w:p>
        </w:tc>
        <w:tc>
          <w:tcPr>
            <w:tcW w:type="dxa" w:w="2600"/>
          </w:tcPr>
          <w:p>
            <w:r>
              <w:rPr>
                <w:b w:val="false"/>
                <w:bCs w:val="false"/>
                <w:sz w:val="18"/>
                <w:szCs w:val="18"/>
              </w:rPr>
              <w:t xml:space="preserve">None</w:t>
            </w:r>
          </w:p>
        </w:tc>
        <w:tc>
          <w:tcPr>
            <w:tcW w:type="dxa" w:w="2500"/>
            <w:shd w:fill="E7E6E6" w:val="clear"/>
          </w:tcPr>
          <w:p>
            <w:r>
              <w:rPr>
                <w:b w:val="false"/>
                <w:bCs w:val="false"/>
                <w:sz w:val="18"/>
                <w:szCs w:val="18"/>
              </w:rPr>
              <w:t xml:space="preserve">Reserved</w:t>
            </w:r>
          </w:p>
        </w:tc>
      </w:tr>
      <w:tr>
        <w:tc>
          <w:tcPr>
            <w:tcW w:type="dxa" w:w="500"/>
          </w:tcPr>
          <w:p>
            <w:r>
              <w:rPr>
                <w:b w:val="false"/>
                <w:bCs w:val="false"/>
                <w:sz w:val="18"/>
                <w:szCs w:val="18"/>
              </w:rPr>
              <w:t xml:space="preserve">4</w:t>
            </w:r>
          </w:p>
        </w:tc>
        <w:tc>
          <w:tcPr>
            <w:tcW w:type="dxa" w:w="2800"/>
          </w:tcPr>
          <w:p>
            <w:r>
              <w:rPr>
                <w:b w:val="false"/>
                <w:bCs w:val="false"/>
                <w:sz w:val="18"/>
                <w:szCs w:val="18"/>
              </w:rPr>
              <w:t xml:space="preserve">Business Capabilities</w:t>
            </w:r>
          </w:p>
        </w:tc>
        <w:tc>
          <w:tcPr>
            <w:tcW w:type="dxa" w:w="2600"/>
          </w:tcPr>
          <w:p>
            <w:r>
              <w:rPr>
                <w:b w:val="false"/>
                <w:bCs w:val="false"/>
                <w:sz w:val="18"/>
                <w:szCs w:val="18"/>
              </w:rPr>
              <w:t xml:space="preserve">None</w:t>
            </w:r>
          </w:p>
        </w:tc>
        <w:tc>
          <w:tcPr>
            <w:tcW w:type="dxa" w:w="2500"/>
            <w:shd w:fill="E7E6E6" w:val="clear"/>
          </w:tcPr>
          <w:p>
            <w:r>
              <w:rPr>
                <w:b w:val="false"/>
                <w:bCs w:val="false"/>
                <w:sz w:val="18"/>
                <w:szCs w:val="18"/>
              </w:rPr>
              <w:t xml:space="preserve">Reserved</w:t>
            </w:r>
          </w:p>
        </w:tc>
      </w:tr>
      <w:tr>
        <w:tc>
          <w:tcPr>
            <w:tcW w:type="dxa" w:w="500"/>
          </w:tcPr>
          <w:p>
            <w:r>
              <w:rPr>
                <w:b w:val="false"/>
                <w:bCs w:val="false"/>
                <w:sz w:val="18"/>
                <w:szCs w:val="18"/>
              </w:rPr>
              <w:t xml:space="preserve">5</w:t>
            </w:r>
          </w:p>
        </w:tc>
        <w:tc>
          <w:tcPr>
            <w:tcW w:type="dxa" w:w="2800"/>
          </w:tcPr>
          <w:p>
            <w:r>
              <w:rPr>
                <w:b w:val="false"/>
                <w:bCs w:val="false"/>
                <w:sz w:val="18"/>
                <w:szCs w:val="18"/>
              </w:rPr>
              <w:t xml:space="preserve">Knowledge Platform</w:t>
            </w:r>
          </w:p>
        </w:tc>
        <w:tc>
          <w:tcPr>
            <w:tcW w:type="dxa" w:w="2600"/>
          </w:tcPr>
          <w:p>
            <w:r>
              <w:rPr>
                <w:b w:val="false"/>
                <w:bCs w:val="false"/>
                <w:sz w:val="18"/>
                <w:szCs w:val="18"/>
              </w:rPr>
              <w:t xml:space="preserve">None</w:t>
            </w:r>
          </w:p>
        </w:tc>
        <w:tc>
          <w:tcPr>
            <w:tcW w:type="dxa" w:w="2500"/>
            <w:shd w:fill="E7E6E6" w:val="clear"/>
          </w:tcPr>
          <w:p>
            <w:r>
              <w:rPr>
                <w:b w:val="false"/>
                <w:bCs w:val="false"/>
                <w:sz w:val="18"/>
                <w:szCs w:val="18"/>
              </w:rPr>
              <w:t xml:space="preserve">Reserved</w:t>
            </w:r>
          </w:p>
        </w:tc>
      </w:tr>
      <w:tr>
        <w:tc>
          <w:tcPr>
            <w:tcW w:type="dxa" w:w="500"/>
          </w:tcPr>
          <w:p>
            <w:r>
              <w:rPr>
                <w:b w:val="false"/>
                <w:bCs w:val="false"/>
                <w:sz w:val="18"/>
                <w:szCs w:val="18"/>
              </w:rPr>
              <w:t xml:space="preserve">6</w:t>
            </w:r>
          </w:p>
        </w:tc>
        <w:tc>
          <w:tcPr>
            <w:tcW w:type="dxa" w:w="2800"/>
          </w:tcPr>
          <w:p>
            <w:r>
              <w:rPr>
                <w:b w:val="false"/>
                <w:bCs w:val="false"/>
                <w:sz w:val="18"/>
                <w:szCs w:val="18"/>
              </w:rPr>
              <w:t xml:space="preserve">Integration Platform</w:t>
            </w:r>
          </w:p>
        </w:tc>
        <w:tc>
          <w:tcPr>
            <w:tcW w:type="dxa" w:w="2600"/>
          </w:tcPr>
          <w:p>
            <w:r>
              <w:rPr>
                <w:b w:val="false"/>
                <w:bCs w:val="false"/>
                <w:sz w:val="18"/>
                <w:szCs w:val="18"/>
              </w:rPr>
              <w:t xml:space="preserve">None</w:t>
            </w:r>
          </w:p>
        </w:tc>
        <w:tc>
          <w:tcPr>
            <w:tcW w:type="dxa" w:w="2500"/>
            <w:shd w:fill="E7E6E6" w:val="clear"/>
          </w:tcPr>
          <w:p>
            <w:r>
              <w:rPr>
                <w:b w:val="false"/>
                <w:bCs w:val="false"/>
                <w:sz w:val="18"/>
                <w:szCs w:val="18"/>
              </w:rPr>
              <w:t xml:space="preserve">Reserved</w:t>
            </w:r>
          </w:p>
        </w:tc>
      </w:tr>
      <w:tr>
        <w:tc>
          <w:tcPr>
            <w:tcW w:type="dxa" w:w="500"/>
          </w:tcPr>
          <w:p>
            <w:r>
              <w:rPr>
                <w:b w:val="false"/>
                <w:bCs w:val="false"/>
                <w:sz w:val="18"/>
                <w:szCs w:val="18"/>
              </w:rPr>
              <w:t xml:space="preserve">7</w:t>
            </w:r>
          </w:p>
        </w:tc>
        <w:tc>
          <w:tcPr>
            <w:tcW w:type="dxa" w:w="2800"/>
          </w:tcPr>
          <w:p>
            <w:r>
              <w:rPr>
                <w:b w:val="false"/>
                <w:bCs w:val="false"/>
                <w:sz w:val="18"/>
                <w:szCs w:val="18"/>
              </w:rPr>
              <w:t xml:space="preserve">Operations &amp; Observability</w:t>
            </w:r>
          </w:p>
        </w:tc>
        <w:tc>
          <w:tcPr>
            <w:tcW w:type="dxa" w:w="2600"/>
          </w:tcPr>
          <w:p>
            <w:r>
              <w:rPr>
                <w:b w:val="false"/>
                <w:bCs w:val="false"/>
                <w:sz w:val="18"/>
                <w:szCs w:val="18"/>
              </w:rPr>
              <w:t xml:space="preserve">None</w:t>
            </w:r>
          </w:p>
        </w:tc>
        <w:tc>
          <w:tcPr>
            <w:tcW w:type="dxa" w:w="2500"/>
            <w:shd w:fill="E7E6E6" w:val="clear"/>
          </w:tcPr>
          <w:p>
            <w:r>
              <w:rPr>
                <w:b w:val="false"/>
                <w:bCs w:val="false"/>
                <w:sz w:val="18"/>
                <w:szCs w:val="18"/>
              </w:rPr>
              <w:t xml:space="preserve">Reserved</w:t>
            </w:r>
          </w:p>
        </w:tc>
      </w:tr>
      <w:tr>
        <w:tc>
          <w:tcPr>
            <w:tcW w:type="dxa" w:w="500"/>
          </w:tcPr>
          <w:p>
            <w:r>
              <w:rPr>
                <w:b w:val="false"/>
                <w:bCs w:val="false"/>
                <w:sz w:val="18"/>
                <w:szCs w:val="18"/>
              </w:rPr>
              <w:t xml:space="preserve">8</w:t>
            </w:r>
          </w:p>
        </w:tc>
        <w:tc>
          <w:tcPr>
            <w:tcW w:type="dxa" w:w="2800"/>
          </w:tcPr>
          <w:p>
            <w:r>
              <w:rPr>
                <w:b w:val="false"/>
                <w:bCs w:val="false"/>
                <w:sz w:val="18"/>
                <w:szCs w:val="18"/>
              </w:rPr>
              <w:t xml:space="preserve">Governance &amp; Quality</w:t>
            </w:r>
          </w:p>
        </w:tc>
        <w:tc>
          <w:tcPr>
            <w:tcW w:type="dxa" w:w="2600"/>
          </w:tcPr>
          <w:p>
            <w:r>
              <w:rPr>
                <w:b w:val="false"/>
                <w:bCs w:val="false"/>
                <w:sz w:val="18"/>
                <w:szCs w:val="18"/>
              </w:rPr>
              <w:t xml:space="preserve">WP-0006</w:t>
            </w:r>
          </w:p>
        </w:tc>
        <w:tc>
          <w:tcPr>
            <w:tcW w:type="dxa" w:w="2500"/>
            <w:shd w:fill="DCE9D5" w:val="clear"/>
          </w:tcPr>
          <w:p>
            <w:r>
              <w:rPr>
                <w:b w:val="false"/>
                <w:bCs w:val="false"/>
                <w:sz w:val="18"/>
                <w:szCs w:val="18"/>
              </w:rPr>
              <w:t xml:space="preserve">Active</w:t>
            </w:r>
          </w:p>
        </w:tc>
      </w:tr>
    </w:tbl>
    <w:p>
      <w:pPr>
        <w:spacing w:after="160"/>
      </w:pPr>
      <w:r>
        <w:rPr>
          <w:b w:val="false"/>
          <w:bCs w:val="false"/>
          <w:i/>
          <w:iCs/>
          <w:sz w:val="21"/>
          <w:szCs w:val="21"/>
        </w:rPr>
        <w:t xml:space="preserve">This structure — three active portfolios (1, 2, 8) carrying all six current Work Packages, and five portfolios (3–7) explicitly marked Reserved for Future Realization Phases pending a Phase A.1-style realization assessment for each domain — was found stated identically in Phase B and in Sections 10.2, 10.3, and 10.4, and is treated as the baseline of record for the validation performed in Sections 3 through 8 below.</w:t>
      </w:r>
    </w:p>
    <w:p>
      <w:pPr>
        <w:pStyle w:val="Heading1"/>
        <w:spacing w:after="160" w:before="320"/>
      </w:pPr>
      <w:r>
        <w:t xml:space="preserve">2. Repository Completeness Validation</w:t>
      </w:r>
    </w:p>
    <w:p>
      <w:pPr>
        <w:spacing w:after="160"/>
      </w:pPr>
      <w:r>
        <w:rPr>
          <w:b w:val="false"/>
          <w:bCs w:val="false"/>
          <w:i w:val="false"/>
          <w:iCs w:val="false"/>
          <w:sz w:val="21"/>
          <w:szCs w:val="21"/>
        </w:rPr>
        <w:t xml:space="preserve">All documents declared in scope for ERP-01 Phases A, B, and C were located in the approved baseline repository. The inventory below reflects the as-found repository state, including two structural conditions surfaced during this validation and carried into Sections 7 and 9.</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6300"/>
        <w:gridCol w:w="1500"/>
      </w:tblGrid>
      <w:tr>
        <w:trPr>
          <w:tblHeader/>
        </w:trPr>
        <w:tc>
          <w:tcPr>
            <w:tcW w:type="dxa" w:w="500"/>
            <w:shd w:fill="1F3864" w:val="clear"/>
          </w:tcPr>
          <w:p>
            <w:r>
              <w:rPr>
                <w:b/>
                <w:bCs/>
                <w:color w:val="FFFFFF"/>
                <w:sz w:val="18"/>
                <w:szCs w:val="18"/>
              </w:rPr>
              <w:t xml:space="preserve">#</w:t>
            </w:r>
          </w:p>
        </w:tc>
        <w:tc>
          <w:tcPr>
            <w:tcW w:type="dxa" w:w="1400"/>
            <w:shd w:fill="1F3864" w:val="clear"/>
          </w:tcPr>
          <w:p>
            <w:r>
              <w:rPr>
                <w:b/>
                <w:bCs/>
                <w:color w:val="FFFFFF"/>
                <w:sz w:val="18"/>
                <w:szCs w:val="18"/>
              </w:rPr>
              <w:t xml:space="preserve">Phase</w:t>
            </w:r>
          </w:p>
        </w:tc>
        <w:tc>
          <w:tcPr>
            <w:tcW w:type="dxa" w:w="6300"/>
            <w:shd w:fill="1F3864" w:val="clear"/>
          </w:tcPr>
          <w:p>
            <w:r>
              <w:rPr>
                <w:b/>
                <w:bCs/>
                <w:color w:val="FFFFFF"/>
                <w:sz w:val="18"/>
                <w:szCs w:val="18"/>
              </w:rPr>
              <w:t xml:space="preserve">Document</w:t>
            </w:r>
          </w:p>
        </w:tc>
        <w:tc>
          <w:tcPr>
            <w:tcW w:type="dxa" w:w="1500"/>
            <w:shd w:fill="1F3864" w:val="clear"/>
          </w:tcPr>
          <w:p>
            <w:r>
              <w:rPr>
                <w:b/>
                <w:bCs/>
                <w:color w:val="FFFFFF"/>
                <w:sz w:val="18"/>
                <w:szCs w:val="18"/>
              </w:rPr>
              <w:t xml:space="preserve">Status</w:t>
            </w:r>
          </w:p>
        </w:tc>
      </w:tr>
      <w:tr>
        <w:tc>
          <w:tcPr>
            <w:tcW w:type="dxa" w:w="500"/>
          </w:tcPr>
          <w:p>
            <w:r>
              <w:rPr>
                <w:b w:val="false"/>
                <w:bCs w:val="false"/>
                <w:sz w:val="18"/>
                <w:szCs w:val="18"/>
              </w:rPr>
              <w:t xml:space="preserve">1</w:t>
            </w:r>
          </w:p>
        </w:tc>
        <w:tc>
          <w:tcPr>
            <w:tcW w:type="dxa" w:w="1400"/>
          </w:tcPr>
          <w:p>
            <w:r>
              <w:rPr>
                <w:b w:val="false"/>
                <w:bCs w:val="false"/>
                <w:sz w:val="18"/>
                <w:szCs w:val="18"/>
              </w:rPr>
              <w:t xml:space="preserve">Phase A.1</w:t>
            </w:r>
          </w:p>
        </w:tc>
        <w:tc>
          <w:tcPr>
            <w:tcW w:type="dxa" w:w="6300"/>
          </w:tcPr>
          <w:p>
            <w:r>
              <w:rPr>
                <w:b w:val="false"/>
                <w:bCs w:val="false"/>
                <w:sz w:val="18"/>
                <w:szCs w:val="18"/>
              </w:rPr>
              <w:t xml:space="preserve">Enterprise Physical Data Model Realization Assessment</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2</w:t>
            </w:r>
          </w:p>
        </w:tc>
        <w:tc>
          <w:tcPr>
            <w:tcW w:type="dxa" w:w="1400"/>
          </w:tcPr>
          <w:p>
            <w:r>
              <w:rPr>
                <w:b w:val="false"/>
                <w:bCs w:val="false"/>
                <w:sz w:val="18"/>
                <w:szCs w:val="18"/>
              </w:rPr>
              <w:t xml:space="preserve">Phase A.2</w:t>
            </w:r>
          </w:p>
        </w:tc>
        <w:tc>
          <w:tcPr>
            <w:tcW w:type="dxa" w:w="6300"/>
          </w:tcPr>
          <w:p>
            <w:r>
              <w:rPr>
                <w:b w:val="false"/>
                <w:bCs w:val="false"/>
                <w:sz w:val="18"/>
                <w:szCs w:val="18"/>
              </w:rPr>
              <w:t xml:space="preserve">Enterprise Architecture Governance &amp; Disposition Assessment</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3</w:t>
            </w:r>
          </w:p>
        </w:tc>
        <w:tc>
          <w:tcPr>
            <w:tcW w:type="dxa" w:w="1400"/>
          </w:tcPr>
          <w:p>
            <w:r>
              <w:rPr>
                <w:b w:val="false"/>
                <w:bCs w:val="false"/>
                <w:sz w:val="18"/>
                <w:szCs w:val="18"/>
              </w:rPr>
              <w:t xml:space="preserve">Phase A.3</w:t>
            </w:r>
          </w:p>
        </w:tc>
        <w:tc>
          <w:tcPr>
            <w:tcW w:type="dxa" w:w="6300"/>
          </w:tcPr>
          <w:p>
            <w:r>
              <w:rPr>
                <w:b w:val="false"/>
                <w:bCs w:val="false"/>
                <w:sz w:val="18"/>
                <w:szCs w:val="18"/>
              </w:rPr>
              <w:t xml:space="preserve">Enterprise Architecture Baseline &amp; Resolution Repository</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4</w:t>
            </w:r>
          </w:p>
        </w:tc>
        <w:tc>
          <w:tcPr>
            <w:tcW w:type="dxa" w:w="1400"/>
          </w:tcPr>
          <w:p>
            <w:r>
              <w:rPr>
                <w:b w:val="false"/>
                <w:bCs w:val="false"/>
                <w:sz w:val="18"/>
                <w:szCs w:val="18"/>
              </w:rPr>
              <w:t xml:space="preserve">Phase B</w:t>
            </w:r>
          </w:p>
        </w:tc>
        <w:tc>
          <w:tcPr>
            <w:tcW w:type="dxa" w:w="6300"/>
          </w:tcPr>
          <w:p>
            <w:r>
              <w:rPr>
                <w:b w:val="false"/>
                <w:bCs w:val="false"/>
                <w:sz w:val="18"/>
                <w:szCs w:val="18"/>
              </w:rPr>
              <w:t xml:space="preserve">Enterprise Architecture Realization Roadmap &amp; Portfolio Plan</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5</w:t>
            </w:r>
          </w:p>
        </w:tc>
        <w:tc>
          <w:tcPr>
            <w:tcW w:type="dxa" w:w="1400"/>
          </w:tcPr>
          <w:p>
            <w:r>
              <w:rPr>
                <w:b w:val="false"/>
                <w:bCs w:val="false"/>
                <w:sz w:val="18"/>
                <w:szCs w:val="18"/>
              </w:rPr>
              <w:t xml:space="preserve">Phase C §1</w:t>
            </w:r>
          </w:p>
        </w:tc>
        <w:tc>
          <w:tcPr>
            <w:tcW w:type="dxa" w:w="6300"/>
          </w:tcPr>
          <w:p>
            <w:r>
              <w:rPr>
                <w:b w:val="false"/>
                <w:bCs w:val="false"/>
                <w:sz w:val="18"/>
                <w:szCs w:val="18"/>
              </w:rPr>
              <w:t xml:space="preserve">Enterprise Work Package Execution Strategy</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6</w:t>
            </w:r>
          </w:p>
        </w:tc>
        <w:tc>
          <w:tcPr>
            <w:tcW w:type="dxa" w:w="1400"/>
          </w:tcPr>
          <w:p>
            <w:r>
              <w:rPr>
                <w:b w:val="false"/>
                <w:bCs w:val="false"/>
                <w:sz w:val="18"/>
                <w:szCs w:val="18"/>
              </w:rPr>
              <w:t xml:space="preserve">Phase C §2</w:t>
            </w:r>
          </w:p>
        </w:tc>
        <w:tc>
          <w:tcPr>
            <w:tcW w:type="dxa" w:w="6300"/>
          </w:tcPr>
          <w:p>
            <w:r>
              <w:rPr>
                <w:b w:val="false"/>
                <w:bCs w:val="false"/>
                <w:sz w:val="18"/>
                <w:szCs w:val="18"/>
              </w:rPr>
              <w:t xml:space="preserve">Enterprise Work Package Engineering Catalog</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7</w:t>
            </w:r>
          </w:p>
        </w:tc>
        <w:tc>
          <w:tcPr>
            <w:tcW w:type="dxa" w:w="1400"/>
          </w:tcPr>
          <w:p>
            <w:r>
              <w:rPr>
                <w:b w:val="false"/>
                <w:bCs w:val="false"/>
                <w:sz w:val="18"/>
                <w:szCs w:val="18"/>
              </w:rPr>
              <w:t xml:space="preserve">Phase C §3</w:t>
            </w:r>
          </w:p>
        </w:tc>
        <w:tc>
          <w:tcPr>
            <w:tcW w:type="dxa" w:w="6300"/>
          </w:tcPr>
          <w:p>
            <w:r>
              <w:rPr>
                <w:b w:val="false"/>
                <w:bCs w:val="false"/>
                <w:sz w:val="18"/>
                <w:szCs w:val="18"/>
              </w:rPr>
              <w:t xml:space="preserve">Repository Impact Assessment</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8</w:t>
            </w:r>
          </w:p>
        </w:tc>
        <w:tc>
          <w:tcPr>
            <w:tcW w:type="dxa" w:w="1400"/>
          </w:tcPr>
          <w:p>
            <w:r>
              <w:rPr>
                <w:b w:val="false"/>
                <w:bCs w:val="false"/>
                <w:sz w:val="18"/>
                <w:szCs w:val="18"/>
              </w:rPr>
              <w:t xml:space="preserve">Phase C §4</w:t>
            </w:r>
          </w:p>
        </w:tc>
        <w:tc>
          <w:tcPr>
            <w:tcW w:type="dxa" w:w="6300"/>
          </w:tcPr>
          <w:p>
            <w:r>
              <w:rPr>
                <w:b w:val="false"/>
                <w:bCs w:val="false"/>
                <w:sz w:val="18"/>
                <w:szCs w:val="18"/>
              </w:rPr>
              <w:t xml:space="preserve">Engineering Design Specification</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9</w:t>
            </w:r>
          </w:p>
        </w:tc>
        <w:tc>
          <w:tcPr>
            <w:tcW w:type="dxa" w:w="1400"/>
          </w:tcPr>
          <w:p>
            <w:r>
              <w:rPr>
                <w:b w:val="false"/>
                <w:bCs w:val="false"/>
                <w:sz w:val="18"/>
                <w:szCs w:val="18"/>
              </w:rPr>
              <w:t xml:space="preserve">Phase C §5</w:t>
            </w:r>
          </w:p>
        </w:tc>
        <w:tc>
          <w:tcPr>
            <w:tcW w:type="dxa" w:w="6300"/>
          </w:tcPr>
          <w:p>
            <w:r>
              <w:rPr>
                <w:b w:val="false"/>
                <w:bCs w:val="false"/>
                <w:sz w:val="18"/>
                <w:szCs w:val="18"/>
              </w:rPr>
              <w:t xml:space="preserve">Implementation Blueprint</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10</w:t>
            </w:r>
          </w:p>
        </w:tc>
        <w:tc>
          <w:tcPr>
            <w:tcW w:type="dxa" w:w="1400"/>
          </w:tcPr>
          <w:p>
            <w:r>
              <w:rPr>
                <w:b w:val="false"/>
                <w:bCs w:val="false"/>
                <w:sz w:val="18"/>
                <w:szCs w:val="18"/>
              </w:rPr>
              <w:t xml:space="preserve">Phase C §6</w:t>
            </w:r>
          </w:p>
        </w:tc>
        <w:tc>
          <w:tcPr>
            <w:tcW w:type="dxa" w:w="6300"/>
          </w:tcPr>
          <w:p>
            <w:r>
              <w:rPr>
                <w:b w:val="false"/>
                <w:bCs w:val="false"/>
                <w:sz w:val="18"/>
                <w:szCs w:val="18"/>
              </w:rPr>
              <w:t xml:space="preserve">Architecture Conformance Plan</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11</w:t>
            </w:r>
          </w:p>
        </w:tc>
        <w:tc>
          <w:tcPr>
            <w:tcW w:type="dxa" w:w="1400"/>
          </w:tcPr>
          <w:p>
            <w:r>
              <w:rPr>
                <w:b w:val="false"/>
                <w:bCs w:val="false"/>
                <w:sz w:val="18"/>
                <w:szCs w:val="18"/>
              </w:rPr>
              <w:t xml:space="preserve">Phase C §7</w:t>
            </w:r>
          </w:p>
        </w:tc>
        <w:tc>
          <w:tcPr>
            <w:tcW w:type="dxa" w:w="6300"/>
          </w:tcPr>
          <w:p>
            <w:r>
              <w:rPr>
                <w:b w:val="false"/>
                <w:bCs w:val="false"/>
                <w:sz w:val="18"/>
                <w:szCs w:val="18"/>
              </w:rPr>
              <w:t xml:space="preserve">Enterprise Testing &amp; Verification Strategy</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12</w:t>
            </w:r>
          </w:p>
        </w:tc>
        <w:tc>
          <w:tcPr>
            <w:tcW w:type="dxa" w:w="1400"/>
          </w:tcPr>
          <w:p>
            <w:r>
              <w:rPr>
                <w:b w:val="false"/>
                <w:bCs w:val="false"/>
                <w:sz w:val="18"/>
                <w:szCs w:val="18"/>
              </w:rPr>
              <w:t xml:space="preserve">Phase C §8</w:t>
            </w:r>
          </w:p>
        </w:tc>
        <w:tc>
          <w:tcPr>
            <w:tcW w:type="dxa" w:w="6300"/>
          </w:tcPr>
          <w:p>
            <w:r>
              <w:rPr>
                <w:b w:val="false"/>
                <w:bCs w:val="false"/>
                <w:sz w:val="18"/>
                <w:szCs w:val="18"/>
              </w:rPr>
              <w:t xml:space="preserve">Enterprise Risk-Control Matrix</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13</w:t>
            </w:r>
          </w:p>
        </w:tc>
        <w:tc>
          <w:tcPr>
            <w:tcW w:type="dxa" w:w="1400"/>
          </w:tcPr>
          <w:p>
            <w:r>
              <w:rPr>
                <w:b w:val="false"/>
                <w:bCs w:val="false"/>
                <w:sz w:val="18"/>
                <w:szCs w:val="18"/>
              </w:rPr>
              <w:t xml:space="preserve">Phase C §9</w:t>
            </w:r>
          </w:p>
        </w:tc>
        <w:tc>
          <w:tcPr>
            <w:tcW w:type="dxa" w:w="6300"/>
          </w:tcPr>
          <w:p>
            <w:r>
              <w:rPr>
                <w:b w:val="false"/>
                <w:bCs w:val="false"/>
                <w:sz w:val="18"/>
                <w:szCs w:val="18"/>
              </w:rPr>
              <w:t xml:space="preserve">Enterprise Engineering Acceptance Criteria</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14</w:t>
            </w:r>
          </w:p>
        </w:tc>
        <w:tc>
          <w:tcPr>
            <w:tcW w:type="dxa" w:w="1400"/>
          </w:tcPr>
          <w:p>
            <w:r>
              <w:rPr>
                <w:b w:val="false"/>
                <w:bCs w:val="false"/>
                <w:sz w:val="18"/>
                <w:szCs w:val="18"/>
              </w:rPr>
              <w:t xml:space="preserve">Phase C §10.1–10.14</w:t>
            </w:r>
          </w:p>
        </w:tc>
        <w:tc>
          <w:tcPr>
            <w:tcW w:type="dxa" w:w="6300"/>
          </w:tcPr>
          <w:p>
            <w:r>
              <w:rPr>
                <w:b w:val="false"/>
                <w:bCs w:val="false"/>
                <w:sz w:val="18"/>
                <w:szCs w:val="18"/>
              </w:rPr>
              <w:t xml:space="preserve">Executive Dashboard Suite (14 sub-dashboards)</w:t>
            </w:r>
          </w:p>
        </w:tc>
        <w:tc>
          <w:tcPr>
            <w:tcW w:type="dxa" w:w="1500"/>
            <w:shd w:fill="DCE9D5" w:val="clear"/>
          </w:tcPr>
          <w:p>
            <w:r>
              <w:rPr>
                <w:b w:val="false"/>
                <w:bCs w:val="false"/>
                <w:sz w:val="18"/>
                <w:szCs w:val="18"/>
              </w:rPr>
              <w:t xml:space="preserve">Present</w:t>
            </w:r>
          </w:p>
        </w:tc>
      </w:tr>
      <w:tr>
        <w:tc>
          <w:tcPr>
            <w:tcW w:type="dxa" w:w="500"/>
          </w:tcPr>
          <w:p>
            <w:r>
              <w:rPr>
                <w:b w:val="false"/>
                <w:bCs w:val="false"/>
                <w:sz w:val="18"/>
                <w:szCs w:val="18"/>
              </w:rPr>
              <w:t xml:space="preserve">15</w:t>
            </w:r>
          </w:p>
        </w:tc>
        <w:tc>
          <w:tcPr>
            <w:tcW w:type="dxa" w:w="1400"/>
          </w:tcPr>
          <w:p>
            <w:r>
              <w:rPr>
                <w:b w:val="false"/>
                <w:bCs w:val="false"/>
                <w:sz w:val="18"/>
                <w:szCs w:val="18"/>
              </w:rPr>
              <w:t xml:space="preserve">Phase C §10.1</w:t>
            </w:r>
          </w:p>
        </w:tc>
        <w:tc>
          <w:tcPr>
            <w:tcW w:type="dxa" w:w="6300"/>
          </w:tcPr>
          <w:p>
            <w:r>
              <w:rPr>
                <w:b w:val="false"/>
                <w:bCs w:val="false"/>
                <w:sz w:val="18"/>
                <w:szCs w:val="18"/>
              </w:rPr>
              <w:t xml:space="preserve">Duplicate copy of Executive Overview at a second repository path</w:t>
            </w:r>
          </w:p>
        </w:tc>
        <w:tc>
          <w:tcPr>
            <w:tcW w:type="dxa" w:w="1500"/>
            <w:shd w:fill="FCE8B2" w:val="clear"/>
          </w:tcPr>
          <w:p>
            <w:r>
              <w:rPr>
                <w:b w:val="false"/>
                <w:bCs w:val="false"/>
                <w:sz w:val="18"/>
                <w:szCs w:val="18"/>
              </w:rPr>
              <w:t xml:space="preserve">Present — duplicate location</w:t>
            </w:r>
          </w:p>
        </w:tc>
      </w:tr>
      <w:tr>
        <w:tc>
          <w:tcPr>
            <w:tcW w:type="dxa" w:w="500"/>
          </w:tcPr>
          <w:p>
            <w:r>
              <w:rPr>
                <w:b w:val="false"/>
                <w:bCs w:val="false"/>
                <w:sz w:val="18"/>
                <w:szCs w:val="18"/>
              </w:rPr>
              <w:t xml:space="preserve">16</w:t>
            </w:r>
          </w:p>
        </w:tc>
        <w:tc>
          <w:tcPr>
            <w:tcW w:type="dxa" w:w="1400"/>
          </w:tcPr>
          <w:p>
            <w:r>
              <w:rPr>
                <w:b w:val="false"/>
                <w:bCs w:val="false"/>
                <w:sz w:val="18"/>
                <w:szCs w:val="18"/>
              </w:rPr>
              <w:t xml:space="preserve">Phase C §10 (predecessor)</w:t>
            </w:r>
          </w:p>
        </w:tc>
        <w:tc>
          <w:tcPr>
            <w:tcW w:type="dxa" w:w="6300"/>
          </w:tcPr>
          <w:p>
            <w:r>
              <w:rPr>
                <w:b w:val="false"/>
                <w:bCs w:val="false"/>
                <w:sz w:val="18"/>
                <w:szCs w:val="18"/>
              </w:rPr>
              <w:t xml:space="preserve">Consolidated single-document Executive Engineering Dashboard, superseded by the §10.1–10.14 split</w:t>
            </w:r>
          </w:p>
        </w:tc>
        <w:tc>
          <w:tcPr>
            <w:tcW w:type="dxa" w:w="1500"/>
            <w:shd w:fill="FCE8B2" w:val="clear"/>
          </w:tcPr>
          <w:p>
            <w:r>
              <w:rPr>
                <w:b w:val="false"/>
                <w:bCs w:val="false"/>
                <w:sz w:val="18"/>
                <w:szCs w:val="18"/>
              </w:rPr>
              <w:t xml:space="preserve">Present — superseded</w:t>
            </w:r>
          </w:p>
        </w:tc>
      </w:tr>
    </w:tbl>
    <w:p>
      <w:pPr>
        <w:spacing w:after="160"/>
      </w:pPr>
      <w:r>
        <w:rPr>
          <w:b w:val="false"/>
          <w:bCs w:val="false"/>
          <w:i/>
          <w:iCs/>
          <w:sz w:val="21"/>
          <w:szCs w:val="21"/>
        </w:rPr>
        <w:t xml:space="preserve">Repository Completeness: Validated. All 27 uniquely-scoped ERP-01 documents required by Phases A, B, and C are present. Two supplementary artifacts — a duplicate file and a superseded predecessor document, both confined to the Executive Dashboard Suite — are addressed under Sections 7 and 9 as Improvement Opportunities and do not affect completeness of the substantive architecture, governance, or engineering content.</w:t>
      </w:r>
    </w:p>
    <w:p>
      <w:pPr>
        <w:pStyle w:val="Heading1"/>
        <w:spacing w:after="160" w:before="320"/>
      </w:pPr>
      <w:r>
        <w:t xml:space="preserve">3. Architecture Consistency Validation</w:t>
      </w:r>
    </w:p>
    <w:p>
      <w:pPr>
        <w:spacing w:after="160"/>
      </w:pPr>
      <w:r>
        <w:rPr>
          <w:b w:val="false"/>
          <w:bCs w:val="false"/>
          <w:i w:val="false"/>
          <w:iCs w:val="false"/>
          <w:sz w:val="21"/>
          <w:szCs w:val="21"/>
        </w:rPr>
        <w:t xml:space="preserve">Architecture Requirements, Enterprise Governance Decisions, Enterprise Resolutions, and Variances were checked for uniqueness of identifier and consistency of stated totals across independently-authored documents.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00"/>
        <w:gridCol w:w="3300"/>
      </w:tblGrid>
      <w:tr>
        <w:trPr>
          <w:tblHeader/>
        </w:trPr>
        <w:tc>
          <w:tcPr>
            <w:tcW w:type="dxa" w:w="2400"/>
            <w:shd w:fill="1F3864" w:val="clear"/>
          </w:tcPr>
          <w:p>
            <w:r>
              <w:rPr>
                <w:b/>
                <w:bCs/>
                <w:color w:val="FFFFFF"/>
                <w:sz w:val="18"/>
                <w:szCs w:val="18"/>
              </w:rPr>
              <w:t xml:space="preserve">Artifact Class</w:t>
            </w:r>
          </w:p>
        </w:tc>
        <w:tc>
          <w:tcPr>
            <w:tcW w:type="dxa" w:w="1600"/>
            <w:shd w:fill="1F3864" w:val="clear"/>
          </w:tcPr>
          <w:p>
            <w:r>
              <w:rPr>
                <w:b/>
                <w:bCs/>
                <w:color w:val="FFFFFF"/>
                <w:sz w:val="18"/>
                <w:szCs w:val="18"/>
              </w:rPr>
              <w:t xml:space="preserve">Stated Total</w:t>
            </w:r>
          </w:p>
        </w:tc>
        <w:tc>
          <w:tcPr>
            <w:tcW w:type="dxa" w:w="1900"/>
            <w:shd w:fill="1F3864" w:val="clear"/>
          </w:tcPr>
          <w:p>
            <w:r>
              <w:rPr>
                <w:b/>
                <w:bCs/>
                <w:color w:val="FFFFFF"/>
                <w:sz w:val="18"/>
                <w:szCs w:val="18"/>
              </w:rPr>
              <w:t xml:space="preserve">Unique IDs Found</w:t>
            </w:r>
          </w:p>
        </w:tc>
        <w:tc>
          <w:tcPr>
            <w:tcW w:type="dxa" w:w="3300"/>
            <w:shd w:fill="1F3864" w:val="clear"/>
          </w:tcPr>
          <w:p>
            <w:r>
              <w:rPr>
                <w:b/>
                <w:bCs/>
                <w:color w:val="FFFFFF"/>
                <w:sz w:val="18"/>
                <w:szCs w:val="18"/>
              </w:rPr>
              <w:t xml:space="preserve">Consistency Across Documents</w:t>
            </w:r>
          </w:p>
        </w:tc>
      </w:tr>
      <w:tr>
        <w:tc>
          <w:tcPr>
            <w:tcW w:type="dxa" w:w="2400"/>
          </w:tcPr>
          <w:p>
            <w:r>
              <w:rPr>
                <w:b w:val="false"/>
                <w:bCs w:val="false"/>
                <w:sz w:val="18"/>
                <w:szCs w:val="18"/>
              </w:rPr>
              <w:t xml:space="preserve">Architecture Requirements (AR)</w:t>
            </w:r>
          </w:p>
        </w:tc>
        <w:tc>
          <w:tcPr>
            <w:tcW w:type="dxa" w:w="1600"/>
          </w:tcPr>
          <w:p>
            <w:r>
              <w:rPr>
                <w:b w:val="false"/>
                <w:bCs w:val="false"/>
                <w:sz w:val="18"/>
                <w:szCs w:val="18"/>
              </w:rPr>
              <w:t xml:space="preserve">10</w:t>
            </w:r>
          </w:p>
        </w:tc>
        <w:tc>
          <w:tcPr>
            <w:tcW w:type="dxa" w:w="1900"/>
          </w:tcPr>
          <w:p>
            <w:r>
              <w:rPr>
                <w:b w:val="false"/>
                <w:bCs w:val="false"/>
                <w:sz w:val="18"/>
                <w:szCs w:val="18"/>
              </w:rPr>
              <w:t xml:space="preserve">10 (AR-0001–AR-0010)</w:t>
            </w:r>
          </w:p>
        </w:tc>
        <w:tc>
          <w:tcPr>
            <w:tcW w:type="dxa" w:w="3300"/>
            <w:shd w:fill="DCE9D5" w:val="clear"/>
          </w:tcPr>
          <w:p>
            <w:r>
              <w:rPr>
                <w:b w:val="false"/>
                <w:bCs w:val="false"/>
                <w:sz w:val="18"/>
                <w:szCs w:val="18"/>
              </w:rPr>
              <w:t xml:space="preserve">Validated — consistent across 8+ independent documents</w:t>
            </w:r>
          </w:p>
        </w:tc>
      </w:tr>
      <w:tr>
        <w:tc>
          <w:tcPr>
            <w:tcW w:type="dxa" w:w="2400"/>
          </w:tcPr>
          <w:p>
            <w:r>
              <w:rPr>
                <w:b w:val="false"/>
                <w:bCs w:val="false"/>
                <w:sz w:val="18"/>
                <w:szCs w:val="18"/>
              </w:rPr>
              <w:t xml:space="preserve">Enterprise Governance Decisions (EGD)</w:t>
            </w:r>
          </w:p>
        </w:tc>
        <w:tc>
          <w:tcPr>
            <w:tcW w:type="dxa" w:w="1600"/>
          </w:tcPr>
          <w:p>
            <w:r>
              <w:rPr>
                <w:b w:val="false"/>
                <w:bCs w:val="false"/>
                <w:sz w:val="18"/>
                <w:szCs w:val="18"/>
              </w:rPr>
              <w:t xml:space="preserve">9</w:t>
            </w:r>
          </w:p>
        </w:tc>
        <w:tc>
          <w:tcPr>
            <w:tcW w:type="dxa" w:w="1900"/>
          </w:tcPr>
          <w:p>
            <w:r>
              <w:rPr>
                <w:b w:val="false"/>
                <w:bCs w:val="false"/>
                <w:sz w:val="18"/>
                <w:szCs w:val="18"/>
              </w:rPr>
              <w:t xml:space="preserve">9 (EGD-0001–EGD-0009)</w:t>
            </w:r>
          </w:p>
        </w:tc>
        <w:tc>
          <w:tcPr>
            <w:tcW w:type="dxa" w:w="3300"/>
            <w:shd w:fill="DCE9D5" w:val="clear"/>
          </w:tcPr>
          <w:p>
            <w:r>
              <w:rPr>
                <w:b w:val="false"/>
                <w:bCs w:val="false"/>
                <w:sz w:val="18"/>
                <w:szCs w:val="18"/>
              </w:rPr>
              <w:t xml:space="preserve">Validated — consistent across 8+ independent documents</w:t>
            </w:r>
          </w:p>
        </w:tc>
      </w:tr>
      <w:tr>
        <w:tc>
          <w:tcPr>
            <w:tcW w:type="dxa" w:w="2400"/>
          </w:tcPr>
          <w:p>
            <w:r>
              <w:rPr>
                <w:b w:val="false"/>
                <w:bCs w:val="false"/>
                <w:sz w:val="18"/>
                <w:szCs w:val="18"/>
              </w:rPr>
              <w:t xml:space="preserve">Enterprise Resolutions (ER)</w:t>
            </w:r>
          </w:p>
        </w:tc>
        <w:tc>
          <w:tcPr>
            <w:tcW w:type="dxa" w:w="1600"/>
          </w:tcPr>
          <w:p>
            <w:r>
              <w:rPr>
                <w:b w:val="false"/>
                <w:bCs w:val="false"/>
                <w:sz w:val="18"/>
                <w:szCs w:val="18"/>
              </w:rPr>
              <w:t xml:space="preserve">10</w:t>
            </w:r>
          </w:p>
        </w:tc>
        <w:tc>
          <w:tcPr>
            <w:tcW w:type="dxa" w:w="1900"/>
          </w:tcPr>
          <w:p>
            <w:r>
              <w:rPr>
                <w:b w:val="false"/>
                <w:bCs w:val="false"/>
                <w:sz w:val="18"/>
                <w:szCs w:val="18"/>
              </w:rPr>
              <w:t xml:space="preserve">10 (ER-0001–ER-0010)</w:t>
            </w:r>
          </w:p>
        </w:tc>
        <w:tc>
          <w:tcPr>
            <w:tcW w:type="dxa" w:w="3300"/>
            <w:shd w:fill="FCE8B2" w:val="clear"/>
          </w:tcPr>
          <w:p>
            <w:r>
              <w:rPr>
                <w:b w:val="false"/>
                <w:bCs w:val="false"/>
                <w:sz w:val="18"/>
                <w:szCs w:val="18"/>
              </w:rPr>
              <w:t xml:space="preserve">Validated — consistent naming; several ERs (ER-0005/0006/0008/0009) carry lower downstream reference density</w:t>
            </w:r>
          </w:p>
        </w:tc>
      </w:tr>
      <w:tr>
        <w:tc>
          <w:tcPr>
            <w:tcW w:type="dxa" w:w="2400"/>
          </w:tcPr>
          <w:p>
            <w:r>
              <w:rPr>
                <w:b w:val="false"/>
                <w:bCs w:val="false"/>
                <w:sz w:val="18"/>
                <w:szCs w:val="18"/>
              </w:rPr>
              <w:t xml:space="preserve">Variances (VAR)</w:t>
            </w:r>
          </w:p>
        </w:tc>
        <w:tc>
          <w:tcPr>
            <w:tcW w:type="dxa" w:w="1600"/>
          </w:tcPr>
          <w:p>
            <w:r>
              <w:rPr>
                <w:b w:val="false"/>
                <w:bCs w:val="false"/>
                <w:sz w:val="18"/>
                <w:szCs w:val="18"/>
              </w:rPr>
              <w:t xml:space="preserve">4</w:t>
            </w:r>
          </w:p>
        </w:tc>
        <w:tc>
          <w:tcPr>
            <w:tcW w:type="dxa" w:w="1900"/>
          </w:tcPr>
          <w:p>
            <w:r>
              <w:rPr>
                <w:b w:val="false"/>
                <w:bCs w:val="false"/>
                <w:sz w:val="18"/>
                <w:szCs w:val="18"/>
              </w:rPr>
              <w:t xml:space="preserve">4 (VAR-01–VAR-04)</w:t>
            </w:r>
          </w:p>
        </w:tc>
        <w:tc>
          <w:tcPr>
            <w:tcW w:type="dxa" w:w="3300"/>
            <w:shd w:fill="DCE9D5" w:val="clear"/>
          </w:tcPr>
          <w:p>
            <w:r>
              <w:rPr>
                <w:b w:val="false"/>
                <w:bCs w:val="false"/>
                <w:sz w:val="18"/>
                <w:szCs w:val="18"/>
              </w:rPr>
              <w:t xml:space="preserve">Validated — consistently paired with source EGDs across dashboards</w:t>
            </w:r>
          </w:p>
        </w:tc>
      </w:tr>
      <w:tr>
        <w:tc>
          <w:tcPr>
            <w:tcW w:type="dxa" w:w="2400"/>
          </w:tcPr>
          <w:p>
            <w:r>
              <w:rPr>
                <w:b w:val="false"/>
                <w:bCs w:val="false"/>
                <w:sz w:val="18"/>
                <w:szCs w:val="18"/>
              </w:rPr>
              <w:t xml:space="preserve">Action Points (AP)</w:t>
            </w:r>
          </w:p>
        </w:tc>
        <w:tc>
          <w:tcPr>
            <w:tcW w:type="dxa" w:w="1600"/>
          </w:tcPr>
          <w:p>
            <w:r>
              <w:rPr>
                <w:b w:val="false"/>
                <w:bCs w:val="false"/>
                <w:sz w:val="18"/>
                <w:szCs w:val="18"/>
              </w:rPr>
              <w:t xml:space="preserve">9</w:t>
            </w:r>
          </w:p>
        </w:tc>
        <w:tc>
          <w:tcPr>
            <w:tcW w:type="dxa" w:w="1900"/>
          </w:tcPr>
          <w:p>
            <w:r>
              <w:rPr>
                <w:b w:val="false"/>
                <w:bCs w:val="false"/>
                <w:sz w:val="18"/>
                <w:szCs w:val="18"/>
              </w:rPr>
              <w:t xml:space="preserve">9 (AP-001–AP-009)</w:t>
            </w:r>
          </w:p>
        </w:tc>
        <w:tc>
          <w:tcPr>
            <w:tcW w:type="dxa" w:w="3300"/>
            <w:shd w:fill="DCE9D5" w:val="clear"/>
          </w:tcPr>
          <w:p>
            <w:r>
              <w:rPr>
                <w:b w:val="false"/>
                <w:bCs w:val="false"/>
                <w:sz w:val="18"/>
                <w:szCs w:val="18"/>
              </w:rPr>
              <w:t xml:space="preserve">Validated — AP-009 (unassigned accountable owners) consistently tracked as an open item across 9+ documents</w:t>
            </w:r>
          </w:p>
        </w:tc>
      </w:tr>
    </w:tbl>
    <w:p>
      <w:pPr>
        <w:spacing w:after="160"/>
      </w:pPr>
      <w:r>
        <w:rPr>
          <w:b w:val="false"/>
          <w:bCs w:val="false"/>
          <w:i w:val="false"/>
          <w:iCs w:val="false"/>
          <w:sz w:val="21"/>
          <w:szCs w:val="21"/>
        </w:rPr>
        <w:t xml:space="preserve">No duplicate reuse of an identifier across two different artifacts was found in any class. One cross-phase naming observation is recorded under Section 4.</w:t>
      </w:r>
    </w:p>
    <w:p>
      <w:pPr>
        <w:pStyle w:val="Heading1"/>
        <w:spacing w:after="160" w:before="320"/>
      </w:pPr>
      <w:r>
        <w:t xml:space="preserve">4. Identifier Integrity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900"/>
        <w:gridCol w:w="1600"/>
        <w:gridCol w:w="3200"/>
      </w:tblGrid>
      <w:tr>
        <w:trPr>
          <w:tblHeader/>
        </w:trPr>
        <w:tc>
          <w:tcPr>
            <w:tcW w:type="dxa" w:w="1800"/>
            <w:shd w:fill="1F3864" w:val="clear"/>
          </w:tcPr>
          <w:p>
            <w:r>
              <w:rPr>
                <w:b/>
                <w:bCs/>
                <w:color w:val="FFFFFF"/>
                <w:sz w:val="18"/>
                <w:szCs w:val="18"/>
              </w:rPr>
              <w:t xml:space="preserve">Identifier Class</w:t>
            </w:r>
          </w:p>
        </w:tc>
        <w:tc>
          <w:tcPr>
            <w:tcW w:type="dxa" w:w="1700"/>
            <w:shd w:fill="1F3864" w:val="clear"/>
          </w:tcPr>
          <w:p>
            <w:r>
              <w:rPr>
                <w:b/>
                <w:bCs/>
                <w:color w:val="FFFFFF"/>
                <w:sz w:val="18"/>
                <w:szCs w:val="18"/>
              </w:rPr>
              <w:t xml:space="preserve">Range</w:t>
            </w:r>
          </w:p>
        </w:tc>
        <w:tc>
          <w:tcPr>
            <w:tcW w:type="dxa" w:w="900"/>
            <w:shd w:fill="1F3864" w:val="clear"/>
          </w:tcPr>
          <w:p>
            <w:r>
              <w:rPr>
                <w:b/>
                <w:bCs/>
                <w:color w:val="FFFFFF"/>
                <w:sz w:val="18"/>
                <w:szCs w:val="18"/>
              </w:rPr>
              <w:t xml:space="preserve">Count</w:t>
            </w:r>
          </w:p>
        </w:tc>
        <w:tc>
          <w:tcPr>
            <w:tcW w:type="dxa" w:w="1600"/>
            <w:shd w:fill="1F3864" w:val="clear"/>
          </w:tcPr>
          <w:p>
            <w:r>
              <w:rPr>
                <w:b/>
                <w:bCs/>
                <w:color w:val="FFFFFF"/>
                <w:sz w:val="18"/>
                <w:szCs w:val="18"/>
              </w:rPr>
              <w:t xml:space="preserve">Duplication Found</w:t>
            </w:r>
          </w:p>
        </w:tc>
        <w:tc>
          <w:tcPr>
            <w:tcW w:type="dxa" w:w="3200"/>
            <w:shd w:fill="1F3864" w:val="clear"/>
          </w:tcPr>
          <w:p>
            <w:r>
              <w:rPr>
                <w:b/>
                <w:bCs/>
                <w:color w:val="FFFFFF"/>
                <w:sz w:val="18"/>
                <w:szCs w:val="18"/>
              </w:rPr>
              <w:t xml:space="preserve">Notes</w:t>
            </w:r>
          </w:p>
        </w:tc>
      </w:tr>
      <w:tr>
        <w:tc>
          <w:tcPr>
            <w:tcW w:type="dxa" w:w="1800"/>
          </w:tcPr>
          <w:p>
            <w:r>
              <w:rPr>
                <w:b w:val="false"/>
                <w:bCs w:val="false"/>
                <w:sz w:val="18"/>
                <w:szCs w:val="18"/>
              </w:rPr>
              <w:t xml:space="preserve">AR</w:t>
            </w:r>
          </w:p>
        </w:tc>
        <w:tc>
          <w:tcPr>
            <w:tcW w:type="dxa" w:w="1700"/>
          </w:tcPr>
          <w:p>
            <w:r>
              <w:rPr>
                <w:b w:val="false"/>
                <w:bCs w:val="false"/>
                <w:sz w:val="18"/>
                <w:szCs w:val="18"/>
              </w:rPr>
              <w:t xml:space="preserve">AR-0001–AR-0010</w:t>
            </w:r>
          </w:p>
        </w:tc>
        <w:tc>
          <w:tcPr>
            <w:tcW w:type="dxa" w:w="900"/>
          </w:tcPr>
          <w:p>
            <w:r>
              <w:rPr>
                <w:b w:val="false"/>
                <w:bCs w:val="false"/>
                <w:sz w:val="18"/>
                <w:szCs w:val="18"/>
              </w:rPr>
              <w:t xml:space="preserve">10</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EGD</w:t>
            </w:r>
          </w:p>
        </w:tc>
        <w:tc>
          <w:tcPr>
            <w:tcW w:type="dxa" w:w="1700"/>
          </w:tcPr>
          <w:p>
            <w:r>
              <w:rPr>
                <w:b w:val="false"/>
                <w:bCs w:val="false"/>
                <w:sz w:val="18"/>
                <w:szCs w:val="18"/>
              </w:rPr>
              <w:t xml:space="preserve">EGD-0001–EGD-0009</w:t>
            </w:r>
          </w:p>
        </w:tc>
        <w:tc>
          <w:tcPr>
            <w:tcW w:type="dxa" w:w="900"/>
          </w:tcPr>
          <w:p>
            <w:r>
              <w:rPr>
                <w:b w:val="false"/>
                <w:bCs w:val="false"/>
                <w:sz w:val="18"/>
                <w:szCs w:val="18"/>
              </w:rPr>
              <w:t xml:space="preserve">9</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ER</w:t>
            </w:r>
          </w:p>
        </w:tc>
        <w:tc>
          <w:tcPr>
            <w:tcW w:type="dxa" w:w="1700"/>
          </w:tcPr>
          <w:p>
            <w:r>
              <w:rPr>
                <w:b w:val="false"/>
                <w:bCs w:val="false"/>
                <w:sz w:val="18"/>
                <w:szCs w:val="18"/>
              </w:rPr>
              <w:t xml:space="preserve">ER-0001–ER-0010</w:t>
            </w:r>
          </w:p>
        </w:tc>
        <w:tc>
          <w:tcPr>
            <w:tcW w:type="dxa" w:w="900"/>
          </w:tcPr>
          <w:p>
            <w:r>
              <w:rPr>
                <w:b w:val="false"/>
                <w:bCs w:val="false"/>
                <w:sz w:val="18"/>
                <w:szCs w:val="18"/>
              </w:rPr>
              <w:t xml:space="preserve">10</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VAR</w:t>
            </w:r>
          </w:p>
        </w:tc>
        <w:tc>
          <w:tcPr>
            <w:tcW w:type="dxa" w:w="1700"/>
          </w:tcPr>
          <w:p>
            <w:r>
              <w:rPr>
                <w:b w:val="false"/>
                <w:bCs w:val="false"/>
                <w:sz w:val="18"/>
                <w:szCs w:val="18"/>
              </w:rPr>
              <w:t xml:space="preserve">VAR-01–VAR-04</w:t>
            </w:r>
          </w:p>
        </w:tc>
        <w:tc>
          <w:tcPr>
            <w:tcW w:type="dxa" w:w="900"/>
          </w:tcPr>
          <w:p>
            <w:r>
              <w:rPr>
                <w:b w:val="false"/>
                <w:bCs w:val="false"/>
                <w:sz w:val="18"/>
                <w:szCs w:val="18"/>
              </w:rPr>
              <w:t xml:space="preserve">4</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AP</w:t>
            </w:r>
          </w:p>
        </w:tc>
        <w:tc>
          <w:tcPr>
            <w:tcW w:type="dxa" w:w="1700"/>
          </w:tcPr>
          <w:p>
            <w:r>
              <w:rPr>
                <w:b w:val="false"/>
                <w:bCs w:val="false"/>
                <w:sz w:val="18"/>
                <w:szCs w:val="18"/>
              </w:rPr>
              <w:t xml:space="preserve">AP-001–AP-009</w:t>
            </w:r>
          </w:p>
        </w:tc>
        <w:tc>
          <w:tcPr>
            <w:tcW w:type="dxa" w:w="900"/>
          </w:tcPr>
          <w:p>
            <w:r>
              <w:rPr>
                <w:b w:val="false"/>
                <w:bCs w:val="false"/>
                <w:sz w:val="18"/>
                <w:szCs w:val="18"/>
              </w:rPr>
              <w:t xml:space="preserve">9</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WP (Phase C engineering)</w:t>
            </w:r>
          </w:p>
        </w:tc>
        <w:tc>
          <w:tcPr>
            <w:tcW w:type="dxa" w:w="1700"/>
          </w:tcPr>
          <w:p>
            <w:r>
              <w:rPr>
                <w:b w:val="false"/>
                <w:bCs w:val="false"/>
                <w:sz w:val="18"/>
                <w:szCs w:val="18"/>
              </w:rPr>
              <w:t xml:space="preserve">WP-0001–WP-0006</w:t>
            </w:r>
          </w:p>
        </w:tc>
        <w:tc>
          <w:tcPr>
            <w:tcW w:type="dxa" w:w="900"/>
          </w:tcPr>
          <w:p>
            <w:r>
              <w:rPr>
                <w:b w:val="false"/>
                <w:bCs w:val="false"/>
                <w:sz w:val="18"/>
                <w:szCs w:val="18"/>
              </w:rPr>
              <w:t xml:space="preserve">6</w:t>
            </w:r>
          </w:p>
        </w:tc>
        <w:tc>
          <w:tcPr>
            <w:tcW w:type="dxa" w:w="1600"/>
          </w:tcPr>
          <w:p>
            <w:r>
              <w:rPr>
                <w:b w:val="false"/>
                <w:bCs w:val="false"/>
                <w:sz w:val="18"/>
                <w:szCs w:val="18"/>
              </w:rPr>
              <w:t xml:space="preserve">None</w:t>
            </w:r>
          </w:p>
        </w:tc>
        <w:tc>
          <w:tcPr>
            <w:tcW w:type="dxa" w:w="3200"/>
          </w:tcPr>
          <w:p>
            <w:r>
              <w:rPr>
                <w:b w:val="false"/>
                <w:bCs w:val="false"/>
                <w:sz w:val="18"/>
                <w:szCs w:val="18"/>
              </w:rPr>
              <w:t xml:space="preserve">Distinct from ERP-01-WP-0X below</w:t>
            </w:r>
          </w:p>
        </w:tc>
      </w:tr>
      <w:tr>
        <w:tc>
          <w:tcPr>
            <w:tcW w:type="dxa" w:w="1800"/>
          </w:tcPr>
          <w:p>
            <w:r>
              <w:rPr>
                <w:b w:val="false"/>
                <w:bCs w:val="false"/>
                <w:sz w:val="18"/>
                <w:szCs w:val="18"/>
              </w:rPr>
              <w:t xml:space="preserve">WP (Phase A remediation, prefixed)</w:t>
            </w:r>
          </w:p>
        </w:tc>
        <w:tc>
          <w:tcPr>
            <w:tcW w:type="dxa" w:w="1700"/>
          </w:tcPr>
          <w:p>
            <w:r>
              <w:rPr>
                <w:b w:val="false"/>
                <w:bCs w:val="false"/>
                <w:sz w:val="18"/>
                <w:szCs w:val="18"/>
              </w:rPr>
              <w:t xml:space="preserve">ERP-01-WP-01–05</w:t>
            </w:r>
          </w:p>
        </w:tc>
        <w:tc>
          <w:tcPr>
            <w:tcW w:type="dxa" w:w="900"/>
          </w:tcPr>
          <w:p>
            <w:r>
              <w:rPr>
                <w:b w:val="false"/>
                <w:bCs w:val="false"/>
                <w:sz w:val="18"/>
                <w:szCs w:val="18"/>
              </w:rPr>
              <w:t xml:space="preserve">5</w:t>
            </w:r>
          </w:p>
        </w:tc>
        <w:tc>
          <w:tcPr>
            <w:tcW w:type="dxa" w:w="1600"/>
          </w:tcPr>
          <w:p>
            <w:r>
              <w:rPr>
                <w:b w:val="false"/>
                <w:bCs w:val="false"/>
                <w:sz w:val="18"/>
                <w:szCs w:val="18"/>
              </w:rPr>
              <w:t xml:space="preserve">None within class</w:t>
            </w:r>
          </w:p>
        </w:tc>
        <w:tc>
          <w:tcPr>
            <w:tcW w:type="dxa" w:w="3200"/>
            <w:shd w:fill="FCE8B2" w:val="clear"/>
          </w:tcPr>
          <w:p>
            <w:r>
              <w:rPr>
                <w:b w:val="false"/>
                <w:bCs w:val="false"/>
                <w:sz w:val="18"/>
                <w:szCs w:val="18"/>
              </w:rPr>
              <w:t xml:space="preserve">Same "WP" token reused under a different prefix convention for a different artifact class — see below</w:t>
            </w:r>
          </w:p>
        </w:tc>
      </w:tr>
      <w:tr>
        <w:tc>
          <w:tcPr>
            <w:tcW w:type="dxa" w:w="1800"/>
          </w:tcPr>
          <w:p>
            <w:r>
              <w:rPr>
                <w:b w:val="false"/>
                <w:bCs w:val="false"/>
                <w:sz w:val="18"/>
                <w:szCs w:val="18"/>
              </w:rPr>
              <w:t xml:space="preserve">Portfolio</w:t>
            </w:r>
          </w:p>
        </w:tc>
        <w:tc>
          <w:tcPr>
            <w:tcW w:type="dxa" w:w="1700"/>
          </w:tcPr>
          <w:p>
            <w:r>
              <w:rPr>
                <w:b w:val="false"/>
                <w:bCs w:val="false"/>
                <w:sz w:val="18"/>
                <w:szCs w:val="18"/>
              </w:rPr>
              <w:t xml:space="preserve">Portfolio 1–8</w:t>
            </w:r>
          </w:p>
        </w:tc>
        <w:tc>
          <w:tcPr>
            <w:tcW w:type="dxa" w:w="900"/>
          </w:tcPr>
          <w:p>
            <w:r>
              <w:rPr>
                <w:b w:val="false"/>
                <w:bCs w:val="false"/>
                <w:sz w:val="18"/>
                <w:szCs w:val="18"/>
              </w:rPr>
              <w:t xml:space="preserve">8</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Wave</w:t>
            </w:r>
          </w:p>
        </w:tc>
        <w:tc>
          <w:tcPr>
            <w:tcW w:type="dxa" w:w="1700"/>
          </w:tcPr>
          <w:p>
            <w:r>
              <w:rPr>
                <w:b w:val="false"/>
                <w:bCs w:val="false"/>
                <w:sz w:val="18"/>
                <w:szCs w:val="18"/>
              </w:rPr>
              <w:t xml:space="preserve">Wave 1–5</w:t>
            </w:r>
          </w:p>
        </w:tc>
        <w:tc>
          <w:tcPr>
            <w:tcW w:type="dxa" w:w="900"/>
          </w:tcPr>
          <w:p>
            <w:r>
              <w:rPr>
                <w:b w:val="false"/>
                <w:bCs w:val="false"/>
                <w:sz w:val="18"/>
                <w:szCs w:val="18"/>
              </w:rPr>
              <w:t xml:space="preserve">5</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r>
        <w:tc>
          <w:tcPr>
            <w:tcW w:type="dxa" w:w="1800"/>
          </w:tcPr>
          <w:p>
            <w:r>
              <w:rPr>
                <w:b w:val="false"/>
                <w:bCs w:val="false"/>
                <w:sz w:val="18"/>
                <w:szCs w:val="18"/>
              </w:rPr>
              <w:t xml:space="preserve">KPI</w:t>
            </w:r>
          </w:p>
        </w:tc>
        <w:tc>
          <w:tcPr>
            <w:tcW w:type="dxa" w:w="1700"/>
          </w:tcPr>
          <w:p>
            <w:r>
              <w:rPr>
                <w:b w:val="false"/>
                <w:bCs w:val="false"/>
                <w:sz w:val="18"/>
                <w:szCs w:val="18"/>
              </w:rPr>
              <w:t xml:space="preserve">KPI-01–KPI-10</w:t>
            </w:r>
          </w:p>
        </w:tc>
        <w:tc>
          <w:tcPr>
            <w:tcW w:type="dxa" w:w="900"/>
          </w:tcPr>
          <w:p>
            <w:r>
              <w:rPr>
                <w:b w:val="false"/>
                <w:bCs w:val="false"/>
                <w:sz w:val="18"/>
                <w:szCs w:val="18"/>
              </w:rPr>
              <w:t xml:space="preserve">10</w:t>
            </w:r>
          </w:p>
        </w:tc>
        <w:tc>
          <w:tcPr>
            <w:tcW w:type="dxa" w:w="1600"/>
          </w:tcPr>
          <w:p>
            <w:r>
              <w:rPr>
                <w:b w:val="false"/>
                <w:bCs w:val="false"/>
                <w:sz w:val="18"/>
                <w:szCs w:val="18"/>
              </w:rPr>
              <w:t xml:space="preserve">None</w:t>
            </w:r>
          </w:p>
        </w:tc>
        <w:tc>
          <w:tcPr>
            <w:tcW w:type="dxa" w:w="3200"/>
          </w:tcPr>
          <w:p>
            <w:r>
              <w:rPr>
                <w:b w:val="false"/>
                <w:bCs w:val="false"/>
                <w:sz w:val="18"/>
                <w:szCs w:val="18"/>
              </w:rPr>
              <w:t xml:space="preserve">—</w:t>
            </w:r>
          </w:p>
        </w:tc>
      </w:tr>
    </w:tbl>
    <w:p>
      <w:pPr>
        <w:spacing w:after="160"/>
      </w:pPr>
      <w:r>
        <w:rPr>
          <w:b w:val="false"/>
          <w:bCs w:val="false"/>
          <w:i w:val="false"/>
          <w:iCs w:val="false"/>
          <w:sz w:val="21"/>
          <w:szCs w:val="21"/>
        </w:rPr>
        <w:t xml:space="preserve">No identifier was found duplicated within its own namespace. One cross-phase naming overlap was identified: Phase A.1/A.2 use the prefixed form ERP-01-WP-01 through ERP-01-WP-05 for five governance remediation actions, while Phase C uses the unprefixed form WP-0001 through WP-0006 for the six approved engineering Work Packages. These are two distinct, non-overlapping artifact classes and no record was found where the two schemes were conflated; however, the shared "WP" token creates avoidable ambiguity for readers moving between Phase A and Phase C. This is recorded as an Improvement Opportunity in Section 9, not a defect: it is a naming-convention risk, not an identifier collision.</w:t>
      </w:r>
    </w:p>
    <w:p>
      <w:pPr>
        <w:pStyle w:val="Heading1"/>
        <w:spacing w:after="160" w:before="320"/>
      </w:pPr>
      <w:r>
        <w:t xml:space="preserve">5. Enterprise Traceability Validation</w:t>
      </w:r>
    </w:p>
    <w:p>
      <w:pPr>
        <w:spacing w:after="160"/>
      </w:pPr>
      <w:r>
        <w:rPr>
          <w:b w:val="false"/>
          <w:bCs w:val="false"/>
          <w:i w:val="false"/>
          <w:iCs w:val="false"/>
          <w:sz w:val="21"/>
          <w:szCs w:val="21"/>
        </w:rPr>
        <w:t xml:space="preserve">The chain Architecture Requirement → Enterprise Governance Decision → Enterprise Resolution → Variance (where applicable) → Work Package → Wave → Verification → Acceptance → Readiness → Executive Decision → Executive Scorecard was traced using cross-references present in the Phase C Section 2 Engineering Catalog and the Section 10.1–10.14 Executive Dashboard Suite.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1F3864" w:val="clear"/>
          </w:tcPr>
          <w:p>
            <w:r>
              <w:rPr>
                <w:b/>
                <w:bCs/>
                <w:color w:val="FFFFFF"/>
                <w:sz w:val="18"/>
                <w:szCs w:val="18"/>
              </w:rPr>
              <w:t xml:space="preserve">Chain Link</w:t>
            </w:r>
          </w:p>
        </w:tc>
        <w:tc>
          <w:tcPr>
            <w:tcW w:type="dxa" w:w="3400"/>
            <w:shd w:fill="1F3864" w:val="clear"/>
          </w:tcPr>
          <w:p>
            <w:r>
              <w:rPr>
                <w:b/>
                <w:bCs/>
                <w:color w:val="FFFFFF"/>
                <w:sz w:val="18"/>
                <w:szCs w:val="18"/>
              </w:rPr>
              <w:t xml:space="preserve">Evidence Location</w:t>
            </w:r>
          </w:p>
        </w:tc>
        <w:tc>
          <w:tcPr>
            <w:tcW w:type="dxa" w:w="3200"/>
            <w:shd w:fill="1F3864" w:val="clear"/>
          </w:tcPr>
          <w:p>
            <w:r>
              <w:rPr>
                <w:b/>
                <w:bCs/>
                <w:color w:val="FFFFFF"/>
                <w:sz w:val="18"/>
                <w:szCs w:val="18"/>
              </w:rPr>
              <w:t xml:space="preserve">Status</w:t>
            </w:r>
          </w:p>
        </w:tc>
      </w:tr>
      <w:tr>
        <w:tc>
          <w:tcPr>
            <w:tcW w:type="dxa" w:w="2600"/>
          </w:tcPr>
          <w:p>
            <w:r>
              <w:rPr>
                <w:b w:val="false"/>
                <w:bCs w:val="false"/>
                <w:sz w:val="18"/>
                <w:szCs w:val="18"/>
              </w:rPr>
              <w:t xml:space="preserve">AR → EGD</w:t>
            </w:r>
          </w:p>
        </w:tc>
        <w:tc>
          <w:tcPr>
            <w:tcW w:type="dxa" w:w="3400"/>
          </w:tcPr>
          <w:p>
            <w:r>
              <w:rPr>
                <w:b w:val="false"/>
                <w:bCs w:val="false"/>
                <w:sz w:val="18"/>
                <w:szCs w:val="18"/>
              </w:rPr>
              <w:t xml:space="preserve">Phase A.3 §7; Section 10.7, 10.8</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EGD → ER / VAR</w:t>
            </w:r>
          </w:p>
        </w:tc>
        <w:tc>
          <w:tcPr>
            <w:tcW w:type="dxa" w:w="3400"/>
          </w:tcPr>
          <w:p>
            <w:r>
              <w:rPr>
                <w:b w:val="false"/>
                <w:bCs w:val="false"/>
                <w:sz w:val="18"/>
                <w:szCs w:val="18"/>
              </w:rPr>
              <w:t xml:space="preserve">Phase A.3; Section 10.7 §"Enterprise Resolutions / Variances"</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ER/VAR → WP</w:t>
            </w:r>
          </w:p>
        </w:tc>
        <w:tc>
          <w:tcPr>
            <w:tcW w:type="dxa" w:w="3400"/>
          </w:tcPr>
          <w:p>
            <w:r>
              <w:rPr>
                <w:b w:val="false"/>
                <w:bCs w:val="false"/>
                <w:sz w:val="18"/>
                <w:szCs w:val="18"/>
              </w:rPr>
              <w:t xml:space="preserve">Section 2 Engineering Catalog; Section 10.3</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WP → Wave</w:t>
            </w:r>
          </w:p>
        </w:tc>
        <w:tc>
          <w:tcPr>
            <w:tcW w:type="dxa" w:w="3400"/>
          </w:tcPr>
          <w:p>
            <w:r>
              <w:rPr>
                <w:b w:val="false"/>
                <w:bCs w:val="false"/>
                <w:sz w:val="18"/>
                <w:szCs w:val="18"/>
              </w:rPr>
              <w:t xml:space="preserve">Section 5 Implementation Blueprint; Section 10.5</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WP → Verification</w:t>
            </w:r>
          </w:p>
        </w:tc>
        <w:tc>
          <w:tcPr>
            <w:tcW w:type="dxa" w:w="3400"/>
          </w:tcPr>
          <w:p>
            <w:r>
              <w:rPr>
                <w:b w:val="false"/>
                <w:bCs w:val="false"/>
                <w:sz w:val="18"/>
                <w:szCs w:val="18"/>
              </w:rPr>
              <w:t xml:space="preserve">Section 7 Testing &amp; Verification Strategy; Section 10.8</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WP → Acceptance</w:t>
            </w:r>
          </w:p>
        </w:tc>
        <w:tc>
          <w:tcPr>
            <w:tcW w:type="dxa" w:w="3400"/>
          </w:tcPr>
          <w:p>
            <w:r>
              <w:rPr>
                <w:b w:val="false"/>
                <w:bCs w:val="false"/>
                <w:sz w:val="18"/>
                <w:szCs w:val="18"/>
              </w:rPr>
              <w:t xml:space="preserve">Section 9 Acceptance Criteria; Section 10.11</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Readiness → Executive Decision → Scorecard</w:t>
            </w:r>
          </w:p>
        </w:tc>
        <w:tc>
          <w:tcPr>
            <w:tcW w:type="dxa" w:w="3400"/>
          </w:tcPr>
          <w:p>
            <w:r>
              <w:rPr>
                <w:b w:val="false"/>
                <w:bCs w:val="false"/>
                <w:sz w:val="18"/>
                <w:szCs w:val="18"/>
              </w:rPr>
              <w:t xml:space="preserve">Section 10.12, 10.13, 10.14</w:t>
            </w:r>
          </w:p>
        </w:tc>
        <w:tc>
          <w:tcPr>
            <w:tcW w:type="dxa" w:w="3200"/>
            <w:shd w:fill="DCE9D5" w:val="clear"/>
          </w:tcPr>
          <w:p>
            <w:r>
              <w:rPr>
                <w:b w:val="false"/>
                <w:bCs w:val="false"/>
                <w:sz w:val="18"/>
                <w:szCs w:val="18"/>
              </w:rPr>
              <w:t xml:space="preserve">Validated</w:t>
            </w:r>
          </w:p>
        </w:tc>
      </w:tr>
      <w:tr>
        <w:tc>
          <w:tcPr>
            <w:tcW w:type="dxa" w:w="2600"/>
          </w:tcPr>
          <w:p>
            <w:r>
              <w:rPr>
                <w:b w:val="false"/>
                <w:bCs w:val="false"/>
                <w:sz w:val="18"/>
                <w:szCs w:val="18"/>
              </w:rPr>
              <w:t xml:space="preserve">AR-0005 / AR-0006 / AR-0008 / AR-0009 forward-traceability density</w:t>
            </w:r>
          </w:p>
        </w:tc>
        <w:tc>
          <w:tcPr>
            <w:tcW w:type="dxa" w:w="3400"/>
          </w:tcPr>
          <w:p>
            <w:r>
              <w:rPr>
                <w:b w:val="false"/>
                <w:bCs w:val="false"/>
                <w:sz w:val="18"/>
                <w:szCs w:val="18"/>
              </w:rPr>
              <w:t xml:space="preserve">Cross-document reference count 8–11 documents vs. 17–23 for other ARs</w:t>
            </w:r>
          </w:p>
        </w:tc>
        <w:tc>
          <w:tcPr>
            <w:tcW w:type="dxa" w:w="3200"/>
            <w:shd w:fill="FCE8B2" w:val="clear"/>
          </w:tcPr>
          <w:p>
            <w:r>
              <w:rPr>
                <w:b w:val="false"/>
                <w:bCs w:val="false"/>
                <w:sz w:val="18"/>
                <w:szCs w:val="18"/>
              </w:rPr>
              <w:t xml:space="preserve">Partially Validated</w:t>
            </w:r>
          </w:p>
        </w:tc>
      </w:tr>
    </w:tbl>
    <w:p>
      <w:pPr>
        <w:spacing w:after="160"/>
      </w:pPr>
      <w:r>
        <w:rPr>
          <w:b w:val="false"/>
          <w:bCs w:val="false"/>
          <w:i w:val="false"/>
          <w:iCs w:val="false"/>
          <w:sz w:val="21"/>
          <w:szCs w:val="21"/>
        </w:rPr>
        <w:t xml:space="preserve">The full chain is intact and evidenced end to end for all six Work Packages and all eight portfolios. Four Architecture Requirements (AR-0005, AR-0006, AR-0008, AR-0009) are referenced in fewer downstream documents than the remaining six; this is consistent with those requirements mapping to a narrower portion of the current Work Package scope rather than an indication of a broken trace, but it is flagged as Partially Validated pending explicit confirmation in a future work package that no forward reference was dropped.</w:t>
      </w:r>
    </w:p>
    <w:p>
      <w:pPr>
        <w:pStyle w:val="Heading1"/>
        <w:spacing w:after="160" w:before="320"/>
      </w:pPr>
      <w:r>
        <w:t xml:space="preserve">6. Cross-Document Consistency Review</w:t>
      </w:r>
    </w:p>
    <w:p>
      <w:pPr>
        <w:spacing w:after="160"/>
      </w:pPr>
      <w:r>
        <w:rPr>
          <w:b w:val="false"/>
          <w:bCs w:val="false"/>
          <w:i w:val="false"/>
          <w:iCs w:val="false"/>
          <w:sz w:val="21"/>
          <w:szCs w:val="21"/>
        </w:rPr>
        <w:t xml:space="preserve">Numeric totals for every artifact class were independently restated in multiple documents across Phase A, Phase B, and the Phase C dashboard suite (e.g., "all ten Architecture Requirements," "all six Work Packages," "nine Enterprise Governance Decisions," "3 of 8 portfolios active"). In every instance sampled, the restated total matched the identifier count established in Section 4.</w:t>
      </w:r>
    </w:p>
    <w:p>
      <w:pPr>
        <w:spacing w:after="160"/>
      </w:pPr>
      <w:r>
        <w:rPr>
          <w:b w:val="false"/>
          <w:bCs w:val="false"/>
          <w:i w:val="false"/>
          <w:iCs w:val="false"/>
          <w:sz w:val="21"/>
          <w:szCs w:val="21"/>
        </w:rPr>
        <w:t xml:space="preserve">Execution status is also stated consistently: as of this baseline, zero of the six Work Packages have moved beyond specification into execution, verification, or acceptance, and this is stated uniformly across Sections 10.2, 10.3, 10.5, 10.8, and 10.9 rather than varying by document.</w:t>
      </w:r>
    </w:p>
    <w:p>
      <w:pPr>
        <w:spacing w:after="160"/>
      </w:pPr>
      <w:r>
        <w:rPr>
          <w:b w:val="false"/>
          <w:bCs w:val="false"/>
          <w:i w:val="false"/>
          <w:iCs w:val="false"/>
          <w:sz w:val="21"/>
          <w:szCs w:val="21"/>
        </w:rPr>
        <w:t xml:space="preserve">Cross-Document Consistency: Validated. No numeric or status contradiction was found between any two documents in the repository.</w:t>
      </w:r>
    </w:p>
    <w:p>
      <w:pPr>
        <w:pStyle w:val="Heading1"/>
        <w:spacing w:after="160" w:before="320"/>
      </w:pPr>
      <w:r>
        <w:t xml:space="preserve">7. Executive Dashboard 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800"/>
      </w:tblGrid>
      <w:tr>
        <w:trPr>
          <w:tblHeader/>
        </w:trPr>
        <w:tc>
          <w:tcPr>
            <w:tcW w:type="dxa" w:w="2400"/>
            <w:shd w:fill="1F3864" w:val="clear"/>
          </w:tcPr>
          <w:p>
            <w:r>
              <w:rPr>
                <w:b/>
                <w:bCs/>
                <w:color w:val="FFFFFF"/>
                <w:sz w:val="18"/>
                <w:szCs w:val="18"/>
              </w:rPr>
              <w:t xml:space="preserve">Check</w:t>
            </w:r>
          </w:p>
        </w:tc>
        <w:tc>
          <w:tcPr>
            <w:tcW w:type="dxa" w:w="5000"/>
            <w:shd w:fill="1F3864" w:val="clear"/>
          </w:tcPr>
          <w:p>
            <w:r>
              <w:rPr>
                <w:b/>
                <w:bCs/>
                <w:color w:val="FFFFFF"/>
                <w:sz w:val="18"/>
                <w:szCs w:val="18"/>
              </w:rPr>
              <w:t xml:space="preserve">Finding</w:t>
            </w:r>
          </w:p>
        </w:tc>
        <w:tc>
          <w:tcPr>
            <w:tcW w:type="dxa" w:w="1800"/>
            <w:shd w:fill="1F3864" w:val="clear"/>
          </w:tcPr>
          <w:p>
            <w:r>
              <w:rPr>
                <w:b/>
                <w:bCs/>
                <w:color w:val="FFFFFF"/>
                <w:sz w:val="18"/>
                <w:szCs w:val="18"/>
              </w:rPr>
              <w:t xml:space="preserve">Status</w:t>
            </w:r>
          </w:p>
        </w:tc>
      </w:tr>
      <w:tr>
        <w:tc>
          <w:tcPr>
            <w:tcW w:type="dxa" w:w="2400"/>
          </w:tcPr>
          <w:p>
            <w:r>
              <w:rPr>
                <w:b w:val="false"/>
                <w:bCs w:val="false"/>
                <w:sz w:val="18"/>
                <w:szCs w:val="18"/>
              </w:rPr>
              <w:t xml:space="preserve">Scope coverage (10.1–10.14)</w:t>
            </w:r>
          </w:p>
        </w:tc>
        <w:tc>
          <w:tcPr>
            <w:tcW w:type="dxa" w:w="5000"/>
          </w:tcPr>
          <w:p>
            <w:r>
              <w:rPr>
                <w:b w:val="false"/>
                <w:bCs w:val="false"/>
                <w:sz w:val="18"/>
                <w:szCs w:val="18"/>
              </w:rPr>
              <w:t xml:space="preserve">All 14 sub-dashboards present and cross-referenced to Sections 1–9 and to each other</w:t>
            </w:r>
          </w:p>
        </w:tc>
        <w:tc>
          <w:tcPr>
            <w:tcW w:type="dxa" w:w="1800"/>
            <w:shd w:fill="DCE9D5" w:val="clear"/>
          </w:tcPr>
          <w:p>
            <w:r>
              <w:rPr>
                <w:b w:val="false"/>
                <w:bCs w:val="false"/>
                <w:sz w:val="18"/>
                <w:szCs w:val="18"/>
              </w:rPr>
              <w:t xml:space="preserve">Validated</w:t>
            </w:r>
          </w:p>
        </w:tc>
      </w:tr>
      <w:tr>
        <w:tc>
          <w:tcPr>
            <w:tcW w:type="dxa" w:w="2400"/>
          </w:tcPr>
          <w:p>
            <w:r>
              <w:rPr>
                <w:b w:val="false"/>
                <w:bCs w:val="false"/>
                <w:sz w:val="18"/>
                <w:szCs w:val="18"/>
              </w:rPr>
              <w:t xml:space="preserve">Evidence-first statement</w:t>
            </w:r>
          </w:p>
        </w:tc>
        <w:tc>
          <w:tcPr>
            <w:tcW w:type="dxa" w:w="5000"/>
          </w:tcPr>
          <w:p>
            <w:r>
              <w:rPr>
                <w:b w:val="false"/>
                <w:bCs w:val="false"/>
                <w:sz w:val="18"/>
                <w:szCs w:val="18"/>
              </w:rPr>
              <w:t xml:space="preserve">Present verbatim in each sub-dashboard and in the superseded consolidated predecessor</w:t>
            </w:r>
          </w:p>
        </w:tc>
        <w:tc>
          <w:tcPr>
            <w:tcW w:type="dxa" w:w="1800"/>
            <w:shd w:fill="DCE9D5" w:val="clear"/>
          </w:tcPr>
          <w:p>
            <w:r>
              <w:rPr>
                <w:b w:val="false"/>
                <w:bCs w:val="false"/>
                <w:sz w:val="18"/>
                <w:szCs w:val="18"/>
              </w:rPr>
              <w:t xml:space="preserve">Validated</w:t>
            </w:r>
          </w:p>
        </w:tc>
      </w:tr>
      <w:tr>
        <w:tc>
          <w:tcPr>
            <w:tcW w:type="dxa" w:w="2400"/>
          </w:tcPr>
          <w:p>
            <w:r>
              <w:rPr>
                <w:b w:val="false"/>
                <w:bCs w:val="false"/>
                <w:sz w:val="18"/>
                <w:szCs w:val="18"/>
              </w:rPr>
              <w:t xml:space="preserve">Duplicate file location</w:t>
            </w:r>
          </w:p>
        </w:tc>
        <w:tc>
          <w:tcPr>
            <w:tcW w:type="dxa" w:w="5000"/>
          </w:tcPr>
          <w:p>
            <w:r>
              <w:rPr>
                <w:b w:val="false"/>
                <w:bCs w:val="false"/>
                <w:sz w:val="18"/>
                <w:szCs w:val="18"/>
              </w:rPr>
              <w:t xml:space="preserve">Section 10.1 (Executive Overview) exists as a byte-identical file under two repository paths: core/supabase/docs/ERP-01 Phase C/ and core/supabase/docs/architecture/ERP-01 Phase C/</w:t>
            </w:r>
          </w:p>
        </w:tc>
        <w:tc>
          <w:tcPr>
            <w:tcW w:type="dxa" w:w="1800"/>
            <w:shd w:fill="FCE8B2" w:val="clear"/>
          </w:tcPr>
          <w:p>
            <w:r>
              <w:rPr>
                <w:b w:val="false"/>
                <w:bCs w:val="false"/>
                <w:sz w:val="18"/>
                <w:szCs w:val="18"/>
              </w:rPr>
              <w:t xml:space="preserve">Partially Validated</w:t>
            </w:r>
          </w:p>
        </w:tc>
      </w:tr>
      <w:tr>
        <w:tc>
          <w:tcPr>
            <w:tcW w:type="dxa" w:w="2400"/>
          </w:tcPr>
          <w:p>
            <w:r>
              <w:rPr>
                <w:b w:val="false"/>
                <w:bCs w:val="false"/>
                <w:sz w:val="18"/>
                <w:szCs w:val="18"/>
              </w:rPr>
              <w:t xml:space="preserve">Superseded predecessor document</w:t>
            </w:r>
          </w:p>
        </w:tc>
        <w:tc>
          <w:tcPr>
            <w:tcW w:type="dxa" w:w="5000"/>
          </w:tcPr>
          <w:p>
            <w:r>
              <w:rPr>
                <w:b w:val="false"/>
                <w:bCs w:val="false"/>
                <w:sz w:val="18"/>
                <w:szCs w:val="18"/>
              </w:rPr>
              <w:t xml:space="preserve">A consolidated, single-file "Section 10 — Executive Engineering Dashboard" exists in a separate folder (core/supabase/docs/architecture/ERP/), created before the 14-part split (repository timestamps: consolidated file precedes the first Section 10.1 file by approximately 20 minutes)</w:t>
            </w:r>
          </w:p>
        </w:tc>
        <w:tc>
          <w:tcPr>
            <w:tcW w:type="dxa" w:w="1800"/>
            <w:shd w:fill="FCE8B2" w:val="clear"/>
          </w:tcPr>
          <w:p>
            <w:r>
              <w:rPr>
                <w:b w:val="false"/>
                <w:bCs w:val="false"/>
                <w:sz w:val="18"/>
                <w:szCs w:val="18"/>
              </w:rPr>
              <w:t xml:space="preserve">Partially Validated</w:t>
            </w:r>
          </w:p>
        </w:tc>
      </w:tr>
      <w:tr>
        <w:tc>
          <w:tcPr>
            <w:tcW w:type="dxa" w:w="2400"/>
          </w:tcPr>
          <w:p>
            <w:r>
              <w:rPr>
                <w:b w:val="false"/>
                <w:bCs w:val="false"/>
                <w:sz w:val="18"/>
                <w:szCs w:val="18"/>
              </w:rPr>
              <w:t xml:space="preserve">Filename convention</w:t>
            </w:r>
          </w:p>
        </w:tc>
        <w:tc>
          <w:tcPr>
            <w:tcW w:type="dxa" w:w="5000"/>
          </w:tcPr>
          <w:p>
            <w:r>
              <w:rPr>
                <w:b w:val="false"/>
                <w:bCs w:val="false"/>
                <w:sz w:val="18"/>
                <w:szCs w:val="18"/>
              </w:rPr>
              <w:t xml:space="preserve">Section 10.1 is filed as "Section10_Section1_Executive_Overview," inconsistent with the "Section10.2"–"Section10.14" pattern used by the remaining 13 sub-dashboards</w:t>
            </w:r>
          </w:p>
        </w:tc>
        <w:tc>
          <w:tcPr>
            <w:tcW w:type="dxa" w:w="1800"/>
            <w:shd w:fill="F5D6D6" w:val="clear"/>
          </w:tcPr>
          <w:p>
            <w:r>
              <w:rPr>
                <w:b w:val="false"/>
                <w:bCs w:val="false"/>
                <w:sz w:val="18"/>
                <w:szCs w:val="18"/>
              </w:rPr>
              <w:t xml:space="preserve">Not Evidenced in Current Baseline</w:t>
            </w:r>
          </w:p>
        </w:tc>
      </w:tr>
      <w:tr>
        <w:tc>
          <w:tcPr>
            <w:tcW w:type="dxa" w:w="2400"/>
          </w:tcPr>
          <w:p>
            <w:r>
              <w:rPr>
                <w:b w:val="false"/>
                <w:bCs w:val="false"/>
                <w:sz w:val="18"/>
                <w:szCs w:val="18"/>
              </w:rPr>
              <w:t xml:space="preserve">Executive usability</w:t>
            </w:r>
          </w:p>
        </w:tc>
        <w:tc>
          <w:tcPr>
            <w:tcW w:type="dxa" w:w="5000"/>
          </w:tcPr>
          <w:p>
            <w:r>
              <w:rPr>
                <w:b w:val="false"/>
                <w:bCs w:val="false"/>
                <w:sz w:val="18"/>
                <w:szCs w:val="18"/>
              </w:rPr>
              <w:t xml:space="preserve">Each sub-dashboard restates scope and cross-references its source sections, so no single document is required to be read in isolation</w:t>
            </w:r>
          </w:p>
        </w:tc>
        <w:tc>
          <w:tcPr>
            <w:tcW w:type="dxa" w:w="1800"/>
            <w:shd w:fill="DCE9D5" w:val="clear"/>
          </w:tcPr>
          <w:p>
            <w:r>
              <w:rPr>
                <w:b w:val="false"/>
                <w:bCs w:val="false"/>
                <w:sz w:val="18"/>
                <w:szCs w:val="18"/>
              </w:rPr>
              <w:t xml:space="preserve">Validated</w:t>
            </w:r>
          </w:p>
        </w:tc>
      </w:tr>
    </w:tbl>
    <w:p>
      <w:pPr>
        <w:spacing w:after="160"/>
      </w:pPr>
      <w:r>
        <w:rPr>
          <w:b w:val="false"/>
          <w:bCs w:val="false"/>
          <w:i w:val="false"/>
          <w:iCs w:val="false"/>
          <w:sz w:val="21"/>
          <w:szCs w:val="21"/>
        </w:rPr>
        <w:t xml:space="preserve">Recommendation (validation-only; no repository change made by this report): retain the Section 10.1–10.14 suite as the canonical Executive Dashboard Suite, formally mark or remove the superseded consolidated predecessor document, consolidate the duplicate Section 10.1 file to a single canonical path, and rename the Section 10.1 file to match the "Section10.X" convention used elsewhere in the suite.</w:t>
      </w:r>
    </w:p>
    <w:p>
      <w:pPr>
        <w:pStyle w:val="Heading1"/>
        <w:spacing w:after="160" w:before="320"/>
      </w:pPr>
      <w:r>
        <w:t xml:space="preserve">8. Governance Consistency Review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rPr>
          <w:tblHeader/>
        </w:trPr>
        <w:tc>
          <w:tcPr>
            <w:tcW w:type="dxa" w:w="2600"/>
            <w:shd w:fill="1F3864" w:val="clear"/>
          </w:tcPr>
          <w:p>
            <w:r>
              <w:rPr>
                <w:b/>
                <w:bCs/>
                <w:color w:val="FFFFFF"/>
                <w:sz w:val="18"/>
                <w:szCs w:val="18"/>
              </w:rPr>
              <w:t xml:space="preserve">Check</w:t>
            </w:r>
          </w:p>
        </w:tc>
        <w:tc>
          <w:tcPr>
            <w:tcW w:type="dxa" w:w="5000"/>
            <w:shd w:fill="1F3864" w:val="clear"/>
          </w:tcPr>
          <w:p>
            <w:r>
              <w:rPr>
                <w:b/>
                <w:bCs/>
                <w:color w:val="FFFFFF"/>
                <w:sz w:val="18"/>
                <w:szCs w:val="18"/>
              </w:rPr>
              <w:t xml:space="preserve">Finding</w:t>
            </w:r>
          </w:p>
        </w:tc>
        <w:tc>
          <w:tcPr>
            <w:tcW w:type="dxa" w:w="1600"/>
            <w:shd w:fill="1F3864" w:val="clear"/>
          </w:tcPr>
          <w:p>
            <w:r>
              <w:rPr>
                <w:b/>
                <w:bCs/>
                <w:color w:val="FFFFFF"/>
                <w:sz w:val="18"/>
                <w:szCs w:val="18"/>
              </w:rPr>
              <w:t xml:space="preserve">Status</w:t>
            </w:r>
          </w:p>
        </w:tc>
      </w:tr>
      <w:tr>
        <w:tc>
          <w:tcPr>
            <w:tcW w:type="dxa" w:w="2600"/>
          </w:tcPr>
          <w:p>
            <w:r>
              <w:rPr>
                <w:b w:val="false"/>
                <w:bCs w:val="false"/>
                <w:sz w:val="18"/>
                <w:szCs w:val="18"/>
              </w:rPr>
              <w:t xml:space="preserve">Validation vocabulary</w:t>
            </w:r>
          </w:p>
        </w:tc>
        <w:tc>
          <w:tcPr>
            <w:tcW w:type="dxa" w:w="5000"/>
          </w:tcPr>
          <w:p>
            <w:r>
              <w:rPr>
                <w:b w:val="false"/>
                <w:bCs w:val="false"/>
                <w:sz w:val="18"/>
                <w:szCs w:val="18"/>
              </w:rPr>
              <w:t xml:space="preserve">"Validated / Partially Validated / Not Evidenced in Current Baseline / Reserved for Future Realization Phases" used consistently throughout the dashboard suite</w:t>
            </w:r>
          </w:p>
        </w:tc>
        <w:tc>
          <w:tcPr>
            <w:tcW w:type="dxa" w:w="1600"/>
            <w:shd w:fill="DCE9D5" w:val="clear"/>
          </w:tcPr>
          <w:p>
            <w:r>
              <w:rPr>
                <w:b w:val="false"/>
                <w:bCs w:val="false"/>
                <w:sz w:val="18"/>
                <w:szCs w:val="18"/>
              </w:rPr>
              <w:t xml:space="preserve">Validated</w:t>
            </w:r>
          </w:p>
        </w:tc>
      </w:tr>
      <w:tr>
        <w:tc>
          <w:tcPr>
            <w:tcW w:type="dxa" w:w="2600"/>
          </w:tcPr>
          <w:p>
            <w:r>
              <w:rPr>
                <w:b w:val="false"/>
                <w:bCs w:val="false"/>
                <w:sz w:val="18"/>
                <w:szCs w:val="18"/>
              </w:rPr>
              <w:t xml:space="preserve">Document status labeling</w:t>
            </w:r>
          </w:p>
        </w:tc>
        <w:tc>
          <w:tcPr>
            <w:tcW w:type="dxa" w:w="5000"/>
          </w:tcPr>
          <w:p>
            <w:r>
              <w:rPr>
                <w:b w:val="false"/>
                <w:bCs w:val="false"/>
                <w:sz w:val="18"/>
                <w:szCs w:val="18"/>
              </w:rPr>
              <w:t xml:space="preserve">Every reviewed document is labeled "Version 1.0 | Status: DRAFT FOR REVIEW"</w:t>
            </w:r>
          </w:p>
        </w:tc>
        <w:tc>
          <w:tcPr>
            <w:tcW w:type="dxa" w:w="1600"/>
            <w:shd w:fill="DCE9D5" w:val="clear"/>
          </w:tcPr>
          <w:p>
            <w:r>
              <w:rPr>
                <w:b w:val="false"/>
                <w:bCs w:val="false"/>
                <w:sz w:val="18"/>
                <w:szCs w:val="18"/>
              </w:rPr>
              <w:t xml:space="preserve">Validated</w:t>
            </w:r>
          </w:p>
        </w:tc>
      </w:tr>
      <w:tr>
        <w:tc>
          <w:tcPr>
            <w:tcW w:type="dxa" w:w="2600"/>
          </w:tcPr>
          <w:p>
            <w:r>
              <w:rPr>
                <w:b w:val="false"/>
                <w:bCs w:val="false"/>
                <w:sz w:val="18"/>
                <w:szCs w:val="18"/>
              </w:rPr>
              <w:t xml:space="preserve">Non-redesign constraint</w:t>
            </w:r>
          </w:p>
        </w:tc>
        <w:tc>
          <w:tcPr>
            <w:tcW w:type="dxa" w:w="5000"/>
          </w:tcPr>
          <w:p>
            <w:r>
              <w:rPr>
                <w:b w:val="false"/>
                <w:bCs w:val="false"/>
                <w:sz w:val="18"/>
                <w:szCs w:val="18"/>
              </w:rPr>
              <w:t xml:space="preserve">Every Phase C document, including the dashboards, explicitly states it performs no new architecture, governance, or Work Package creation</w:t>
            </w:r>
          </w:p>
        </w:tc>
        <w:tc>
          <w:tcPr>
            <w:tcW w:type="dxa" w:w="1600"/>
            <w:shd w:fill="DCE9D5" w:val="clear"/>
          </w:tcPr>
          <w:p>
            <w:r>
              <w:rPr>
                <w:b w:val="false"/>
                <w:bCs w:val="false"/>
                <w:sz w:val="18"/>
                <w:szCs w:val="18"/>
              </w:rPr>
              <w:t xml:space="preserve">Validated</w:t>
            </w:r>
          </w:p>
        </w:tc>
      </w:tr>
      <w:tr>
        <w:tc>
          <w:tcPr>
            <w:tcW w:type="dxa" w:w="2600"/>
          </w:tcPr>
          <w:p>
            <w:r>
              <w:rPr>
                <w:b w:val="false"/>
                <w:bCs w:val="false"/>
                <w:sz w:val="18"/>
                <w:szCs w:val="18"/>
              </w:rPr>
              <w:t xml:space="preserve">Accountable ownership (AP-009)</w:t>
            </w:r>
          </w:p>
        </w:tc>
        <w:tc>
          <w:tcPr>
            <w:tcW w:type="dxa" w:w="5000"/>
          </w:tcPr>
          <w:p>
            <w:r>
              <w:rPr>
                <w:b w:val="false"/>
                <w:bCs w:val="false"/>
                <w:sz w:val="18"/>
                <w:szCs w:val="18"/>
              </w:rPr>
              <w:t xml:space="preserve">All nine EGD owner fields remain unassigned; consistently reported as open across Phase A.3 and 9+ Phase C documents rather than silently dropped</w:t>
            </w:r>
          </w:p>
        </w:tc>
        <w:tc>
          <w:tcPr>
            <w:tcW w:type="dxa" w:w="1600"/>
            <w:shd w:fill="F5D6D6" w:val="clear"/>
          </w:tcPr>
          <w:p>
            <w:r>
              <w:rPr>
                <w:b w:val="false"/>
                <w:bCs w:val="false"/>
                <w:sz w:val="18"/>
                <w:szCs w:val="18"/>
              </w:rPr>
              <w:t xml:space="preserve">Not Evidenced in Current Baseline</w:t>
            </w:r>
          </w:p>
        </w:tc>
      </w:tr>
      <w:tr>
        <w:tc>
          <w:tcPr>
            <w:tcW w:type="dxa" w:w="2600"/>
          </w:tcPr>
          <w:p>
            <w:r>
              <w:rPr>
                <w:b w:val="false"/>
                <w:bCs w:val="false"/>
                <w:sz w:val="18"/>
                <w:szCs w:val="18"/>
              </w:rPr>
              <w:t xml:space="preserve">Target-state governance framing</w:t>
            </w:r>
          </w:p>
        </w:tc>
        <w:tc>
          <w:tcPr>
            <w:tcW w:type="dxa" w:w="5000"/>
          </w:tcPr>
          <w:p>
            <w:r>
              <w:rPr>
                <w:b w:val="false"/>
                <w:bCs w:val="false"/>
                <w:sz w:val="18"/>
                <w:szCs w:val="18"/>
              </w:rPr>
              <w:t xml:space="preserve">Dashboard documents explicitly disclaim that referenced bodies (Enterprise Architecture Board, Executive Steering Committee, Portfolio Governance Board, CIO, CTO, PMO) describe target-state roles, not evidence that an operating governance body currently exists</w:t>
            </w:r>
          </w:p>
        </w:tc>
        <w:tc>
          <w:tcPr>
            <w:tcW w:type="dxa" w:w="1600"/>
            <w:shd w:fill="DCE9D5" w:val="clear"/>
          </w:tcPr>
          <w:p>
            <w:r>
              <w:rPr>
                <w:b w:val="false"/>
                <w:bCs w:val="false"/>
                <w:sz w:val="18"/>
                <w:szCs w:val="18"/>
              </w:rPr>
              <w:t xml:space="preserve">Validated</w:t>
            </w:r>
          </w:p>
        </w:tc>
      </w:tr>
    </w:tbl>
    <w:p>
      <w:pPr>
        <w:spacing w:after="160"/>
      </w:pPr>
      <w:r>
        <w:rPr>
          <w:b w:val="false"/>
          <w:bCs w:val="false"/>
          <w:i w:val="false"/>
          <w:iCs w:val="false"/>
          <w:sz w:val="21"/>
          <w:szCs w:val="21"/>
        </w:rPr>
        <w:t xml:space="preserve">Governance terminology and document classification are applied uniformly. The one open governance item identified — unassigned accountable ownership for all nine Enterprise Governance Decisions (AP-009) — is not a new finding of this report; it is an item the ERP-01 baseline itself already tracks as outstanding, and this validation confirms it has not been silently resolved or dropped from any downstream document.</w:t>
      </w:r>
    </w:p>
    <w:p>
      <w:pPr>
        <w:spacing w:after="160"/>
      </w:pPr>
      <w:r>
        <w:rPr>
          <w:b w:val="false"/>
          <w:bCs w:val="false"/>
          <w:i w:val="false"/>
          <w:iCs w:val="false"/>
          <w:sz w:val="21"/>
          <w:szCs w:val="21"/>
        </w:rPr>
        <w:t xml:space="preserve">A second governance-framing discipline was also confirmed: dashboard documents that reference governance bodies (an Enterprise Architecture Board, Executive Steering Committee, Portfolio Governance Board, CIO, CTO, and PMO) carry an explicit note that these are target-state roles the program is designed to grow into, not evidence that such a body currently exists or has performed operational governance. This framing was found stated consistently rather than asserted in some documents and omitted in others, which reduces the risk that a reader mistakes planning language for a claim of present-day institutional review.</w:t>
      </w:r>
    </w:p>
    <w:p>
      <w:pPr>
        <w:pStyle w:val="Heading1"/>
        <w:spacing w:after="160" w:before="320"/>
      </w:pPr>
      <w:r>
        <w:t xml:space="preserve">9. Repository Quality Findings</w:t>
      </w:r>
    </w:p>
    <w:p>
      <w:pPr>
        <w:pStyle w:val="Heading2"/>
        <w:spacing w:after="120" w:before="240"/>
      </w:pPr>
      <w:r>
        <w:t xml:space="preserve">9.1 Strengths</w:t>
      </w:r>
    </w:p>
    <w:p>
      <w:pPr>
        <w:pStyle w:val="ListParagraph"/>
        <w:numPr>
          <w:ilvl w:val="0"/>
          <w:numId w:val="1"/>
        </w:numPr>
        <w:spacing w:after="60"/>
      </w:pPr>
      <w:r>
        <w:rPr>
          <w:sz w:val="21"/>
          <w:szCs w:val="21"/>
        </w:rPr>
        <w:t xml:space="preserve">Identifier counts for every artifact class (AR, EGD, ER, VAR, AP, WP, Portfolio, Wave, KPI) are internally consistent across all 29 documents sampled.</w:t>
      </w:r>
    </w:p>
    <w:p>
      <w:pPr>
        <w:pStyle w:val="ListParagraph"/>
        <w:numPr>
          <w:ilvl w:val="0"/>
          <w:numId w:val="1"/>
        </w:numPr>
        <w:spacing w:after="60"/>
      </w:pPr>
      <w:r>
        <w:rPr>
          <w:sz w:val="21"/>
          <w:szCs w:val="21"/>
        </w:rPr>
        <w:t xml:space="preserve">An evidence-first, non-fabrication discipline is explicitly and repeatedly stated in Phase C documents, including the dashboard suite.</w:t>
      </w:r>
    </w:p>
    <w:p>
      <w:pPr>
        <w:pStyle w:val="ListParagraph"/>
        <w:numPr>
          <w:ilvl w:val="0"/>
          <w:numId w:val="1"/>
        </w:numPr>
        <w:spacing w:after="60"/>
      </w:pPr>
      <w:r>
        <w:rPr>
          <w:sz w:val="21"/>
          <w:szCs w:val="21"/>
        </w:rPr>
        <w:t xml:space="preserve">Work Package sequencing (WP-0006 → WP-0002 → WP-0001 → …) is explicit, dependency-aware, and consistently restated across the Implementation Blueprint and the Wave Progress Dashboard.</w:t>
      </w:r>
    </w:p>
    <w:p>
      <w:pPr>
        <w:pStyle w:val="ListParagraph"/>
        <w:numPr>
          <w:ilvl w:val="0"/>
          <w:numId w:val="1"/>
        </w:numPr>
        <w:spacing w:after="60"/>
      </w:pPr>
      <w:r>
        <w:rPr>
          <w:sz w:val="21"/>
          <w:szCs w:val="21"/>
        </w:rPr>
        <w:t xml:space="preserve">Execution status (zero of six Work Packages executed) is reported uniformly with no contradicting document found.</w:t>
      </w:r>
    </w:p>
    <w:p>
      <w:pPr>
        <w:pStyle w:val="Heading2"/>
        <w:spacing w:after="120" w:before="240"/>
      </w:pPr>
      <w:r>
        <w:t xml:space="preserve">9.2 Minor Observations</w:t>
      </w:r>
    </w:p>
    <w:p>
      <w:pPr>
        <w:pStyle w:val="ListParagraph"/>
        <w:numPr>
          <w:ilvl w:val="0"/>
          <w:numId w:val="1"/>
        </w:numPr>
        <w:spacing w:after="60"/>
      </w:pPr>
      <w:r>
        <w:rPr>
          <w:sz w:val="21"/>
          <w:szCs w:val="21"/>
        </w:rPr>
        <w:t xml:space="preserve">Section 10.1's filename does not follow the "Section10.X" convention used by Sections 10.2–10.14.</w:t>
      </w:r>
    </w:p>
    <w:p>
      <w:pPr>
        <w:pStyle w:val="ListParagraph"/>
        <w:numPr>
          <w:ilvl w:val="0"/>
          <w:numId w:val="1"/>
        </w:numPr>
        <w:spacing w:after="60"/>
      </w:pPr>
      <w:r>
        <w:rPr>
          <w:sz w:val="21"/>
          <w:szCs w:val="21"/>
        </w:rPr>
        <w:t xml:space="preserve">Four Architecture Requirements (AR-0005, AR-0006, AR-0008, AR-0009) show materially lower downstream cross-reference density than the other six.</w:t>
      </w:r>
    </w:p>
    <w:p>
      <w:pPr>
        <w:pStyle w:val="Heading2"/>
        <w:spacing w:after="120" w:before="240"/>
      </w:pPr>
      <w:r>
        <w:t xml:space="preserve">9.3 Improvement Opportunities</w:t>
      </w:r>
    </w:p>
    <w:p>
      <w:pPr>
        <w:pStyle w:val="ListParagraph"/>
        <w:numPr>
          <w:ilvl w:val="0"/>
          <w:numId w:val="1"/>
        </w:numPr>
        <w:spacing w:after="60"/>
      </w:pPr>
      <w:r>
        <w:rPr>
          <w:sz w:val="21"/>
          <w:szCs w:val="21"/>
        </w:rPr>
        <w:t xml:space="preserve">A duplicate copy of the Section 10.1 Executive Overview exists at two repository paths; consolidate to one canonical location.</w:t>
      </w:r>
    </w:p>
    <w:p>
      <w:pPr>
        <w:pStyle w:val="ListParagraph"/>
        <w:numPr>
          <w:ilvl w:val="0"/>
          <w:numId w:val="1"/>
        </w:numPr>
        <w:spacing w:after="60"/>
      </w:pPr>
      <w:r>
        <w:rPr>
          <w:sz w:val="21"/>
          <w:szCs w:val="21"/>
        </w:rPr>
        <w:t xml:space="preserve">A superseded, consolidated single-document Executive Engineering Dashboard remains in the repository alongside its replacement, the Section 10.1–10.14 split suite; archive or remove it to avoid ambiguity about which is canonical.</w:t>
      </w:r>
    </w:p>
    <w:p>
      <w:pPr>
        <w:pStyle w:val="ListParagraph"/>
        <w:numPr>
          <w:ilvl w:val="0"/>
          <w:numId w:val="1"/>
        </w:numPr>
        <w:spacing w:after="60"/>
      </w:pPr>
      <w:r>
        <w:rPr>
          <w:sz w:val="21"/>
          <w:szCs w:val="21"/>
        </w:rPr>
        <w:t xml:space="preserve">The "WP" token is used under two different prefix conventions (ERP-01-WP-0X for five Phase A remediation actions; WP-0001–WP-0006 for six Phase C engineering Work Packages); consider a distinguishing prefix in future phases.</w:t>
      </w:r>
    </w:p>
    <w:p>
      <w:pPr>
        <w:pStyle w:val="ListParagraph"/>
        <w:numPr>
          <w:ilvl w:val="0"/>
          <w:numId w:val="1"/>
        </w:numPr>
        <w:spacing w:after="60"/>
      </w:pPr>
      <w:r>
        <w:rPr>
          <w:sz w:val="21"/>
          <w:szCs w:val="21"/>
        </w:rPr>
        <w:t xml:space="preserve">AP-009 (accountable ownership assignment for all nine EGDs) remains open; this is a pre-existing baseline item, not introduced by this report, and is noted here for closure tracking ahead of Wave 1 execution.</w:t>
      </w:r>
    </w:p>
    <w:p>
      <w:pPr>
        <w:pStyle w:val="Heading1"/>
        <w:spacing w:after="160" w:before="320"/>
      </w:pPr>
      <w:r>
        <w:t xml:space="preserve">10. Baseline Validation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Pr>
          <w:p>
            <w:r>
              <w:rPr>
                <w:b/>
                <w:bCs/>
                <w:color w:val="FFFFFF"/>
                <w:sz w:val="18"/>
                <w:szCs w:val="18"/>
              </w:rPr>
              <w:t xml:space="preserve">Dimension</w:t>
            </w:r>
          </w:p>
        </w:tc>
        <w:tc>
          <w:tcPr>
            <w:tcW w:type="dxa" w:w="6600"/>
            <w:shd w:fill="1F3864" w:val="clear"/>
          </w:tcPr>
          <w:p>
            <w:r>
              <w:rPr>
                <w:b/>
                <w:bCs/>
                <w:color w:val="FFFFFF"/>
                <w:sz w:val="18"/>
                <w:szCs w:val="18"/>
              </w:rPr>
              <w:t xml:space="preserve">Result</w:t>
            </w:r>
          </w:p>
        </w:tc>
      </w:tr>
      <w:tr>
        <w:tc>
          <w:tcPr>
            <w:tcW w:type="dxa" w:w="2600"/>
          </w:tcPr>
          <w:p>
            <w:r>
              <w:rPr>
                <w:b w:val="false"/>
                <w:bCs w:val="false"/>
                <w:sz w:val="18"/>
                <w:szCs w:val="18"/>
              </w:rPr>
              <w:t xml:space="preserve">Repository completeness</w:t>
            </w:r>
          </w:p>
        </w:tc>
        <w:tc>
          <w:tcPr>
            <w:tcW w:type="dxa" w:w="6600"/>
          </w:tcPr>
          <w:p>
            <w:r>
              <w:rPr>
                <w:b w:val="false"/>
                <w:bCs w:val="false"/>
                <w:sz w:val="18"/>
                <w:szCs w:val="18"/>
              </w:rPr>
              <w:t xml:space="preserve">All documents required by Phases A, B, and C are present</w:t>
            </w:r>
          </w:p>
        </w:tc>
      </w:tr>
      <w:tr>
        <w:tc>
          <w:tcPr>
            <w:tcW w:type="dxa" w:w="2600"/>
          </w:tcPr>
          <w:p>
            <w:r>
              <w:rPr>
                <w:b w:val="false"/>
                <w:bCs w:val="false"/>
                <w:sz w:val="18"/>
                <w:szCs w:val="18"/>
              </w:rPr>
              <w:t xml:space="preserve">Architecture consistency</w:t>
            </w:r>
          </w:p>
        </w:tc>
        <w:tc>
          <w:tcPr>
            <w:tcW w:type="dxa" w:w="6600"/>
          </w:tcPr>
          <w:p>
            <w:r>
              <w:rPr>
                <w:b w:val="false"/>
                <w:bCs w:val="false"/>
                <w:sz w:val="18"/>
                <w:szCs w:val="18"/>
              </w:rPr>
              <w:t xml:space="preserve">Consistent identifier totals and cross-references across all classes</w:t>
            </w:r>
          </w:p>
        </w:tc>
      </w:tr>
      <w:tr>
        <w:tc>
          <w:tcPr>
            <w:tcW w:type="dxa" w:w="2600"/>
          </w:tcPr>
          <w:p>
            <w:r>
              <w:rPr>
                <w:b w:val="false"/>
                <w:bCs w:val="false"/>
                <w:sz w:val="18"/>
                <w:szCs w:val="18"/>
              </w:rPr>
              <w:t xml:space="preserve">Identifier integrity</w:t>
            </w:r>
          </w:p>
        </w:tc>
        <w:tc>
          <w:tcPr>
            <w:tcW w:type="dxa" w:w="6600"/>
          </w:tcPr>
          <w:p>
            <w:r>
              <w:rPr>
                <w:b w:val="false"/>
                <w:bCs w:val="false"/>
                <w:sz w:val="18"/>
                <w:szCs w:val="18"/>
              </w:rPr>
              <w:t xml:space="preserve">No duplicate reuse within any namespace; one cross-phase naming overlap noted</w:t>
            </w:r>
          </w:p>
        </w:tc>
      </w:tr>
      <w:tr>
        <w:tc>
          <w:tcPr>
            <w:tcW w:type="dxa" w:w="2600"/>
          </w:tcPr>
          <w:p>
            <w:r>
              <w:rPr>
                <w:b w:val="false"/>
                <w:bCs w:val="false"/>
                <w:sz w:val="18"/>
                <w:szCs w:val="18"/>
              </w:rPr>
              <w:t xml:space="preserve">Traceability</w:t>
            </w:r>
          </w:p>
        </w:tc>
        <w:tc>
          <w:tcPr>
            <w:tcW w:type="dxa" w:w="6600"/>
          </w:tcPr>
          <w:p>
            <w:r>
              <w:rPr>
                <w:b w:val="false"/>
                <w:bCs w:val="false"/>
                <w:sz w:val="18"/>
                <w:szCs w:val="18"/>
              </w:rPr>
              <w:t xml:space="preserve">Full AR→…→Scorecard chain evidenced for all six Work Packages</w:t>
            </w:r>
          </w:p>
        </w:tc>
      </w:tr>
      <w:tr>
        <w:tc>
          <w:tcPr>
            <w:tcW w:type="dxa" w:w="2600"/>
          </w:tcPr>
          <w:p>
            <w:r>
              <w:rPr>
                <w:b w:val="false"/>
                <w:bCs w:val="false"/>
                <w:sz w:val="18"/>
                <w:szCs w:val="18"/>
              </w:rPr>
              <w:t xml:space="preserve">Cross-document consistency</w:t>
            </w:r>
          </w:p>
        </w:tc>
        <w:tc>
          <w:tcPr>
            <w:tcW w:type="dxa" w:w="6600"/>
          </w:tcPr>
          <w:p>
            <w:r>
              <w:rPr>
                <w:b w:val="false"/>
                <w:bCs w:val="false"/>
                <w:sz w:val="18"/>
                <w:szCs w:val="18"/>
              </w:rPr>
              <w:t xml:space="preserve">No numeric or status contradiction found</w:t>
            </w:r>
          </w:p>
        </w:tc>
      </w:tr>
      <w:tr>
        <w:tc>
          <w:tcPr>
            <w:tcW w:type="dxa" w:w="2600"/>
          </w:tcPr>
          <w:p>
            <w:r>
              <w:rPr>
                <w:b w:val="false"/>
                <w:bCs w:val="false"/>
                <w:sz w:val="18"/>
                <w:szCs w:val="18"/>
              </w:rPr>
              <w:t xml:space="preserve">Executive dashboard suite</w:t>
            </w:r>
          </w:p>
        </w:tc>
        <w:tc>
          <w:tcPr>
            <w:tcW w:type="dxa" w:w="6600"/>
          </w:tcPr>
          <w:p>
            <w:r>
              <w:rPr>
                <w:b w:val="false"/>
                <w:bCs w:val="false"/>
                <w:sz w:val="18"/>
                <w:szCs w:val="18"/>
              </w:rPr>
              <w:t xml:space="preserve">Complete and internally cross-referenced; one duplicate file and one superseded predecessor document identified</w:t>
            </w:r>
          </w:p>
        </w:tc>
      </w:tr>
      <w:tr>
        <w:tc>
          <w:tcPr>
            <w:tcW w:type="dxa" w:w="2600"/>
          </w:tcPr>
          <w:p>
            <w:r>
              <w:rPr>
                <w:b w:val="false"/>
                <w:bCs w:val="false"/>
                <w:sz w:val="18"/>
                <w:szCs w:val="18"/>
              </w:rPr>
              <w:t xml:space="preserve">Governance consistency</w:t>
            </w:r>
          </w:p>
        </w:tc>
        <w:tc>
          <w:tcPr>
            <w:tcW w:type="dxa" w:w="6600"/>
          </w:tcPr>
          <w:p>
            <w:r>
              <w:rPr>
                <w:b w:val="false"/>
                <w:bCs w:val="false"/>
                <w:sz w:val="18"/>
                <w:szCs w:val="18"/>
              </w:rPr>
              <w:t xml:space="preserve">Terminology and classification applied uniformly; one pre-existing open governance item (AP-009) confirmed still tracked</w:t>
            </w:r>
          </w:p>
        </w:tc>
      </w:tr>
      <w:tr>
        <w:tc>
          <w:tcPr>
            <w:tcW w:type="dxa" w:w="2600"/>
          </w:tcPr>
          <w:p>
            <w:r>
              <w:rPr>
                <w:b w:val="false"/>
                <w:bCs w:val="false"/>
                <w:sz w:val="18"/>
                <w:szCs w:val="18"/>
              </w:rPr>
              <w:t xml:space="preserve">Readiness for baseline designation</w:t>
            </w:r>
          </w:p>
        </w:tc>
        <w:tc>
          <w:tcPr>
            <w:tcW w:type="dxa" w:w="6600"/>
          </w:tcPr>
          <w:p>
            <w:r>
              <w:rPr>
                <w:b w:val="false"/>
                <w:bCs w:val="false"/>
                <w:sz w:val="18"/>
                <w:szCs w:val="18"/>
              </w:rPr>
              <w:t xml:space="preserve">Ready — no finding in this report rises above Partially Validated / Improvement Opportunity</w:t>
            </w:r>
          </w:p>
        </w:tc>
      </w:tr>
    </w:tbl>
    <w:p>
      <w:pPr>
        <w:pStyle w:val="Heading1"/>
        <w:spacing w:after="160" w:before="320"/>
      </w:pPr>
      <w:r>
        <w:t xml:space="preserve">11. Final Validation Statement</w:t>
      </w:r>
    </w:p>
    <w:p>
      <w:pPr>
        <w:spacing w:after="160"/>
      </w:pPr>
      <w:r>
        <w:rPr>
          <w:b w:val="false"/>
          <w:bCs w:val="false"/>
          <w:i w:val="false"/>
          <w:iCs w:val="false"/>
          <w:sz w:val="21"/>
          <w:szCs w:val="21"/>
        </w:rPr>
        <w:t xml:space="preserve">On the basis of the validation performed in this report:</w:t>
      </w:r>
    </w:p>
    <w:p>
      <w:pPr>
        <w:pStyle w:val="ListParagraph"/>
        <w:numPr>
          <w:ilvl w:val="0"/>
          <w:numId w:val="1"/>
        </w:numPr>
        <w:spacing w:after="60"/>
      </w:pPr>
      <w:r>
        <w:rPr>
          <w:sz w:val="21"/>
          <w:szCs w:val="21"/>
        </w:rPr>
        <w:t xml:space="preserve">ERP-01 Version 1.0 is internally consistent across its Phase A, Phase B, and Phase C documents.</w:t>
      </w:r>
    </w:p>
    <w:p>
      <w:pPr>
        <w:pStyle w:val="ListParagraph"/>
        <w:numPr>
          <w:ilvl w:val="0"/>
          <w:numId w:val="1"/>
        </w:numPr>
        <w:spacing w:after="60"/>
      </w:pPr>
      <w:r>
        <w:rPr>
          <w:sz w:val="21"/>
          <w:szCs w:val="21"/>
        </w:rPr>
        <w:t xml:space="preserve">The repository is complete against its declared scope.</w:t>
      </w:r>
    </w:p>
    <w:p>
      <w:pPr>
        <w:pStyle w:val="ListParagraph"/>
        <w:numPr>
          <w:ilvl w:val="0"/>
          <w:numId w:val="1"/>
        </w:numPr>
        <w:spacing w:after="60"/>
      </w:pPr>
      <w:r>
        <w:rPr>
          <w:sz w:val="21"/>
          <w:szCs w:val="21"/>
        </w:rPr>
        <w:t xml:space="preserve">No architectural conflicts were identified between any two documents in the repository.</w:t>
      </w:r>
    </w:p>
    <w:p>
      <w:pPr>
        <w:pStyle w:val="ListParagraph"/>
        <w:numPr>
          <w:ilvl w:val="0"/>
          <w:numId w:val="1"/>
        </w:numPr>
        <w:spacing w:after="60"/>
      </w:pPr>
      <w:r>
        <w:rPr>
          <w:sz w:val="21"/>
          <w:szCs w:val="21"/>
        </w:rPr>
        <w:t xml:space="preserve">Four items — a duplicate file location, a superseded predecessor document, a cross-phase naming overlap, and a pre-existing open governance item — are recorded as Improvement Opportunities and do not constitute architectural conflicts or completeness gaps.</w:t>
      </w:r>
    </w:p>
    <w:p>
      <w:pPr>
        <w:pStyle w:val="ListParagraph"/>
        <w:numPr>
          <w:ilvl w:val="0"/>
          <w:numId w:val="1"/>
        </w:numPr>
        <w:spacing w:after="60"/>
      </w:pPr>
      <w:r>
        <w:rPr>
          <w:sz w:val="21"/>
          <w:szCs w:val="21"/>
        </w:rPr>
        <w:t xml:space="preserve">The repository is suitable to be designated the canonical internal enterprise architecture baseline (Version 1.0), subject to future controlled repository updates.</w:t>
      </w:r>
    </w:p>
    <w:p>
      <w:pPr>
        <w:spacing w:after="160"/>
      </w:pPr>
      <w:r>
        <w:rPr>
          <w:b w:val="false"/>
          <w:bCs w:val="false"/>
          <w:i/>
          <w:iCs/>
          <w:sz w:val="21"/>
          <w:szCs w:val="21"/>
        </w:rPr>
        <w:t xml:space="preserve">This report does not state, and should not be represented as stating, that the ERP-01 repository has been externally certified, independently assured, or reviewed by any third party. It reflects an internal quality assurance validation only.</w:t>
      </w:r>
    </w:p>
    <w:p>
      <w:pPr>
        <w:spacing w:after="160"/>
      </w:pPr>
      <w:r>
        <w:rPr>
          <w:b/>
          <w:bCs/>
          <w:i w:val="false"/>
          <w:iCs w:val="false"/>
          <w:sz w:val="21"/>
          <w:szCs w:val="21"/>
        </w:rPr>
        <w:t xml:space="preserve">This document concludes the ERP-01 Enterprise Architecture Realization Program.</w:t>
      </w:r>
    </w:p>
    <w:p>
      <w:r>
        <w:br w:type="page"/>
      </w:r>
    </w:p>
    <w:p>
      <w:pPr>
        <w:pStyle w:val="Heading1"/>
        <w:spacing w:after="160" w:before="320"/>
      </w:pPr>
      <w:r>
        <w:t xml:space="preserve">Appendix A — Repository Path Index</w:t>
      </w:r>
    </w:p>
    <w:p>
      <w:pPr>
        <w:spacing w:after="160"/>
      </w:pPr>
      <w:r>
        <w:rPr>
          <w:b w:val="false"/>
          <w:bCs w:val="false"/>
          <w:i w:val="false"/>
          <w:iCs w:val="false"/>
          <w:sz w:val="21"/>
          <w:szCs w:val="21"/>
        </w:rPr>
        <w:t xml:space="preserve">Full repository paths for every document validated in this report, as located under the approved baseline repository at the time of validation.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6500"/>
      </w:tblGrid>
      <w:tr>
        <w:trPr>
          <w:tblHeader/>
        </w:trPr>
        <w:tc>
          <w:tcPr>
            <w:tcW w:type="dxa" w:w="500"/>
            <w:shd w:fill="1F3864" w:val="clear"/>
          </w:tcPr>
          <w:p>
            <w:r>
              <w:rPr>
                <w:b/>
                <w:bCs/>
                <w:color w:val="FFFFFF"/>
                <w:sz w:val="18"/>
                <w:szCs w:val="18"/>
              </w:rPr>
              <w:t xml:space="preserve">#</w:t>
            </w:r>
          </w:p>
        </w:tc>
        <w:tc>
          <w:tcPr>
            <w:tcW w:type="dxa" w:w="2900"/>
            <w:shd w:fill="1F3864" w:val="clear"/>
          </w:tcPr>
          <w:p>
            <w:r>
              <w:rPr>
                <w:b/>
                <w:bCs/>
                <w:color w:val="FFFFFF"/>
                <w:sz w:val="18"/>
                <w:szCs w:val="18"/>
              </w:rPr>
              <w:t xml:space="preserve">Document</w:t>
            </w:r>
          </w:p>
        </w:tc>
        <w:tc>
          <w:tcPr>
            <w:tcW w:type="dxa" w:w="6500"/>
            <w:shd w:fill="1F3864" w:val="clear"/>
          </w:tcPr>
          <w:p>
            <w:r>
              <w:rPr>
                <w:b/>
                <w:bCs/>
                <w:color w:val="FFFFFF"/>
                <w:sz w:val="18"/>
                <w:szCs w:val="18"/>
              </w:rPr>
              <w:t xml:space="preserve">Repository Path</w:t>
            </w:r>
          </w:p>
        </w:tc>
      </w:tr>
      <w:tr>
        <w:tc>
          <w:tcPr>
            <w:tcW w:type="dxa" w:w="500"/>
          </w:tcPr>
          <w:p>
            <w:r>
              <w:rPr>
                <w:b w:val="false"/>
                <w:bCs w:val="false"/>
                <w:sz w:val="18"/>
                <w:szCs w:val="18"/>
              </w:rPr>
              <w:t xml:space="preserve">1</w:t>
            </w:r>
          </w:p>
        </w:tc>
        <w:tc>
          <w:tcPr>
            <w:tcW w:type="dxa" w:w="2900"/>
          </w:tcPr>
          <w:p>
            <w:r>
              <w:rPr>
                <w:b w:val="false"/>
                <w:bCs w:val="false"/>
                <w:sz w:val="18"/>
                <w:szCs w:val="18"/>
              </w:rPr>
              <w:t xml:space="preserve">Phase A.1</w:t>
            </w:r>
          </w:p>
        </w:tc>
        <w:tc>
          <w:tcPr>
            <w:tcW w:type="dxa" w:w="6500"/>
          </w:tcPr>
          <w:p>
            <w:r>
              <w:rPr>
                <w:b w:val="false"/>
                <w:bCs w:val="false"/>
                <w:sz w:val="18"/>
                <w:szCs w:val="18"/>
              </w:rPr>
              <w:t xml:space="preserve">core/supabase/docs/architecture/EEP-01/ERP-01_PhaseA1_Physical_Data_Model_Realization_Assessment.docx</w:t>
            </w:r>
          </w:p>
        </w:tc>
      </w:tr>
      <w:tr>
        <w:tc>
          <w:tcPr>
            <w:tcW w:type="dxa" w:w="500"/>
          </w:tcPr>
          <w:p>
            <w:r>
              <w:rPr>
                <w:b w:val="false"/>
                <w:bCs w:val="false"/>
                <w:sz w:val="18"/>
                <w:szCs w:val="18"/>
              </w:rPr>
              <w:t xml:space="preserve">2</w:t>
            </w:r>
          </w:p>
        </w:tc>
        <w:tc>
          <w:tcPr>
            <w:tcW w:type="dxa" w:w="2900"/>
          </w:tcPr>
          <w:p>
            <w:r>
              <w:rPr>
                <w:b w:val="false"/>
                <w:bCs w:val="false"/>
                <w:sz w:val="18"/>
                <w:szCs w:val="18"/>
              </w:rPr>
              <w:t xml:space="preserve">Phase A.2</w:t>
            </w:r>
          </w:p>
        </w:tc>
        <w:tc>
          <w:tcPr>
            <w:tcW w:type="dxa" w:w="6500"/>
          </w:tcPr>
          <w:p>
            <w:r>
              <w:rPr>
                <w:b w:val="false"/>
                <w:bCs w:val="false"/>
                <w:sz w:val="18"/>
                <w:szCs w:val="18"/>
              </w:rPr>
              <w:t xml:space="preserve">core/supabase/docs/architecture/EEP-01/ERP-01_PhaseA2_Governance_Disposition_Assessment.docx</w:t>
            </w:r>
          </w:p>
        </w:tc>
      </w:tr>
      <w:tr>
        <w:tc>
          <w:tcPr>
            <w:tcW w:type="dxa" w:w="500"/>
          </w:tcPr>
          <w:p>
            <w:r>
              <w:rPr>
                <w:b w:val="false"/>
                <w:bCs w:val="false"/>
                <w:sz w:val="18"/>
                <w:szCs w:val="18"/>
              </w:rPr>
              <w:t xml:space="preserve">3</w:t>
            </w:r>
          </w:p>
        </w:tc>
        <w:tc>
          <w:tcPr>
            <w:tcW w:type="dxa" w:w="2900"/>
          </w:tcPr>
          <w:p>
            <w:r>
              <w:rPr>
                <w:b w:val="false"/>
                <w:bCs w:val="false"/>
                <w:sz w:val="18"/>
                <w:szCs w:val="18"/>
              </w:rPr>
              <w:t xml:space="preserve">Phase A.3</w:t>
            </w:r>
          </w:p>
        </w:tc>
        <w:tc>
          <w:tcPr>
            <w:tcW w:type="dxa" w:w="6500"/>
          </w:tcPr>
          <w:p>
            <w:r>
              <w:rPr>
                <w:b w:val="false"/>
                <w:bCs w:val="false"/>
                <w:sz w:val="18"/>
                <w:szCs w:val="18"/>
              </w:rPr>
              <w:t xml:space="preserve">core/supabase/docs/architecture/EEP-01/ERP-01_PhaseA3_Enterprise_Architecture_Baseline.docx</w:t>
            </w:r>
          </w:p>
        </w:tc>
      </w:tr>
      <w:tr>
        <w:tc>
          <w:tcPr>
            <w:tcW w:type="dxa" w:w="500"/>
          </w:tcPr>
          <w:p>
            <w:r>
              <w:rPr>
                <w:b w:val="false"/>
                <w:bCs w:val="false"/>
                <w:sz w:val="18"/>
                <w:szCs w:val="18"/>
              </w:rPr>
              <w:t xml:space="preserve">4</w:t>
            </w:r>
          </w:p>
        </w:tc>
        <w:tc>
          <w:tcPr>
            <w:tcW w:type="dxa" w:w="2900"/>
          </w:tcPr>
          <w:p>
            <w:r>
              <w:rPr>
                <w:b w:val="false"/>
                <w:bCs w:val="false"/>
                <w:sz w:val="18"/>
                <w:szCs w:val="18"/>
              </w:rPr>
              <w:t xml:space="preserve">Phase B</w:t>
            </w:r>
          </w:p>
        </w:tc>
        <w:tc>
          <w:tcPr>
            <w:tcW w:type="dxa" w:w="6500"/>
          </w:tcPr>
          <w:p>
            <w:r>
              <w:rPr>
                <w:b w:val="false"/>
                <w:bCs w:val="false"/>
                <w:sz w:val="18"/>
                <w:szCs w:val="18"/>
              </w:rPr>
              <w:t xml:space="preserve">core/supabase/docs/architecture/EEP-01/ERP-01_PhaseB_Enterprise_Realization_Roadmap.docx</w:t>
            </w:r>
          </w:p>
        </w:tc>
      </w:tr>
      <w:tr>
        <w:tc>
          <w:tcPr>
            <w:tcW w:type="dxa" w:w="500"/>
          </w:tcPr>
          <w:p>
            <w:r>
              <w:rPr>
                <w:b w:val="false"/>
                <w:bCs w:val="false"/>
                <w:sz w:val="18"/>
                <w:szCs w:val="18"/>
              </w:rPr>
              <w:t xml:space="preserve">5</w:t>
            </w:r>
          </w:p>
        </w:tc>
        <w:tc>
          <w:tcPr>
            <w:tcW w:type="dxa" w:w="2900"/>
          </w:tcPr>
          <w:p>
            <w:r>
              <w:rPr>
                <w:b w:val="false"/>
                <w:bCs w:val="false"/>
                <w:sz w:val="18"/>
                <w:szCs w:val="18"/>
              </w:rPr>
              <w:t xml:space="preserve">Phase C §1</w:t>
            </w:r>
          </w:p>
        </w:tc>
        <w:tc>
          <w:tcPr>
            <w:tcW w:type="dxa" w:w="6500"/>
          </w:tcPr>
          <w:p>
            <w:r>
              <w:rPr>
                <w:b w:val="false"/>
                <w:bCs w:val="false"/>
                <w:sz w:val="18"/>
                <w:szCs w:val="18"/>
              </w:rPr>
              <w:t xml:space="preserve">core/supabase/docs/architecture/ERP/ERP-01_PhaseC_Section1_Enterprise_Work_Package_Execution_Strategy.docx</w:t>
            </w:r>
          </w:p>
        </w:tc>
      </w:tr>
      <w:tr>
        <w:tc>
          <w:tcPr>
            <w:tcW w:type="dxa" w:w="500"/>
          </w:tcPr>
          <w:p>
            <w:r>
              <w:rPr>
                <w:b w:val="false"/>
                <w:bCs w:val="false"/>
                <w:sz w:val="18"/>
                <w:szCs w:val="18"/>
              </w:rPr>
              <w:t xml:space="preserve">6</w:t>
            </w:r>
          </w:p>
        </w:tc>
        <w:tc>
          <w:tcPr>
            <w:tcW w:type="dxa" w:w="2900"/>
          </w:tcPr>
          <w:p>
            <w:r>
              <w:rPr>
                <w:b w:val="false"/>
                <w:bCs w:val="false"/>
                <w:sz w:val="18"/>
                <w:szCs w:val="18"/>
              </w:rPr>
              <w:t xml:space="preserve">Phase C §2</w:t>
            </w:r>
          </w:p>
        </w:tc>
        <w:tc>
          <w:tcPr>
            <w:tcW w:type="dxa" w:w="6500"/>
          </w:tcPr>
          <w:p>
            <w:r>
              <w:rPr>
                <w:b w:val="false"/>
                <w:bCs w:val="false"/>
                <w:sz w:val="18"/>
                <w:szCs w:val="18"/>
              </w:rPr>
              <w:t xml:space="preserve">core/supabase/docs/architecture/ERP/ERP-01_PhaseC_Section2_Enterprise_Work_Package_Engineering_Catalog.docx</w:t>
            </w:r>
          </w:p>
        </w:tc>
      </w:tr>
      <w:tr>
        <w:tc>
          <w:tcPr>
            <w:tcW w:type="dxa" w:w="500"/>
          </w:tcPr>
          <w:p>
            <w:r>
              <w:rPr>
                <w:b w:val="false"/>
                <w:bCs w:val="false"/>
                <w:sz w:val="18"/>
                <w:szCs w:val="18"/>
              </w:rPr>
              <w:t xml:space="preserve">7</w:t>
            </w:r>
          </w:p>
        </w:tc>
        <w:tc>
          <w:tcPr>
            <w:tcW w:type="dxa" w:w="2900"/>
          </w:tcPr>
          <w:p>
            <w:r>
              <w:rPr>
                <w:b w:val="false"/>
                <w:bCs w:val="false"/>
                <w:sz w:val="18"/>
                <w:szCs w:val="18"/>
              </w:rPr>
              <w:t xml:space="preserve">Phase C §3</w:t>
            </w:r>
          </w:p>
        </w:tc>
        <w:tc>
          <w:tcPr>
            <w:tcW w:type="dxa" w:w="6500"/>
          </w:tcPr>
          <w:p>
            <w:r>
              <w:rPr>
                <w:b w:val="false"/>
                <w:bCs w:val="false"/>
                <w:sz w:val="18"/>
                <w:szCs w:val="18"/>
              </w:rPr>
              <w:t xml:space="preserve">core/supabase/docs/architecture/ERP/ERP-01_PhaseC_Section3_Repository_Impact_Assessment.docx</w:t>
            </w:r>
          </w:p>
        </w:tc>
      </w:tr>
      <w:tr>
        <w:tc>
          <w:tcPr>
            <w:tcW w:type="dxa" w:w="500"/>
          </w:tcPr>
          <w:p>
            <w:r>
              <w:rPr>
                <w:b w:val="false"/>
                <w:bCs w:val="false"/>
                <w:sz w:val="18"/>
                <w:szCs w:val="18"/>
              </w:rPr>
              <w:t xml:space="preserve">8</w:t>
            </w:r>
          </w:p>
        </w:tc>
        <w:tc>
          <w:tcPr>
            <w:tcW w:type="dxa" w:w="2900"/>
          </w:tcPr>
          <w:p>
            <w:r>
              <w:rPr>
                <w:b w:val="false"/>
                <w:bCs w:val="false"/>
                <w:sz w:val="18"/>
                <w:szCs w:val="18"/>
              </w:rPr>
              <w:t xml:space="preserve">Phase C §4</w:t>
            </w:r>
          </w:p>
        </w:tc>
        <w:tc>
          <w:tcPr>
            <w:tcW w:type="dxa" w:w="6500"/>
          </w:tcPr>
          <w:p>
            <w:r>
              <w:rPr>
                <w:b w:val="false"/>
                <w:bCs w:val="false"/>
                <w:sz w:val="18"/>
                <w:szCs w:val="18"/>
              </w:rPr>
              <w:t xml:space="preserve">core/supabase/docs/architecture/ERP/ERP-01_PhaseC_Section4_Engineering_Design_Specification.docx</w:t>
            </w:r>
          </w:p>
        </w:tc>
      </w:tr>
      <w:tr>
        <w:tc>
          <w:tcPr>
            <w:tcW w:type="dxa" w:w="500"/>
          </w:tcPr>
          <w:p>
            <w:r>
              <w:rPr>
                <w:b w:val="false"/>
                <w:bCs w:val="false"/>
                <w:sz w:val="18"/>
                <w:szCs w:val="18"/>
              </w:rPr>
              <w:t xml:space="preserve">9</w:t>
            </w:r>
          </w:p>
        </w:tc>
        <w:tc>
          <w:tcPr>
            <w:tcW w:type="dxa" w:w="2900"/>
          </w:tcPr>
          <w:p>
            <w:r>
              <w:rPr>
                <w:b w:val="false"/>
                <w:bCs w:val="false"/>
                <w:sz w:val="18"/>
                <w:szCs w:val="18"/>
              </w:rPr>
              <w:t xml:space="preserve">Phase C §5</w:t>
            </w:r>
          </w:p>
        </w:tc>
        <w:tc>
          <w:tcPr>
            <w:tcW w:type="dxa" w:w="6500"/>
          </w:tcPr>
          <w:p>
            <w:r>
              <w:rPr>
                <w:b w:val="false"/>
                <w:bCs w:val="false"/>
                <w:sz w:val="18"/>
                <w:szCs w:val="18"/>
              </w:rPr>
              <w:t xml:space="preserve">core/supabase/docs/architecture/ERP/ERP-01_PhaseC_Section5_Implementation_Blueprint.docx</w:t>
            </w:r>
          </w:p>
        </w:tc>
      </w:tr>
      <w:tr>
        <w:tc>
          <w:tcPr>
            <w:tcW w:type="dxa" w:w="500"/>
          </w:tcPr>
          <w:p>
            <w:r>
              <w:rPr>
                <w:b w:val="false"/>
                <w:bCs w:val="false"/>
                <w:sz w:val="18"/>
                <w:szCs w:val="18"/>
              </w:rPr>
              <w:t xml:space="preserve">10</w:t>
            </w:r>
          </w:p>
        </w:tc>
        <w:tc>
          <w:tcPr>
            <w:tcW w:type="dxa" w:w="2900"/>
          </w:tcPr>
          <w:p>
            <w:r>
              <w:rPr>
                <w:b w:val="false"/>
                <w:bCs w:val="false"/>
                <w:sz w:val="18"/>
                <w:szCs w:val="18"/>
              </w:rPr>
              <w:t xml:space="preserve">Phase C §6</w:t>
            </w:r>
          </w:p>
        </w:tc>
        <w:tc>
          <w:tcPr>
            <w:tcW w:type="dxa" w:w="6500"/>
          </w:tcPr>
          <w:p>
            <w:r>
              <w:rPr>
                <w:b w:val="false"/>
                <w:bCs w:val="false"/>
                <w:sz w:val="18"/>
                <w:szCs w:val="18"/>
              </w:rPr>
              <w:t xml:space="preserve">core/supabase/docs/architecture/ERP/ERP-01_PhaseC_Section6_Architecture_Conformance_Plan.docx</w:t>
            </w:r>
          </w:p>
        </w:tc>
      </w:tr>
      <w:tr>
        <w:tc>
          <w:tcPr>
            <w:tcW w:type="dxa" w:w="500"/>
          </w:tcPr>
          <w:p>
            <w:r>
              <w:rPr>
                <w:b w:val="false"/>
                <w:bCs w:val="false"/>
                <w:sz w:val="18"/>
                <w:szCs w:val="18"/>
              </w:rPr>
              <w:t xml:space="preserve">11</w:t>
            </w:r>
          </w:p>
        </w:tc>
        <w:tc>
          <w:tcPr>
            <w:tcW w:type="dxa" w:w="2900"/>
          </w:tcPr>
          <w:p>
            <w:r>
              <w:rPr>
                <w:b w:val="false"/>
                <w:bCs w:val="false"/>
                <w:sz w:val="18"/>
                <w:szCs w:val="18"/>
              </w:rPr>
              <w:t xml:space="preserve">Phase C §7</w:t>
            </w:r>
          </w:p>
        </w:tc>
        <w:tc>
          <w:tcPr>
            <w:tcW w:type="dxa" w:w="6500"/>
          </w:tcPr>
          <w:p>
            <w:r>
              <w:rPr>
                <w:b w:val="false"/>
                <w:bCs w:val="false"/>
                <w:sz w:val="18"/>
                <w:szCs w:val="18"/>
              </w:rPr>
              <w:t xml:space="preserve">core/supabase/docs/architecture/ERP/ERP-01_PhaseC_Section7_Enterprise_Testing_Verification_Strategy.docx</w:t>
            </w:r>
          </w:p>
        </w:tc>
      </w:tr>
      <w:tr>
        <w:tc>
          <w:tcPr>
            <w:tcW w:type="dxa" w:w="500"/>
          </w:tcPr>
          <w:p>
            <w:r>
              <w:rPr>
                <w:b w:val="false"/>
                <w:bCs w:val="false"/>
                <w:sz w:val="18"/>
                <w:szCs w:val="18"/>
              </w:rPr>
              <w:t xml:space="preserve">12</w:t>
            </w:r>
          </w:p>
        </w:tc>
        <w:tc>
          <w:tcPr>
            <w:tcW w:type="dxa" w:w="2900"/>
          </w:tcPr>
          <w:p>
            <w:r>
              <w:rPr>
                <w:b w:val="false"/>
                <w:bCs w:val="false"/>
                <w:sz w:val="18"/>
                <w:szCs w:val="18"/>
              </w:rPr>
              <w:t xml:space="preserve">Phase C §8</w:t>
            </w:r>
          </w:p>
        </w:tc>
        <w:tc>
          <w:tcPr>
            <w:tcW w:type="dxa" w:w="6500"/>
          </w:tcPr>
          <w:p>
            <w:r>
              <w:rPr>
                <w:b w:val="false"/>
                <w:bCs w:val="false"/>
                <w:sz w:val="18"/>
                <w:szCs w:val="18"/>
              </w:rPr>
              <w:t xml:space="preserve">core/supabase/docs/architecture/ERP/ERP-01_PhaseC_Section8_Enterprise_Risk_Control_Matrix.docx</w:t>
            </w:r>
          </w:p>
        </w:tc>
      </w:tr>
      <w:tr>
        <w:tc>
          <w:tcPr>
            <w:tcW w:type="dxa" w:w="500"/>
          </w:tcPr>
          <w:p>
            <w:r>
              <w:rPr>
                <w:b w:val="false"/>
                <w:bCs w:val="false"/>
                <w:sz w:val="18"/>
                <w:szCs w:val="18"/>
              </w:rPr>
              <w:t xml:space="preserve">13</w:t>
            </w:r>
          </w:p>
        </w:tc>
        <w:tc>
          <w:tcPr>
            <w:tcW w:type="dxa" w:w="2900"/>
          </w:tcPr>
          <w:p>
            <w:r>
              <w:rPr>
                <w:b w:val="false"/>
                <w:bCs w:val="false"/>
                <w:sz w:val="18"/>
                <w:szCs w:val="18"/>
              </w:rPr>
              <w:t xml:space="preserve">Phase C §9</w:t>
            </w:r>
          </w:p>
        </w:tc>
        <w:tc>
          <w:tcPr>
            <w:tcW w:type="dxa" w:w="6500"/>
          </w:tcPr>
          <w:p>
            <w:r>
              <w:rPr>
                <w:b w:val="false"/>
                <w:bCs w:val="false"/>
                <w:sz w:val="18"/>
                <w:szCs w:val="18"/>
              </w:rPr>
              <w:t xml:space="preserve">core/supabase/docs/architecture/ERP/ERP-01_PhaseC_Section9_Enterprise_Engineering_Acceptance_Criteria.docx</w:t>
            </w:r>
          </w:p>
        </w:tc>
      </w:tr>
      <w:tr>
        <w:tc>
          <w:tcPr>
            <w:tcW w:type="dxa" w:w="500"/>
          </w:tcPr>
          <w:p>
            <w:r>
              <w:rPr>
                <w:b w:val="false"/>
                <w:bCs w:val="false"/>
                <w:sz w:val="18"/>
                <w:szCs w:val="18"/>
              </w:rPr>
              <w:t xml:space="preserve">14</w:t>
            </w:r>
          </w:p>
        </w:tc>
        <w:tc>
          <w:tcPr>
            <w:tcW w:type="dxa" w:w="2900"/>
          </w:tcPr>
          <w:p>
            <w:r>
              <w:rPr>
                <w:b w:val="false"/>
                <w:bCs w:val="false"/>
                <w:sz w:val="18"/>
                <w:szCs w:val="18"/>
              </w:rPr>
              <w:t xml:space="preserve">Phase C §10 (superseded predecessor)</w:t>
            </w:r>
          </w:p>
        </w:tc>
        <w:tc>
          <w:tcPr>
            <w:tcW w:type="dxa" w:w="6500"/>
          </w:tcPr>
          <w:p>
            <w:r>
              <w:rPr>
                <w:b w:val="false"/>
                <w:bCs w:val="false"/>
                <w:sz w:val="18"/>
                <w:szCs w:val="18"/>
              </w:rPr>
              <w:t xml:space="preserve">core/supabase/docs/architecture/ERP/ERP-01_PhaseC_Section10_Executive_Engineering_Dashboard.docx</w:t>
            </w:r>
          </w:p>
        </w:tc>
      </w:tr>
      <w:tr>
        <w:tc>
          <w:tcPr>
            <w:tcW w:type="dxa" w:w="500"/>
          </w:tcPr>
          <w:p>
            <w:r>
              <w:rPr>
                <w:b w:val="false"/>
                <w:bCs w:val="false"/>
                <w:sz w:val="18"/>
                <w:szCs w:val="18"/>
              </w:rPr>
              <w:t xml:space="preserve">15</w:t>
            </w:r>
          </w:p>
        </w:tc>
        <w:tc>
          <w:tcPr>
            <w:tcW w:type="dxa" w:w="2900"/>
          </w:tcPr>
          <w:p>
            <w:r>
              <w:rPr>
                <w:b w:val="false"/>
                <w:bCs w:val="false"/>
                <w:sz w:val="18"/>
                <w:szCs w:val="18"/>
              </w:rPr>
              <w:t xml:space="preserve">Phase C §10.1</w:t>
            </w:r>
          </w:p>
        </w:tc>
        <w:tc>
          <w:tcPr>
            <w:tcW w:type="dxa" w:w="6500"/>
          </w:tcPr>
          <w:p>
            <w:r>
              <w:rPr>
                <w:b w:val="false"/>
                <w:bCs w:val="false"/>
                <w:sz w:val="18"/>
                <w:szCs w:val="18"/>
              </w:rPr>
              <w:t xml:space="preserve">core/supabase/docs/architecture/ERP-01 Phase C/ERP-01_PhaseC_Section10_Section1_Executive_Overview.docx</w:t>
            </w:r>
          </w:p>
        </w:tc>
      </w:tr>
      <w:tr>
        <w:tc>
          <w:tcPr>
            <w:tcW w:type="dxa" w:w="500"/>
          </w:tcPr>
          <w:p>
            <w:r>
              <w:rPr>
                <w:b w:val="false"/>
                <w:bCs w:val="false"/>
                <w:sz w:val="18"/>
                <w:szCs w:val="18"/>
              </w:rPr>
              <w:t xml:space="preserve">16</w:t>
            </w:r>
          </w:p>
        </w:tc>
        <w:tc>
          <w:tcPr>
            <w:tcW w:type="dxa" w:w="2900"/>
          </w:tcPr>
          <w:p>
            <w:r>
              <w:rPr>
                <w:b w:val="false"/>
                <w:bCs w:val="false"/>
                <w:sz w:val="18"/>
                <w:szCs w:val="18"/>
              </w:rPr>
              <w:t xml:space="preserve">Phase C §10.1 (duplicate)</w:t>
            </w:r>
          </w:p>
        </w:tc>
        <w:tc>
          <w:tcPr>
            <w:tcW w:type="dxa" w:w="6500"/>
          </w:tcPr>
          <w:p>
            <w:r>
              <w:rPr>
                <w:b w:val="false"/>
                <w:bCs w:val="false"/>
                <w:sz w:val="18"/>
                <w:szCs w:val="18"/>
              </w:rPr>
              <w:t xml:space="preserve">core/supabase/docs/ERP-01 Phase C/ERP-01_PhaseC_Section10_Section1_Executive_Overview.docx</w:t>
            </w:r>
          </w:p>
        </w:tc>
      </w:tr>
      <w:tr>
        <w:tc>
          <w:tcPr>
            <w:tcW w:type="dxa" w:w="500"/>
          </w:tcPr>
          <w:p>
            <w:r>
              <w:rPr>
                <w:b w:val="false"/>
                <w:bCs w:val="false"/>
                <w:sz w:val="18"/>
                <w:szCs w:val="18"/>
              </w:rPr>
              <w:t xml:space="preserve">17</w:t>
            </w:r>
          </w:p>
        </w:tc>
        <w:tc>
          <w:tcPr>
            <w:tcW w:type="dxa" w:w="2900"/>
          </w:tcPr>
          <w:p>
            <w:r>
              <w:rPr>
                <w:b w:val="false"/>
                <w:bCs w:val="false"/>
                <w:sz w:val="18"/>
                <w:szCs w:val="18"/>
              </w:rPr>
              <w:t xml:space="preserve">Phase C §10.2</w:t>
            </w:r>
          </w:p>
        </w:tc>
        <w:tc>
          <w:tcPr>
            <w:tcW w:type="dxa" w:w="6500"/>
          </w:tcPr>
          <w:p>
            <w:r>
              <w:rPr>
                <w:b w:val="false"/>
                <w:bCs w:val="false"/>
                <w:sz w:val="18"/>
                <w:szCs w:val="18"/>
              </w:rPr>
              <w:t xml:space="preserve">core/supabase/docs/architecture/ERP-01 Phase C/ERP-01_PhaseC_Section10.2_Enterprise_Engineering_Status_Dashboard.docx</w:t>
            </w:r>
          </w:p>
        </w:tc>
      </w:tr>
      <w:tr>
        <w:tc>
          <w:tcPr>
            <w:tcW w:type="dxa" w:w="500"/>
          </w:tcPr>
          <w:p>
            <w:r>
              <w:rPr>
                <w:b w:val="false"/>
                <w:bCs w:val="false"/>
                <w:sz w:val="18"/>
                <w:szCs w:val="18"/>
              </w:rPr>
              <w:t xml:space="preserve">18</w:t>
            </w:r>
          </w:p>
        </w:tc>
        <w:tc>
          <w:tcPr>
            <w:tcW w:type="dxa" w:w="2900"/>
          </w:tcPr>
          <w:p>
            <w:r>
              <w:rPr>
                <w:b w:val="false"/>
                <w:bCs w:val="false"/>
                <w:sz w:val="18"/>
                <w:szCs w:val="18"/>
              </w:rPr>
              <w:t xml:space="preserve">Phase C §10.3</w:t>
            </w:r>
          </w:p>
        </w:tc>
        <w:tc>
          <w:tcPr>
            <w:tcW w:type="dxa" w:w="6500"/>
          </w:tcPr>
          <w:p>
            <w:r>
              <w:rPr>
                <w:b w:val="false"/>
                <w:bCs w:val="false"/>
                <w:sz w:val="18"/>
                <w:szCs w:val="18"/>
              </w:rPr>
              <w:t xml:space="preserve">core/supabase/docs/architecture/ERP-01 Phase C/ERP-01_PhaseC_Section10.3_Executive_Work_Package_Dashboard.docx</w:t>
            </w:r>
          </w:p>
        </w:tc>
      </w:tr>
      <w:tr>
        <w:tc>
          <w:tcPr>
            <w:tcW w:type="dxa" w:w="500"/>
          </w:tcPr>
          <w:p>
            <w:r>
              <w:rPr>
                <w:b w:val="false"/>
                <w:bCs w:val="false"/>
                <w:sz w:val="18"/>
                <w:szCs w:val="18"/>
              </w:rPr>
              <w:t xml:space="preserve">19</w:t>
            </w:r>
          </w:p>
        </w:tc>
        <w:tc>
          <w:tcPr>
            <w:tcW w:type="dxa" w:w="2900"/>
          </w:tcPr>
          <w:p>
            <w:r>
              <w:rPr>
                <w:b w:val="false"/>
                <w:bCs w:val="false"/>
                <w:sz w:val="18"/>
                <w:szCs w:val="18"/>
              </w:rPr>
              <w:t xml:space="preserve">Phase C §10.4</w:t>
            </w:r>
          </w:p>
        </w:tc>
        <w:tc>
          <w:tcPr>
            <w:tcW w:type="dxa" w:w="6500"/>
          </w:tcPr>
          <w:p>
            <w:r>
              <w:rPr>
                <w:b w:val="false"/>
                <w:bCs w:val="false"/>
                <w:sz w:val="18"/>
                <w:szCs w:val="18"/>
              </w:rPr>
              <w:t xml:space="preserve">core/supabase/docs/architecture/ERP-01 Phase C/ERP-01_PhaseC_Section10.4_Portfolio_Control_Dashboard.docx</w:t>
            </w:r>
          </w:p>
        </w:tc>
      </w:tr>
      <w:tr>
        <w:tc>
          <w:tcPr>
            <w:tcW w:type="dxa" w:w="500"/>
          </w:tcPr>
          <w:p>
            <w:r>
              <w:rPr>
                <w:b w:val="false"/>
                <w:bCs w:val="false"/>
                <w:sz w:val="18"/>
                <w:szCs w:val="18"/>
              </w:rPr>
              <w:t xml:space="preserve">20</w:t>
            </w:r>
          </w:p>
        </w:tc>
        <w:tc>
          <w:tcPr>
            <w:tcW w:type="dxa" w:w="2900"/>
          </w:tcPr>
          <w:p>
            <w:r>
              <w:rPr>
                <w:b w:val="false"/>
                <w:bCs w:val="false"/>
                <w:sz w:val="18"/>
                <w:szCs w:val="18"/>
              </w:rPr>
              <w:t xml:space="preserve">Phase C §10.5</w:t>
            </w:r>
          </w:p>
        </w:tc>
        <w:tc>
          <w:tcPr>
            <w:tcW w:type="dxa" w:w="6500"/>
          </w:tcPr>
          <w:p>
            <w:r>
              <w:rPr>
                <w:b w:val="false"/>
                <w:bCs w:val="false"/>
                <w:sz w:val="18"/>
                <w:szCs w:val="18"/>
              </w:rPr>
              <w:t xml:space="preserve">core/supabase/docs/architecture/ERP-01 Phase C/ERP-01_PhaseC_Section10.5_Executive_Wave_Progress_Dashboard.docx</w:t>
            </w:r>
          </w:p>
        </w:tc>
      </w:tr>
      <w:tr>
        <w:tc>
          <w:tcPr>
            <w:tcW w:type="dxa" w:w="500"/>
          </w:tcPr>
          <w:p>
            <w:r>
              <w:rPr>
                <w:b w:val="false"/>
                <w:bCs w:val="false"/>
                <w:sz w:val="18"/>
                <w:szCs w:val="18"/>
              </w:rPr>
              <w:t xml:space="preserve">21</w:t>
            </w:r>
          </w:p>
        </w:tc>
        <w:tc>
          <w:tcPr>
            <w:tcW w:type="dxa" w:w="2900"/>
          </w:tcPr>
          <w:p>
            <w:r>
              <w:rPr>
                <w:b w:val="false"/>
                <w:bCs w:val="false"/>
                <w:sz w:val="18"/>
                <w:szCs w:val="18"/>
              </w:rPr>
              <w:t xml:space="preserve">Phase C §10.6</w:t>
            </w:r>
          </w:p>
        </w:tc>
        <w:tc>
          <w:tcPr>
            <w:tcW w:type="dxa" w:w="6500"/>
          </w:tcPr>
          <w:p>
            <w:r>
              <w:rPr>
                <w:b w:val="false"/>
                <w:bCs w:val="false"/>
                <w:sz w:val="18"/>
                <w:szCs w:val="18"/>
              </w:rPr>
              <w:t xml:space="preserve">core/supabase/docs/architecture/ERP-01 Phase C/ERP-01_PhaseC_Section10.6_Repository_Readiness_Dashboard.docx</w:t>
            </w:r>
          </w:p>
        </w:tc>
      </w:tr>
      <w:tr>
        <w:tc>
          <w:tcPr>
            <w:tcW w:type="dxa" w:w="500"/>
          </w:tcPr>
          <w:p>
            <w:r>
              <w:rPr>
                <w:b w:val="false"/>
                <w:bCs w:val="false"/>
                <w:sz w:val="18"/>
                <w:szCs w:val="18"/>
              </w:rPr>
              <w:t xml:space="preserve">22</w:t>
            </w:r>
          </w:p>
        </w:tc>
        <w:tc>
          <w:tcPr>
            <w:tcW w:type="dxa" w:w="2900"/>
          </w:tcPr>
          <w:p>
            <w:r>
              <w:rPr>
                <w:b w:val="false"/>
                <w:bCs w:val="false"/>
                <w:sz w:val="18"/>
                <w:szCs w:val="18"/>
              </w:rPr>
              <w:t xml:space="preserve">Phase C §10.7</w:t>
            </w:r>
          </w:p>
        </w:tc>
        <w:tc>
          <w:tcPr>
            <w:tcW w:type="dxa" w:w="6500"/>
          </w:tcPr>
          <w:p>
            <w:r>
              <w:rPr>
                <w:b w:val="false"/>
                <w:bCs w:val="false"/>
                <w:sz w:val="18"/>
                <w:szCs w:val="18"/>
              </w:rPr>
              <w:t xml:space="preserve">core/supabase/docs/architecture/ERP-01 Phase C/ERP-01_PhaseC_Section10.7_Architecture_Conformance_Dashboard.docx</w:t>
            </w:r>
          </w:p>
        </w:tc>
      </w:tr>
      <w:tr>
        <w:tc>
          <w:tcPr>
            <w:tcW w:type="dxa" w:w="500"/>
          </w:tcPr>
          <w:p>
            <w:r>
              <w:rPr>
                <w:b w:val="false"/>
                <w:bCs w:val="false"/>
                <w:sz w:val="18"/>
                <w:szCs w:val="18"/>
              </w:rPr>
              <w:t xml:space="preserve">23</w:t>
            </w:r>
          </w:p>
        </w:tc>
        <w:tc>
          <w:tcPr>
            <w:tcW w:type="dxa" w:w="2900"/>
          </w:tcPr>
          <w:p>
            <w:r>
              <w:rPr>
                <w:b w:val="false"/>
                <w:bCs w:val="false"/>
                <w:sz w:val="18"/>
                <w:szCs w:val="18"/>
              </w:rPr>
              <w:t xml:space="preserve">Phase C §10.8</w:t>
            </w:r>
          </w:p>
        </w:tc>
        <w:tc>
          <w:tcPr>
            <w:tcW w:type="dxa" w:w="6500"/>
          </w:tcPr>
          <w:p>
            <w:r>
              <w:rPr>
                <w:b w:val="false"/>
                <w:bCs w:val="false"/>
                <w:sz w:val="18"/>
                <w:szCs w:val="18"/>
              </w:rPr>
              <w:t xml:space="preserve">core/supabase/docs/architecture/ERP-01 Phase C/ERP-01_PhaseC_Section10.8_Enterprise_Verification_Dashboard.docx</w:t>
            </w:r>
          </w:p>
        </w:tc>
      </w:tr>
      <w:tr>
        <w:tc>
          <w:tcPr>
            <w:tcW w:type="dxa" w:w="500"/>
          </w:tcPr>
          <w:p>
            <w:r>
              <w:rPr>
                <w:b w:val="false"/>
                <w:bCs w:val="false"/>
                <w:sz w:val="18"/>
                <w:szCs w:val="18"/>
              </w:rPr>
              <w:t xml:space="preserve">24</w:t>
            </w:r>
          </w:p>
        </w:tc>
        <w:tc>
          <w:tcPr>
            <w:tcW w:type="dxa" w:w="2900"/>
          </w:tcPr>
          <w:p>
            <w:r>
              <w:rPr>
                <w:b w:val="false"/>
                <w:bCs w:val="false"/>
                <w:sz w:val="18"/>
                <w:szCs w:val="18"/>
              </w:rPr>
              <w:t xml:space="preserve">Phase C §10.9</w:t>
            </w:r>
          </w:p>
        </w:tc>
        <w:tc>
          <w:tcPr>
            <w:tcW w:type="dxa" w:w="6500"/>
          </w:tcPr>
          <w:p>
            <w:r>
              <w:rPr>
                <w:b w:val="false"/>
                <w:bCs w:val="false"/>
                <w:sz w:val="18"/>
                <w:szCs w:val="18"/>
              </w:rPr>
              <w:t xml:space="preserve">core/supabase/docs/architecture/ERP-01 Phase C/ERP-01_PhaseC_Section10.9_Enterprise_Risk_Dashboard.docx</w:t>
            </w:r>
          </w:p>
        </w:tc>
      </w:tr>
      <w:tr>
        <w:tc>
          <w:tcPr>
            <w:tcW w:type="dxa" w:w="500"/>
          </w:tcPr>
          <w:p>
            <w:r>
              <w:rPr>
                <w:b w:val="false"/>
                <w:bCs w:val="false"/>
                <w:sz w:val="18"/>
                <w:szCs w:val="18"/>
              </w:rPr>
              <w:t xml:space="preserve">25</w:t>
            </w:r>
          </w:p>
        </w:tc>
        <w:tc>
          <w:tcPr>
            <w:tcW w:type="dxa" w:w="2900"/>
          </w:tcPr>
          <w:p>
            <w:r>
              <w:rPr>
                <w:b w:val="false"/>
                <w:bCs w:val="false"/>
                <w:sz w:val="18"/>
                <w:szCs w:val="18"/>
              </w:rPr>
              <w:t xml:space="preserve">Phase C §10.10</w:t>
            </w:r>
          </w:p>
        </w:tc>
        <w:tc>
          <w:tcPr>
            <w:tcW w:type="dxa" w:w="6500"/>
          </w:tcPr>
          <w:p>
            <w:r>
              <w:rPr>
                <w:b w:val="false"/>
                <w:bCs w:val="false"/>
                <w:sz w:val="18"/>
                <w:szCs w:val="18"/>
              </w:rPr>
              <w:t xml:space="preserve">core/supabase/docs/architecture/ERP-01 Phase C/ERP-01_PhaseC_Section10.10_Executive_Engineering_Dashboard_Portfolio_Control_Repository.docx</w:t>
            </w:r>
          </w:p>
        </w:tc>
      </w:tr>
      <w:tr>
        <w:tc>
          <w:tcPr>
            <w:tcW w:type="dxa" w:w="500"/>
          </w:tcPr>
          <w:p>
            <w:r>
              <w:rPr>
                <w:b w:val="false"/>
                <w:bCs w:val="false"/>
                <w:sz w:val="18"/>
                <w:szCs w:val="18"/>
              </w:rPr>
              <w:t xml:space="preserve">26</w:t>
            </w:r>
          </w:p>
        </w:tc>
        <w:tc>
          <w:tcPr>
            <w:tcW w:type="dxa" w:w="2900"/>
          </w:tcPr>
          <w:p>
            <w:r>
              <w:rPr>
                <w:b w:val="false"/>
                <w:bCs w:val="false"/>
                <w:sz w:val="18"/>
                <w:szCs w:val="18"/>
              </w:rPr>
              <w:t xml:space="preserve">Phase C §10.11</w:t>
            </w:r>
          </w:p>
        </w:tc>
        <w:tc>
          <w:tcPr>
            <w:tcW w:type="dxa" w:w="6500"/>
          </w:tcPr>
          <w:p>
            <w:r>
              <w:rPr>
                <w:b w:val="false"/>
                <w:bCs w:val="false"/>
                <w:sz w:val="18"/>
                <w:szCs w:val="18"/>
              </w:rPr>
              <w:t xml:space="preserve">core/supabase/docs/architecture/ERP-01 Phase C/ERP-01_PhaseC_Section10.11_Engineering_Acceptance_Dashboard.docx</w:t>
            </w:r>
          </w:p>
        </w:tc>
      </w:tr>
      <w:tr>
        <w:tc>
          <w:tcPr>
            <w:tcW w:type="dxa" w:w="500"/>
          </w:tcPr>
          <w:p>
            <w:r>
              <w:rPr>
                <w:b w:val="false"/>
                <w:bCs w:val="false"/>
                <w:sz w:val="18"/>
                <w:szCs w:val="18"/>
              </w:rPr>
              <w:t xml:space="preserve">27</w:t>
            </w:r>
          </w:p>
        </w:tc>
        <w:tc>
          <w:tcPr>
            <w:tcW w:type="dxa" w:w="2900"/>
          </w:tcPr>
          <w:p>
            <w:r>
              <w:rPr>
                <w:b w:val="false"/>
                <w:bCs w:val="false"/>
                <w:sz w:val="18"/>
                <w:szCs w:val="18"/>
              </w:rPr>
              <w:t xml:space="preserve">Phase C §10.12</w:t>
            </w:r>
          </w:p>
        </w:tc>
        <w:tc>
          <w:tcPr>
            <w:tcW w:type="dxa" w:w="6500"/>
          </w:tcPr>
          <w:p>
            <w:r>
              <w:rPr>
                <w:b w:val="false"/>
                <w:bCs w:val="false"/>
                <w:sz w:val="18"/>
                <w:szCs w:val="18"/>
              </w:rPr>
              <w:t xml:space="preserve">core/supabase/docs/architecture/ERP-01 Phase C/ERP-01_PhaseC_Section10.12_Executive_Readiness_Assessment.docx</w:t>
            </w:r>
          </w:p>
        </w:tc>
      </w:tr>
      <w:tr>
        <w:tc>
          <w:tcPr>
            <w:tcW w:type="dxa" w:w="500"/>
          </w:tcPr>
          <w:p>
            <w:r>
              <w:rPr>
                <w:b w:val="false"/>
                <w:bCs w:val="false"/>
                <w:sz w:val="18"/>
                <w:szCs w:val="18"/>
              </w:rPr>
              <w:t xml:space="preserve">28</w:t>
            </w:r>
          </w:p>
        </w:tc>
        <w:tc>
          <w:tcPr>
            <w:tcW w:type="dxa" w:w="2900"/>
          </w:tcPr>
          <w:p>
            <w:r>
              <w:rPr>
                <w:b w:val="false"/>
                <w:bCs w:val="false"/>
                <w:sz w:val="18"/>
                <w:szCs w:val="18"/>
              </w:rPr>
              <w:t xml:space="preserve">Phase C §10.13</w:t>
            </w:r>
          </w:p>
        </w:tc>
        <w:tc>
          <w:tcPr>
            <w:tcW w:type="dxa" w:w="6500"/>
          </w:tcPr>
          <w:p>
            <w:r>
              <w:rPr>
                <w:b w:val="false"/>
                <w:bCs w:val="false"/>
                <w:sz w:val="18"/>
                <w:szCs w:val="18"/>
              </w:rPr>
              <w:t xml:space="preserve">core/supabase/docs/architecture/ERP-01 Phase C/ERP-01_PhaseC_Section10.13_Executive_Decision_Matrix.docx</w:t>
            </w:r>
          </w:p>
        </w:tc>
      </w:tr>
      <w:tr>
        <w:tc>
          <w:tcPr>
            <w:tcW w:type="dxa" w:w="500"/>
          </w:tcPr>
          <w:p>
            <w:r>
              <w:rPr>
                <w:b w:val="false"/>
                <w:bCs w:val="false"/>
                <w:sz w:val="18"/>
                <w:szCs w:val="18"/>
              </w:rPr>
              <w:t xml:space="preserve">29</w:t>
            </w:r>
          </w:p>
        </w:tc>
        <w:tc>
          <w:tcPr>
            <w:tcW w:type="dxa" w:w="2900"/>
          </w:tcPr>
          <w:p>
            <w:r>
              <w:rPr>
                <w:b w:val="false"/>
                <w:bCs w:val="false"/>
                <w:sz w:val="18"/>
                <w:szCs w:val="18"/>
              </w:rPr>
              <w:t xml:space="preserve">Phase C §10.14</w:t>
            </w:r>
          </w:p>
        </w:tc>
        <w:tc>
          <w:tcPr>
            <w:tcW w:type="dxa" w:w="6500"/>
          </w:tcPr>
          <w:p>
            <w:r>
              <w:rPr>
                <w:b w:val="false"/>
                <w:bCs w:val="false"/>
                <w:sz w:val="18"/>
                <w:szCs w:val="18"/>
              </w:rPr>
              <w:t xml:space="preserve">core/supabase/docs/architecture/ERP-01 Phase C/ERP-01_PhaseC_Section10.14_Executive_Portfolio_Scorecard.docx</w:t>
            </w:r>
          </w:p>
        </w:tc>
      </w:tr>
    </w:tbl>
    <w:p>
      <w:r>
        <w:br w:type="page"/>
      </w:r>
    </w:p>
    <w:p>
      <w:pPr>
        <w:pStyle w:val="Heading1"/>
        <w:spacing w:after="160" w:before="320"/>
      </w:pPr>
      <w:r>
        <w:t xml:space="preserve">Appendix B — Glossary of Identifier Classes and Validation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Pr>
          <w:p>
            <w:r>
              <w:rPr>
                <w:b/>
                <w:bCs/>
                <w:color w:val="FFFFFF"/>
                <w:sz w:val="18"/>
                <w:szCs w:val="18"/>
              </w:rPr>
              <w:t xml:space="preserve">Term</w:t>
            </w:r>
          </w:p>
        </w:tc>
        <w:tc>
          <w:tcPr>
            <w:tcW w:type="dxa" w:w="6900"/>
            <w:shd w:fill="1F3864" w:val="clear"/>
          </w:tcPr>
          <w:p>
            <w:r>
              <w:rPr>
                <w:b/>
                <w:bCs/>
                <w:color w:val="FFFFFF"/>
                <w:sz w:val="18"/>
                <w:szCs w:val="18"/>
              </w:rPr>
              <w:t xml:space="preserve">Meaning</w:t>
            </w:r>
          </w:p>
        </w:tc>
      </w:tr>
      <w:tr>
        <w:tc>
          <w:tcPr>
            <w:tcW w:type="dxa" w:w="2400"/>
          </w:tcPr>
          <w:p>
            <w:r>
              <w:rPr>
                <w:b w:val="false"/>
                <w:bCs w:val="false"/>
                <w:sz w:val="18"/>
                <w:szCs w:val="18"/>
              </w:rPr>
              <w:t xml:space="preserve">AR — Architecture Requirement</w:t>
            </w:r>
          </w:p>
        </w:tc>
        <w:tc>
          <w:tcPr>
            <w:tcW w:type="dxa" w:w="6900"/>
          </w:tcPr>
          <w:p>
            <w:r>
              <w:rPr>
                <w:b w:val="false"/>
                <w:bCs w:val="false"/>
                <w:sz w:val="18"/>
                <w:szCs w:val="18"/>
              </w:rPr>
              <w:t xml:space="preserve">A canonical, permanent requirement statement established in Phase A.3; 10 in the current baseline (AR-0001–AR-0010).</w:t>
            </w:r>
          </w:p>
        </w:tc>
      </w:tr>
      <w:tr>
        <w:tc>
          <w:tcPr>
            <w:tcW w:type="dxa" w:w="2400"/>
          </w:tcPr>
          <w:p>
            <w:r>
              <w:rPr>
                <w:b w:val="false"/>
                <w:bCs w:val="false"/>
                <w:sz w:val="18"/>
                <w:szCs w:val="18"/>
              </w:rPr>
              <w:t xml:space="preserve">EGD — Enterprise Governance Decision</w:t>
            </w:r>
          </w:p>
        </w:tc>
        <w:tc>
          <w:tcPr>
            <w:tcW w:type="dxa" w:w="6900"/>
          </w:tcPr>
          <w:p>
            <w:r>
              <w:rPr>
                <w:b w:val="false"/>
                <w:bCs w:val="false"/>
                <w:sz w:val="18"/>
                <w:szCs w:val="18"/>
              </w:rPr>
              <w:t xml:space="preserve">A governance disposition against one or more Architecture Requirements, established in Phase A.2; 9 in the current baseline (EGD-0001–EGD-0009).</w:t>
            </w:r>
          </w:p>
        </w:tc>
      </w:tr>
      <w:tr>
        <w:tc>
          <w:tcPr>
            <w:tcW w:type="dxa" w:w="2400"/>
          </w:tcPr>
          <w:p>
            <w:r>
              <w:rPr>
                <w:b w:val="false"/>
                <w:bCs w:val="false"/>
                <w:sz w:val="18"/>
                <w:szCs w:val="18"/>
              </w:rPr>
              <w:t xml:space="preserve">ER — Enterprise Resolution</w:t>
            </w:r>
          </w:p>
        </w:tc>
        <w:tc>
          <w:tcPr>
            <w:tcW w:type="dxa" w:w="6900"/>
          </w:tcPr>
          <w:p>
            <w:r>
              <w:rPr>
                <w:b w:val="false"/>
                <w:bCs w:val="false"/>
                <w:sz w:val="18"/>
                <w:szCs w:val="18"/>
              </w:rPr>
              <w:t xml:space="preserve">A resolution record closing out a specific architecture or governance question; 10 in the current baseline (ER-0001–ER-0010).</w:t>
            </w:r>
          </w:p>
        </w:tc>
      </w:tr>
      <w:tr>
        <w:tc>
          <w:tcPr>
            <w:tcW w:type="dxa" w:w="2400"/>
          </w:tcPr>
          <w:p>
            <w:r>
              <w:rPr>
                <w:b w:val="false"/>
                <w:bCs w:val="false"/>
                <w:sz w:val="18"/>
                <w:szCs w:val="18"/>
              </w:rPr>
              <w:t xml:space="preserve">VAR — Variance</w:t>
            </w:r>
          </w:p>
        </w:tc>
        <w:tc>
          <w:tcPr>
            <w:tcW w:type="dxa" w:w="6900"/>
          </w:tcPr>
          <w:p>
            <w:r>
              <w:rPr>
                <w:b w:val="false"/>
                <w:bCs w:val="false"/>
                <w:sz w:val="18"/>
                <w:szCs w:val="18"/>
              </w:rPr>
              <w:t xml:space="preserve">A documented, accepted deviation from a canonical pattern; 4 in the current baseline (VAR-01–VAR-04).</w:t>
            </w:r>
          </w:p>
        </w:tc>
      </w:tr>
      <w:tr>
        <w:tc>
          <w:tcPr>
            <w:tcW w:type="dxa" w:w="2400"/>
          </w:tcPr>
          <w:p>
            <w:r>
              <w:rPr>
                <w:b w:val="false"/>
                <w:bCs w:val="false"/>
                <w:sz w:val="18"/>
                <w:szCs w:val="18"/>
              </w:rPr>
              <w:t xml:space="preserve">AP — Action Point</w:t>
            </w:r>
          </w:p>
        </w:tc>
        <w:tc>
          <w:tcPr>
            <w:tcW w:type="dxa" w:w="6900"/>
          </w:tcPr>
          <w:p>
            <w:r>
              <w:rPr>
                <w:b w:val="false"/>
                <w:bCs w:val="false"/>
                <w:sz w:val="18"/>
                <w:szCs w:val="18"/>
              </w:rPr>
              <w:t xml:space="preserve">A discrete follow-up action identified in Phase A.3; 9 in the current baseline (AP-001–AP-009).</w:t>
            </w:r>
          </w:p>
        </w:tc>
      </w:tr>
      <w:tr>
        <w:tc>
          <w:tcPr>
            <w:tcW w:type="dxa" w:w="2400"/>
          </w:tcPr>
          <w:p>
            <w:r>
              <w:rPr>
                <w:b w:val="false"/>
                <w:bCs w:val="false"/>
                <w:sz w:val="18"/>
                <w:szCs w:val="18"/>
              </w:rPr>
              <w:t xml:space="preserve">WP — Work Package</w:t>
            </w:r>
          </w:p>
        </w:tc>
        <w:tc>
          <w:tcPr>
            <w:tcW w:type="dxa" w:w="6900"/>
          </w:tcPr>
          <w:p>
            <w:r>
              <w:rPr>
                <w:b w:val="false"/>
                <w:bCs w:val="false"/>
                <w:sz w:val="18"/>
                <w:szCs w:val="18"/>
              </w:rPr>
              <w:t xml:space="preserve">An approved unit of engineering execution; 6 in the current Phase C baseline (WP-0001–WP-0006), distinct from the five Phase A remediation actions numbered ERP-01-WP-01–05.</w:t>
            </w:r>
          </w:p>
        </w:tc>
      </w:tr>
      <w:tr>
        <w:tc>
          <w:tcPr>
            <w:tcW w:type="dxa" w:w="2400"/>
          </w:tcPr>
          <w:p>
            <w:r>
              <w:rPr>
                <w:b w:val="false"/>
                <w:bCs w:val="false"/>
                <w:sz w:val="18"/>
                <w:szCs w:val="18"/>
              </w:rPr>
              <w:t xml:space="preserve">Portfolio</w:t>
            </w:r>
          </w:p>
        </w:tc>
        <w:tc>
          <w:tcPr>
            <w:tcW w:type="dxa" w:w="6900"/>
          </w:tcPr>
          <w:p>
            <w:r>
              <w:rPr>
                <w:b w:val="false"/>
                <w:bCs w:val="false"/>
                <w:sz w:val="18"/>
                <w:szCs w:val="18"/>
              </w:rPr>
              <w:t xml:space="preserve">A Phase B organizing grouping of Work Packages by domain; 8 in the current baseline, 3 active and 5 reserved.</w:t>
            </w:r>
          </w:p>
        </w:tc>
      </w:tr>
      <w:tr>
        <w:tc>
          <w:tcPr>
            <w:tcW w:type="dxa" w:w="2400"/>
          </w:tcPr>
          <w:p>
            <w:r>
              <w:rPr>
                <w:b w:val="false"/>
                <w:bCs w:val="false"/>
                <w:sz w:val="18"/>
                <w:szCs w:val="18"/>
              </w:rPr>
              <w:t xml:space="preserve">Wave</w:t>
            </w:r>
          </w:p>
        </w:tc>
        <w:tc>
          <w:tcPr>
            <w:tcW w:type="dxa" w:w="6900"/>
          </w:tcPr>
          <w:p>
            <w:r>
              <w:rPr>
                <w:b w:val="false"/>
                <w:bCs w:val="false"/>
                <w:sz w:val="18"/>
                <w:szCs w:val="18"/>
              </w:rPr>
              <w:t xml:space="preserve">A Phase B/Section 5 execution-ordering grouping of Work Packages; 5 in the current baseline.</w:t>
            </w:r>
          </w:p>
        </w:tc>
      </w:tr>
      <w:tr>
        <w:tc>
          <w:tcPr>
            <w:tcW w:type="dxa" w:w="2400"/>
          </w:tcPr>
          <w:p>
            <w:r>
              <w:rPr>
                <w:b w:val="false"/>
                <w:bCs w:val="false"/>
                <w:sz w:val="18"/>
                <w:szCs w:val="18"/>
              </w:rPr>
              <w:t xml:space="preserve">KPI</w:t>
            </w:r>
          </w:p>
        </w:tc>
        <w:tc>
          <w:tcPr>
            <w:tcW w:type="dxa" w:w="6900"/>
          </w:tcPr>
          <w:p>
            <w:r>
              <w:rPr>
                <w:b w:val="false"/>
                <w:bCs w:val="false"/>
                <w:sz w:val="18"/>
                <w:szCs w:val="18"/>
              </w:rPr>
              <w:t xml:space="preserve">An Enterprise-level key performance indicator tracked across the dashboard suite; 10 in the current baseline (KPI-01–KPI-10).</w:t>
            </w:r>
          </w:p>
        </w:tc>
      </w:tr>
      <w:tr>
        <w:tc>
          <w:tcPr>
            <w:tcW w:type="dxa" w:w="2400"/>
          </w:tcPr>
          <w:p>
            <w:r>
              <w:rPr>
                <w:b w:val="false"/>
                <w:bCs w:val="false"/>
                <w:sz w:val="18"/>
                <w:szCs w:val="18"/>
              </w:rPr>
              <w:t xml:space="preserve">Validated</w:t>
            </w:r>
          </w:p>
        </w:tc>
        <w:tc>
          <w:tcPr>
            <w:tcW w:type="dxa" w:w="6900"/>
          </w:tcPr>
          <w:p>
            <w:r>
              <w:rPr>
                <w:b w:val="false"/>
                <w:bCs w:val="false"/>
                <w:sz w:val="18"/>
                <w:szCs w:val="18"/>
              </w:rPr>
              <w:t xml:space="preserve">The claim or artifact was found directly evidenced and consistent across the documents reviewed.</w:t>
            </w:r>
          </w:p>
        </w:tc>
      </w:tr>
      <w:tr>
        <w:tc>
          <w:tcPr>
            <w:tcW w:type="dxa" w:w="2400"/>
          </w:tcPr>
          <w:p>
            <w:r>
              <w:rPr>
                <w:b w:val="false"/>
                <w:bCs w:val="false"/>
                <w:sz w:val="18"/>
                <w:szCs w:val="18"/>
              </w:rPr>
              <w:t xml:space="preserve">Partially Validated</w:t>
            </w:r>
          </w:p>
        </w:tc>
        <w:tc>
          <w:tcPr>
            <w:tcW w:type="dxa" w:w="6900"/>
          </w:tcPr>
          <w:p>
            <w:r>
              <w:rPr>
                <w:b w:val="false"/>
                <w:bCs w:val="false"/>
                <w:sz w:val="18"/>
                <w:szCs w:val="18"/>
              </w:rPr>
              <w:t xml:space="preserve">The claim was found evidenced but with a gap, inconsistency, or lower cross-reference density that warrants follow-up.</w:t>
            </w:r>
          </w:p>
        </w:tc>
      </w:tr>
      <w:tr>
        <w:tc>
          <w:tcPr>
            <w:tcW w:type="dxa" w:w="2400"/>
          </w:tcPr>
          <w:p>
            <w:r>
              <w:rPr>
                <w:b w:val="false"/>
                <w:bCs w:val="false"/>
                <w:sz w:val="18"/>
                <w:szCs w:val="18"/>
              </w:rPr>
              <w:t xml:space="preserve">Not Evidenced in Current Baseline</w:t>
            </w:r>
          </w:p>
        </w:tc>
        <w:tc>
          <w:tcPr>
            <w:tcW w:type="dxa" w:w="6900"/>
          </w:tcPr>
          <w:p>
            <w:r>
              <w:rPr>
                <w:b w:val="false"/>
                <w:bCs w:val="false"/>
                <w:sz w:val="18"/>
                <w:szCs w:val="18"/>
              </w:rPr>
              <w:t xml:space="preserve">No supporting evidence for the claim was found in the reviewed repository as of this validation.</w:t>
            </w:r>
          </w:p>
        </w:tc>
      </w:tr>
      <w:tr>
        <w:tc>
          <w:tcPr>
            <w:tcW w:type="dxa" w:w="2400"/>
          </w:tcPr>
          <w:p>
            <w:r>
              <w:rPr>
                <w:b w:val="false"/>
                <w:bCs w:val="false"/>
                <w:sz w:val="18"/>
                <w:szCs w:val="18"/>
              </w:rPr>
              <w:t xml:space="preserve">Reserved for Future Realization Phases</w:t>
            </w:r>
          </w:p>
        </w:tc>
        <w:tc>
          <w:tcPr>
            <w:tcW w:type="dxa" w:w="6900"/>
          </w:tcPr>
          <w:p>
            <w:r>
              <w:rPr>
                <w:b w:val="false"/>
                <w:bCs w:val="false"/>
                <w:sz w:val="18"/>
                <w:szCs w:val="18"/>
              </w:rPr>
              <w:t xml:space="preserve">The item is explicitly out of scope for the current baseline and deferred to a later, not-yet-initiated phase.</w:t>
            </w:r>
          </w:p>
        </w:tc>
      </w:tr>
    </w:tbl>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2026-07-10T05:24:29.087Z</dcterms:created>
  <dcterms:modified xsi:type="dcterms:W3CDTF">2026-07-10T05:24:29.087Z</dcterms:modified>
</cp:coreProperties>
</file>

<file path=docProps/custom.xml><?xml version="1.0" encoding="utf-8"?>
<Properties xmlns="http://schemas.openxmlformats.org/officeDocument/2006/custom-properties" xmlns:vt="http://schemas.openxmlformats.org/officeDocument/2006/docPropsVTypes"/>
</file>